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74A7A" w14:textId="77777777" w:rsidR="004238CD" w:rsidRPr="00BC081A" w:rsidRDefault="004238CD">
      <w:pPr>
        <w:spacing w:line="240" w:lineRule="auto"/>
        <w:ind w:firstLine="0"/>
        <w:rPr>
          <w:b/>
          <w:sz w:val="32"/>
        </w:rPr>
      </w:pPr>
    </w:p>
    <w:p w14:paraId="7340ECA2" w14:textId="77777777" w:rsidR="004238CD" w:rsidRPr="00BC081A" w:rsidRDefault="004238CD">
      <w:pPr>
        <w:spacing w:line="240" w:lineRule="auto"/>
        <w:ind w:firstLine="0"/>
        <w:rPr>
          <w:b/>
          <w:sz w:val="32"/>
        </w:rPr>
      </w:pPr>
    </w:p>
    <w:p w14:paraId="1CC2EA2E" w14:textId="77777777" w:rsidR="004238CD" w:rsidRPr="00BC081A" w:rsidRDefault="004238CD">
      <w:pPr>
        <w:spacing w:line="240" w:lineRule="auto"/>
        <w:ind w:firstLine="0"/>
        <w:rPr>
          <w:b/>
          <w:sz w:val="32"/>
        </w:rPr>
      </w:pPr>
    </w:p>
    <w:p w14:paraId="3291E728" w14:textId="77777777" w:rsidR="004238CD" w:rsidRPr="00BC081A" w:rsidRDefault="004238CD" w:rsidP="004238CD">
      <w:pPr>
        <w:pStyle w:val="Title"/>
      </w:pPr>
    </w:p>
    <w:p w14:paraId="225DBA62" w14:textId="77777777" w:rsidR="004238CD" w:rsidRPr="00BC081A" w:rsidRDefault="004238CD" w:rsidP="004238CD">
      <w:pPr>
        <w:pStyle w:val="Title"/>
      </w:pPr>
    </w:p>
    <w:p w14:paraId="00C3F4B5" w14:textId="77777777" w:rsidR="004238CD" w:rsidRPr="00BC081A" w:rsidRDefault="004238CD" w:rsidP="004238CD">
      <w:pPr>
        <w:pStyle w:val="Title"/>
      </w:pPr>
    </w:p>
    <w:p w14:paraId="15292B3D" w14:textId="5319460D" w:rsidR="004238CD" w:rsidRPr="00BC081A" w:rsidRDefault="00C10A22" w:rsidP="004238CD">
      <w:pPr>
        <w:pStyle w:val="Title"/>
      </w:pPr>
      <w:bookmarkStart w:id="0" w:name="_Toc274830571"/>
      <w:bookmarkStart w:id="1" w:name="_Toc274832531"/>
      <w:bookmarkStart w:id="2" w:name="_Toc275209802"/>
      <w:r>
        <w:t>U</w:t>
      </w:r>
      <w:r w:rsidRPr="00C10A22">
        <w:t xml:space="preserve">nderstanding </w:t>
      </w:r>
      <w:r>
        <w:t>the Role of C</w:t>
      </w:r>
      <w:r w:rsidRPr="00C10A22">
        <w:t xml:space="preserve">ompetition in </w:t>
      </w:r>
      <w:r>
        <w:t>V</w:t>
      </w:r>
      <w:r w:rsidRPr="00C10A22">
        <w:t xml:space="preserve">ideo </w:t>
      </w:r>
      <w:r>
        <w:t>G</w:t>
      </w:r>
      <w:r w:rsidRPr="00C10A22">
        <w:t xml:space="preserve">ameplay </w:t>
      </w:r>
      <w:r>
        <w:t>S</w:t>
      </w:r>
      <w:r w:rsidRPr="00C10A22">
        <w:t>atisfaction</w:t>
      </w:r>
      <w:bookmarkEnd w:id="0"/>
      <w:bookmarkEnd w:id="1"/>
      <w:bookmarkEnd w:id="2"/>
      <w:r w:rsidR="004238CD" w:rsidRPr="00BC081A">
        <w:br w:type="page"/>
      </w:r>
    </w:p>
    <w:p w14:paraId="50771F84" w14:textId="77777777" w:rsidR="004238CD" w:rsidRPr="00BC081A" w:rsidRDefault="004238CD">
      <w:pPr>
        <w:spacing w:line="240" w:lineRule="auto"/>
        <w:ind w:firstLine="0"/>
        <w:rPr>
          <w:b/>
          <w:sz w:val="32"/>
        </w:rPr>
      </w:pPr>
    </w:p>
    <w:p w14:paraId="61F2153D" w14:textId="77777777" w:rsidR="004238CD" w:rsidRPr="00BC081A" w:rsidRDefault="004238CD">
      <w:pPr>
        <w:spacing w:line="240" w:lineRule="auto"/>
        <w:ind w:firstLine="0"/>
        <w:rPr>
          <w:b/>
          <w:sz w:val="32"/>
        </w:rPr>
      </w:pPr>
    </w:p>
    <w:p w14:paraId="1F25C165" w14:textId="77777777" w:rsidR="004238CD" w:rsidRPr="00BC081A" w:rsidRDefault="004238CD">
      <w:pPr>
        <w:spacing w:line="240" w:lineRule="auto"/>
        <w:ind w:firstLine="0"/>
        <w:rPr>
          <w:b/>
          <w:sz w:val="32"/>
        </w:rPr>
      </w:pPr>
    </w:p>
    <w:p w14:paraId="5028A6F2" w14:textId="7926B183" w:rsidR="004238CD" w:rsidRPr="00BC081A" w:rsidRDefault="00C10A22" w:rsidP="00C10A22">
      <w:pPr>
        <w:pStyle w:val="Title"/>
      </w:pPr>
      <w:bookmarkStart w:id="3" w:name="_Toc274830572"/>
      <w:bookmarkStart w:id="4" w:name="_Toc274832532"/>
      <w:bookmarkStart w:id="5" w:name="_Toc275209803"/>
      <w:r>
        <w:t>U</w:t>
      </w:r>
      <w:r w:rsidRPr="00C10A22">
        <w:t xml:space="preserve">nderstanding </w:t>
      </w:r>
      <w:r>
        <w:t>the Role of C</w:t>
      </w:r>
      <w:r w:rsidRPr="00C10A22">
        <w:t xml:space="preserve">ompetition in </w:t>
      </w:r>
      <w:r>
        <w:t>V</w:t>
      </w:r>
      <w:r w:rsidRPr="00C10A22">
        <w:t xml:space="preserve">ideo </w:t>
      </w:r>
      <w:r>
        <w:t>G</w:t>
      </w:r>
      <w:r w:rsidRPr="00C10A22">
        <w:t xml:space="preserve">ameplay </w:t>
      </w:r>
      <w:r>
        <w:t>S</w:t>
      </w:r>
      <w:r w:rsidRPr="00C10A22">
        <w:t>atisfaction</w:t>
      </w:r>
      <w:bookmarkEnd w:id="3"/>
      <w:bookmarkEnd w:id="4"/>
      <w:bookmarkEnd w:id="5"/>
    </w:p>
    <w:p w14:paraId="7E53E70C" w14:textId="77777777" w:rsidR="004238CD" w:rsidRPr="00BC081A" w:rsidRDefault="004238CD" w:rsidP="004238CD">
      <w:pPr>
        <w:pStyle w:val="Title"/>
        <w:rPr>
          <w:b w:val="0"/>
        </w:rPr>
      </w:pPr>
      <w:bookmarkStart w:id="6" w:name="_Toc274830573"/>
      <w:bookmarkStart w:id="7" w:name="_Toc274832533"/>
      <w:bookmarkStart w:id="8" w:name="_Toc275209804"/>
      <w:r w:rsidRPr="00BC081A">
        <w:rPr>
          <w:b w:val="0"/>
        </w:rPr>
        <w:t>By</w:t>
      </w:r>
      <w:bookmarkEnd w:id="6"/>
      <w:bookmarkEnd w:id="7"/>
      <w:bookmarkEnd w:id="8"/>
    </w:p>
    <w:p w14:paraId="4782B7CC" w14:textId="77777777" w:rsidR="004238CD" w:rsidRPr="00BC081A" w:rsidRDefault="004238CD" w:rsidP="004238CD">
      <w:pPr>
        <w:pStyle w:val="Title"/>
        <w:rPr>
          <w:b w:val="0"/>
        </w:rPr>
      </w:pPr>
      <w:bookmarkStart w:id="9" w:name="_Toc274830574"/>
      <w:bookmarkStart w:id="10" w:name="_Toc274832534"/>
      <w:bookmarkStart w:id="11" w:name="_Toc275209805"/>
      <w:r w:rsidRPr="00BC081A">
        <w:rPr>
          <w:b w:val="0"/>
        </w:rPr>
        <w:t>Sepandar Sepehr, B.Sc., M.Sc.</w:t>
      </w:r>
      <w:bookmarkEnd w:id="9"/>
      <w:bookmarkEnd w:id="10"/>
      <w:bookmarkEnd w:id="11"/>
    </w:p>
    <w:p w14:paraId="13AE5B88" w14:textId="77777777" w:rsidR="004238CD" w:rsidRPr="00BC081A" w:rsidRDefault="004238CD" w:rsidP="004238CD">
      <w:pPr>
        <w:pStyle w:val="Title"/>
        <w:rPr>
          <w:rFonts w:cs="Cambria"/>
          <w:b w:val="0"/>
          <w:szCs w:val="32"/>
        </w:rPr>
      </w:pPr>
    </w:p>
    <w:p w14:paraId="154CB605" w14:textId="77777777" w:rsidR="004238CD" w:rsidRPr="00BC081A" w:rsidRDefault="004238CD" w:rsidP="004238CD">
      <w:pPr>
        <w:pStyle w:val="Title"/>
        <w:rPr>
          <w:rFonts w:cs="Cambria"/>
          <w:b w:val="0"/>
          <w:szCs w:val="32"/>
        </w:rPr>
      </w:pPr>
      <w:bookmarkStart w:id="12" w:name="_Toc274830575"/>
      <w:bookmarkStart w:id="13" w:name="_Toc274832535"/>
      <w:bookmarkStart w:id="14" w:name="_Toc275209806"/>
      <w:r w:rsidRPr="00BC081A">
        <w:rPr>
          <w:rFonts w:cs="Cambria"/>
          <w:b w:val="0"/>
          <w:szCs w:val="32"/>
        </w:rPr>
        <w:t>A Thesis  Submitted to the School of Graduate Studies </w:t>
      </w:r>
      <w:bookmarkEnd w:id="12"/>
      <w:bookmarkEnd w:id="13"/>
      <w:bookmarkEnd w:id="14"/>
    </w:p>
    <w:p w14:paraId="75139AAC" w14:textId="77777777" w:rsidR="004238CD" w:rsidRPr="00BC081A" w:rsidRDefault="004238CD" w:rsidP="004238CD">
      <w:pPr>
        <w:pStyle w:val="Title"/>
        <w:rPr>
          <w:rFonts w:cs="Cambria"/>
          <w:b w:val="0"/>
          <w:szCs w:val="32"/>
        </w:rPr>
      </w:pPr>
      <w:bookmarkStart w:id="15" w:name="_Toc274830576"/>
      <w:bookmarkStart w:id="16" w:name="_Toc274832536"/>
      <w:bookmarkStart w:id="17" w:name="_Toc275209807"/>
      <w:r w:rsidRPr="00BC081A">
        <w:rPr>
          <w:rFonts w:cs="Cambria"/>
          <w:b w:val="0"/>
          <w:szCs w:val="32"/>
        </w:rPr>
        <w:t>In Partial Fulfillment of the Requirements for the Degree </w:t>
      </w:r>
      <w:bookmarkEnd w:id="15"/>
      <w:bookmarkEnd w:id="16"/>
      <w:bookmarkEnd w:id="17"/>
    </w:p>
    <w:p w14:paraId="1AC218CF" w14:textId="0C21A00A" w:rsidR="004238CD" w:rsidRPr="00BC081A" w:rsidRDefault="004238CD" w:rsidP="004238CD">
      <w:pPr>
        <w:pStyle w:val="Title"/>
        <w:rPr>
          <w:b w:val="0"/>
        </w:rPr>
      </w:pPr>
      <w:bookmarkStart w:id="18" w:name="_Toc274830577"/>
      <w:bookmarkStart w:id="19" w:name="_Toc274832537"/>
      <w:bookmarkStart w:id="20" w:name="_Toc275209808"/>
      <w:r w:rsidRPr="00BC081A">
        <w:rPr>
          <w:rFonts w:cs="Cambria"/>
          <w:b w:val="0"/>
          <w:szCs w:val="32"/>
        </w:rPr>
        <w:t>Doctorate of Philosophy, Business Administration</w:t>
      </w:r>
      <w:bookmarkEnd w:id="18"/>
      <w:bookmarkEnd w:id="19"/>
      <w:bookmarkEnd w:id="20"/>
    </w:p>
    <w:p w14:paraId="090EC9DC" w14:textId="77777777" w:rsidR="004238CD" w:rsidRPr="00BC081A" w:rsidRDefault="004238CD" w:rsidP="004238CD">
      <w:pPr>
        <w:pStyle w:val="Title"/>
      </w:pPr>
      <w:r w:rsidRPr="00BC081A">
        <w:t xml:space="preserve"> </w:t>
      </w:r>
    </w:p>
    <w:p w14:paraId="452128EE" w14:textId="77777777" w:rsidR="004238CD" w:rsidRPr="00BC081A" w:rsidRDefault="004238CD" w:rsidP="004238CD">
      <w:pPr>
        <w:widowControl w:val="0"/>
        <w:autoSpaceDE w:val="0"/>
        <w:autoSpaceDN w:val="0"/>
        <w:adjustRightInd w:val="0"/>
        <w:spacing w:after="240" w:line="240" w:lineRule="auto"/>
        <w:ind w:firstLine="0"/>
        <w:jc w:val="center"/>
        <w:rPr>
          <w:rFonts w:cs="Times"/>
        </w:rPr>
      </w:pPr>
      <w:r w:rsidRPr="00BC081A">
        <w:rPr>
          <w:rFonts w:cs="Cambria"/>
          <w:sz w:val="32"/>
          <w:szCs w:val="32"/>
        </w:rPr>
        <w:t>McMaster University</w:t>
      </w:r>
    </w:p>
    <w:p w14:paraId="242C027D" w14:textId="78528F40" w:rsidR="004238CD" w:rsidRPr="00BC081A" w:rsidRDefault="004238CD" w:rsidP="004238CD">
      <w:pPr>
        <w:widowControl w:val="0"/>
        <w:autoSpaceDE w:val="0"/>
        <w:autoSpaceDN w:val="0"/>
        <w:adjustRightInd w:val="0"/>
        <w:spacing w:after="240" w:line="240" w:lineRule="auto"/>
        <w:ind w:firstLine="0"/>
        <w:jc w:val="center"/>
        <w:rPr>
          <w:rFonts w:cs="Times"/>
        </w:rPr>
      </w:pPr>
      <w:r w:rsidRPr="00BC081A">
        <w:rPr>
          <w:rFonts w:cs="Cambria"/>
          <w:sz w:val="32"/>
          <w:szCs w:val="32"/>
        </w:rPr>
        <w:t xml:space="preserve">© Copyright by Sepandar Sepehr, </w:t>
      </w:r>
      <w:r w:rsidR="00B43B84">
        <w:rPr>
          <w:rFonts w:cs="Cambria"/>
          <w:sz w:val="32"/>
          <w:szCs w:val="32"/>
        </w:rPr>
        <w:t>December</w:t>
      </w:r>
      <w:r w:rsidRPr="00BC081A">
        <w:rPr>
          <w:rFonts w:cs="Cambria"/>
          <w:sz w:val="32"/>
          <w:szCs w:val="32"/>
        </w:rPr>
        <w:t xml:space="preserve"> 2014</w:t>
      </w:r>
    </w:p>
    <w:p w14:paraId="322BAC20" w14:textId="47682896" w:rsidR="004238CD" w:rsidRPr="00BC081A" w:rsidRDefault="004238CD" w:rsidP="004238CD">
      <w:pPr>
        <w:pStyle w:val="Title"/>
      </w:pPr>
      <w:r w:rsidRPr="00BC081A">
        <w:t xml:space="preserve"> </w:t>
      </w:r>
      <w:r w:rsidRPr="00BC081A">
        <w:br w:type="page"/>
      </w:r>
    </w:p>
    <w:p w14:paraId="03485474" w14:textId="2F3480DD" w:rsidR="00745DDF" w:rsidRPr="00BC081A" w:rsidRDefault="002761DD" w:rsidP="00310650">
      <w:pPr>
        <w:widowControl w:val="0"/>
        <w:autoSpaceDE w:val="0"/>
        <w:autoSpaceDN w:val="0"/>
        <w:adjustRightInd w:val="0"/>
        <w:spacing w:after="240"/>
        <w:ind w:firstLine="0"/>
        <w:rPr>
          <w:rFonts w:cs="Times"/>
        </w:rPr>
      </w:pPr>
      <w:r>
        <w:rPr>
          <w:rFonts w:cs="Cambria"/>
        </w:rPr>
        <w:lastRenderedPageBreak/>
        <w:t>DOCTORATE OF PHILOSOPHY</w:t>
      </w:r>
      <w:r>
        <w:rPr>
          <w:rFonts w:cs="Cambria"/>
        </w:rPr>
        <w:tab/>
      </w:r>
      <w:r>
        <w:rPr>
          <w:rFonts w:cs="Cambria"/>
        </w:rPr>
        <w:tab/>
      </w:r>
      <w:r>
        <w:rPr>
          <w:rFonts w:cs="Cambria"/>
        </w:rPr>
        <w:tab/>
      </w:r>
      <w:r>
        <w:rPr>
          <w:rFonts w:cs="Cambria"/>
        </w:rPr>
        <w:tab/>
      </w:r>
      <w:r>
        <w:rPr>
          <w:rFonts w:cs="Cambria"/>
        </w:rPr>
        <w:tab/>
        <w:t xml:space="preserve">  </w:t>
      </w:r>
      <w:r w:rsidR="00745DDF" w:rsidRPr="00BC081A">
        <w:rPr>
          <w:rFonts w:cs="Cambria"/>
        </w:rPr>
        <w:t xml:space="preserve">McMaster University Business Administration (Information Systems) </w:t>
      </w:r>
      <w:r>
        <w:rPr>
          <w:rFonts w:cs="Cambria"/>
        </w:rPr>
        <w:t xml:space="preserve">- 2014 </w:t>
      </w:r>
      <w:r>
        <w:rPr>
          <w:rFonts w:cs="Cambria"/>
        </w:rPr>
        <w:tab/>
      </w:r>
      <w:r w:rsidR="00745DDF" w:rsidRPr="00BC081A">
        <w:rPr>
          <w:rFonts w:cs="Cambria"/>
        </w:rPr>
        <w:tab/>
        <w:t xml:space="preserve">     </w:t>
      </w:r>
      <w:r>
        <w:rPr>
          <w:rFonts w:cs="Cambria"/>
        </w:rPr>
        <w:t xml:space="preserve">  </w:t>
      </w:r>
      <w:r w:rsidR="00745DDF" w:rsidRPr="00BC081A">
        <w:rPr>
          <w:rFonts w:cs="Cambria"/>
        </w:rPr>
        <w:t>Hamilton, Ontario</w:t>
      </w:r>
    </w:p>
    <w:p w14:paraId="16E0CE18" w14:textId="3E545D3C" w:rsidR="00745DDF" w:rsidRPr="00BC081A" w:rsidRDefault="00745DDF" w:rsidP="00310650">
      <w:pPr>
        <w:spacing w:before="480"/>
        <w:ind w:left="778" w:hanging="778"/>
        <w:rPr>
          <w:rFonts w:asciiTheme="majorBidi" w:hAnsiTheme="majorBidi" w:cstheme="majorBidi"/>
          <w:b/>
        </w:rPr>
      </w:pPr>
      <w:r w:rsidRPr="00BC081A">
        <w:rPr>
          <w:rFonts w:asciiTheme="majorBidi" w:hAnsiTheme="majorBidi" w:cstheme="majorBidi"/>
        </w:rPr>
        <w:t xml:space="preserve">TITLE: </w:t>
      </w:r>
      <w:r w:rsidR="002761DD">
        <w:rPr>
          <w:rFonts w:asciiTheme="majorBidi" w:hAnsiTheme="majorBidi" w:cstheme="majorBidi"/>
        </w:rPr>
        <w:tab/>
      </w:r>
      <w:r w:rsidR="003B72AE" w:rsidRPr="003B72AE">
        <w:rPr>
          <w:rFonts w:asciiTheme="majorBidi" w:hAnsiTheme="majorBidi" w:cstheme="majorBidi"/>
        </w:rPr>
        <w:t>Understanding the Role of Competition in Video Gameplay Satisfaction</w:t>
      </w:r>
      <w:r w:rsidRPr="00BC081A">
        <w:rPr>
          <w:rFonts w:asciiTheme="majorBidi" w:hAnsiTheme="majorBidi" w:cstheme="majorBidi"/>
        </w:rPr>
        <w:t xml:space="preserve"> </w:t>
      </w:r>
    </w:p>
    <w:p w14:paraId="494F305B" w14:textId="265553FD" w:rsidR="00745DDF" w:rsidRPr="00BC081A" w:rsidRDefault="00745DDF" w:rsidP="00310650">
      <w:pPr>
        <w:spacing w:before="160"/>
        <w:ind w:firstLine="0"/>
        <w:rPr>
          <w:rFonts w:asciiTheme="majorBidi" w:hAnsiTheme="majorBidi" w:cstheme="majorBidi"/>
        </w:rPr>
      </w:pPr>
      <w:r w:rsidRPr="00BC081A">
        <w:rPr>
          <w:rFonts w:asciiTheme="majorBidi" w:hAnsiTheme="majorBidi" w:cstheme="majorBidi"/>
        </w:rPr>
        <w:t xml:space="preserve">AUTHOR: </w:t>
      </w:r>
      <w:r w:rsidR="003F7C56" w:rsidRPr="00BC081A">
        <w:rPr>
          <w:rFonts w:asciiTheme="majorBidi" w:hAnsiTheme="majorBidi" w:cstheme="majorBidi"/>
        </w:rPr>
        <w:tab/>
      </w:r>
      <w:r w:rsidR="003F7C56" w:rsidRPr="00BC081A">
        <w:rPr>
          <w:rFonts w:asciiTheme="majorBidi" w:hAnsiTheme="majorBidi" w:cstheme="majorBidi"/>
        </w:rPr>
        <w:tab/>
      </w:r>
      <w:r w:rsidRPr="00BC081A">
        <w:rPr>
          <w:rFonts w:asciiTheme="majorBidi" w:hAnsiTheme="majorBidi" w:cstheme="majorBidi"/>
        </w:rPr>
        <w:t xml:space="preserve">Sepandar Sepehr, B.Sc., </w:t>
      </w:r>
      <w:proofErr w:type="gramStart"/>
      <w:r w:rsidRPr="00BC081A">
        <w:rPr>
          <w:rFonts w:asciiTheme="majorBidi" w:hAnsiTheme="majorBidi" w:cstheme="majorBidi"/>
        </w:rPr>
        <w:t>M.Sc.</w:t>
      </w:r>
      <w:proofErr w:type="gramEnd"/>
      <w:r w:rsidRPr="00BC081A">
        <w:rPr>
          <w:rFonts w:asciiTheme="majorBidi" w:hAnsiTheme="majorBidi" w:cstheme="majorBidi"/>
        </w:rPr>
        <w:t xml:space="preserve"> (McMaster University) </w:t>
      </w:r>
    </w:p>
    <w:p w14:paraId="7DFEF164" w14:textId="51B84C56" w:rsidR="00745DDF" w:rsidRPr="00BC081A" w:rsidRDefault="00745DDF" w:rsidP="00310650">
      <w:pPr>
        <w:ind w:firstLine="0"/>
        <w:rPr>
          <w:rFonts w:asciiTheme="majorBidi" w:hAnsiTheme="majorBidi" w:cstheme="majorBidi"/>
        </w:rPr>
      </w:pPr>
      <w:r w:rsidRPr="00BC081A">
        <w:rPr>
          <w:rFonts w:asciiTheme="majorBidi" w:hAnsiTheme="majorBidi" w:cstheme="majorBidi"/>
        </w:rPr>
        <w:t xml:space="preserve">SUPERVISOR: </w:t>
      </w:r>
      <w:r w:rsidR="003F7C56" w:rsidRPr="00BC081A">
        <w:rPr>
          <w:rFonts w:asciiTheme="majorBidi" w:hAnsiTheme="majorBidi" w:cstheme="majorBidi"/>
        </w:rPr>
        <w:tab/>
      </w:r>
      <w:r w:rsidRPr="00BC081A">
        <w:rPr>
          <w:rFonts w:asciiTheme="majorBidi" w:hAnsiTheme="majorBidi" w:cstheme="majorBidi"/>
        </w:rPr>
        <w:t>Prof. Milena Head</w:t>
      </w:r>
    </w:p>
    <w:p w14:paraId="387F7D78" w14:textId="1F36A0A1" w:rsidR="00745DDF" w:rsidRPr="00BC081A" w:rsidRDefault="00745DDF" w:rsidP="00310650">
      <w:pPr>
        <w:ind w:firstLine="0"/>
        <w:rPr>
          <w:rFonts w:asciiTheme="majorBidi" w:hAnsiTheme="majorBidi" w:cstheme="majorBidi"/>
        </w:rPr>
      </w:pPr>
      <w:r w:rsidRPr="00BC081A">
        <w:rPr>
          <w:rFonts w:asciiTheme="majorBidi" w:hAnsiTheme="majorBidi" w:cstheme="majorBidi"/>
        </w:rPr>
        <w:t xml:space="preserve">PAGES: </w:t>
      </w:r>
      <w:r w:rsidR="003F7C56" w:rsidRPr="00BC081A">
        <w:rPr>
          <w:rFonts w:asciiTheme="majorBidi" w:hAnsiTheme="majorBidi" w:cstheme="majorBidi"/>
        </w:rPr>
        <w:tab/>
      </w:r>
      <w:r w:rsidR="003F7C56" w:rsidRPr="00BC081A">
        <w:rPr>
          <w:rFonts w:asciiTheme="majorBidi" w:hAnsiTheme="majorBidi" w:cstheme="majorBidi"/>
        </w:rPr>
        <w:tab/>
      </w:r>
      <w:r w:rsidR="008C71FB">
        <w:rPr>
          <w:rFonts w:asciiTheme="majorBidi" w:hAnsiTheme="majorBidi" w:cstheme="majorBidi"/>
        </w:rPr>
        <w:t>xiv</w:t>
      </w:r>
      <w:r w:rsidR="00B43B84">
        <w:rPr>
          <w:rFonts w:asciiTheme="majorBidi" w:hAnsiTheme="majorBidi" w:cstheme="majorBidi"/>
        </w:rPr>
        <w:t>, 179</w:t>
      </w:r>
    </w:p>
    <w:p w14:paraId="56C6776F" w14:textId="77777777" w:rsidR="00745DDF" w:rsidRPr="00BC081A" w:rsidRDefault="00745DDF">
      <w:pPr>
        <w:spacing w:line="240" w:lineRule="auto"/>
        <w:ind w:firstLine="0"/>
        <w:rPr>
          <w:b/>
          <w:sz w:val="32"/>
        </w:rPr>
      </w:pPr>
      <w:r w:rsidRPr="00BC081A">
        <w:rPr>
          <w:b/>
          <w:sz w:val="32"/>
        </w:rPr>
        <w:br w:type="page"/>
      </w:r>
    </w:p>
    <w:p w14:paraId="109178F2" w14:textId="3F1D3864" w:rsidR="00717F64" w:rsidRPr="00BC081A" w:rsidRDefault="003E5615" w:rsidP="00567B25">
      <w:pPr>
        <w:tabs>
          <w:tab w:val="left" w:pos="3705"/>
          <w:tab w:val="center" w:pos="4680"/>
        </w:tabs>
        <w:spacing w:line="240" w:lineRule="auto"/>
        <w:ind w:firstLine="0"/>
        <w:jc w:val="center"/>
        <w:rPr>
          <w:b/>
          <w:sz w:val="32"/>
        </w:rPr>
      </w:pPr>
      <w:r w:rsidRPr="00BC081A">
        <w:rPr>
          <w:b/>
          <w:sz w:val="32"/>
        </w:rPr>
        <w:lastRenderedPageBreak/>
        <w:t>ABSTRACT</w:t>
      </w:r>
    </w:p>
    <w:p w14:paraId="5CDD03B5" w14:textId="77777777" w:rsidR="00533B23" w:rsidRDefault="00533B23" w:rsidP="00533B23"/>
    <w:p w14:paraId="4EF410C6" w14:textId="5D52A051" w:rsidR="00533B23" w:rsidRPr="00533B23" w:rsidRDefault="00533B23" w:rsidP="00533B23">
      <w:r w:rsidRPr="00533B23">
        <w:t xml:space="preserve">Considerable amount of time is spent playing video games in today’s society. There are various elements in video games that make them entertaining and satisfying, which can be leveraged to provide engaging and satisfying experiences in educational and workplace contexts. One of the key elements in many video games is competition. </w:t>
      </w:r>
      <w:r>
        <w:t>Based on Self-Determination Theory (SDT) and the Theory of Flow, t</w:t>
      </w:r>
      <w:r w:rsidRPr="00533B23">
        <w:t xml:space="preserve">his </w:t>
      </w:r>
      <w:r>
        <w:t>dissertation</w:t>
      </w:r>
      <w:r w:rsidRPr="00533B23">
        <w:t xml:space="preserve"> explores the process through which competition makes a video game satisfying. A structural model is proposed that examines the impacts of </w:t>
      </w:r>
      <w:r>
        <w:t>S</w:t>
      </w:r>
      <w:r w:rsidRPr="00533B23">
        <w:t xml:space="preserve">ituational </w:t>
      </w:r>
      <w:r>
        <w:t>C</w:t>
      </w:r>
      <w:r w:rsidRPr="00533B23">
        <w:t xml:space="preserve">ompetitiveness (manipulated via different modes of competition) and </w:t>
      </w:r>
      <w:r>
        <w:t>Dispositional C</w:t>
      </w:r>
      <w:r w:rsidRPr="00533B23">
        <w:t xml:space="preserve">ompetitiveness (as a personality trait) on gameplay experience.  The proposed model is validated through an experimental design study with 104 university students. The results show that the perception of video game competitiveness has a strong direct and indirect (mediated through </w:t>
      </w:r>
      <w:r>
        <w:t>C</w:t>
      </w:r>
      <w:r w:rsidRPr="00533B23">
        <w:t>hallenge</w:t>
      </w:r>
      <w:r>
        <w:t xml:space="preserve"> and Arousal</w:t>
      </w:r>
      <w:r w:rsidRPr="00533B23">
        <w:t xml:space="preserve">) effect on </w:t>
      </w:r>
      <w:r>
        <w:t>Flow experience and S</w:t>
      </w:r>
      <w:r w:rsidRPr="00533B23">
        <w:t xml:space="preserve">atisfaction. While an individual’s personality impacts the perception of a game’s competitiveness, this perception can also be influenced by the mode of </w:t>
      </w:r>
      <w:r w:rsidR="00A83DD3">
        <w:t>competition</w:t>
      </w:r>
      <w:r w:rsidR="00B23370">
        <w:t xml:space="preserve"> (playing against a computer, stranger or friend)</w:t>
      </w:r>
      <w:r w:rsidRPr="00533B23">
        <w:t>.</w:t>
      </w:r>
      <w:r>
        <w:t xml:space="preserve"> </w:t>
      </w:r>
      <w:r w:rsidR="00B23370">
        <w:t>Additionally</w:t>
      </w:r>
      <w:r>
        <w:t>, Social</w:t>
      </w:r>
      <w:r w:rsidR="00A83DD3">
        <w:t xml:space="preserve"> Presence</w:t>
      </w:r>
      <w:r>
        <w:t xml:space="preserve"> </w:t>
      </w:r>
      <w:r w:rsidR="00B23370">
        <w:t xml:space="preserve">is found to play a role by mediating </w:t>
      </w:r>
      <w:r>
        <w:t>the relationship between the mode of competition and Situational Competitiveness.</w:t>
      </w:r>
      <w:r w:rsidR="00B23370">
        <w:t xml:space="preserve"> </w:t>
      </w:r>
    </w:p>
    <w:p w14:paraId="6B53711F" w14:textId="7EBDB5CA" w:rsidR="00717F64" w:rsidRPr="00BC081A" w:rsidRDefault="00717F64" w:rsidP="00533B23">
      <w:r w:rsidRPr="00BC081A">
        <w:br w:type="page"/>
      </w:r>
    </w:p>
    <w:p w14:paraId="7B27A280" w14:textId="10F91813" w:rsidR="00717F64" w:rsidRPr="00BC081A" w:rsidRDefault="00717F64" w:rsidP="00567B25">
      <w:pPr>
        <w:tabs>
          <w:tab w:val="left" w:pos="3705"/>
          <w:tab w:val="center" w:pos="4680"/>
        </w:tabs>
        <w:spacing w:line="240" w:lineRule="auto"/>
        <w:ind w:firstLine="0"/>
        <w:jc w:val="center"/>
        <w:rPr>
          <w:b/>
          <w:sz w:val="32"/>
        </w:rPr>
      </w:pPr>
      <w:r w:rsidRPr="00BC081A">
        <w:rPr>
          <w:b/>
          <w:sz w:val="32"/>
        </w:rPr>
        <w:lastRenderedPageBreak/>
        <w:t>ACKNOWLEDGEMENTS</w:t>
      </w:r>
    </w:p>
    <w:p w14:paraId="0B56D577" w14:textId="77777777" w:rsidR="003E5615" w:rsidRPr="00BC081A" w:rsidRDefault="003E5615" w:rsidP="00717F64">
      <w:pPr>
        <w:tabs>
          <w:tab w:val="left" w:pos="3705"/>
          <w:tab w:val="center" w:pos="4680"/>
        </w:tabs>
        <w:spacing w:line="240" w:lineRule="auto"/>
        <w:ind w:firstLine="0"/>
        <w:rPr>
          <w:b/>
          <w:sz w:val="32"/>
        </w:rPr>
      </w:pPr>
    </w:p>
    <w:p w14:paraId="396037FC" w14:textId="02662214" w:rsidR="009245E3" w:rsidRDefault="009245E3" w:rsidP="009245E3">
      <w:r>
        <w:t>I would like to thank several individuals and organizations for their generous support throughout the last few years.</w:t>
      </w:r>
    </w:p>
    <w:p w14:paraId="1DEFFFC5" w14:textId="51968F1C" w:rsidR="009245E3" w:rsidRDefault="009245E3" w:rsidP="009245E3">
      <w:r>
        <w:t xml:space="preserve">First, I would like to express my sincerest gratitude to my extraordinary supervisor, Dr. Milena Head. Without exaggeration, completion of this work would not be possible if it </w:t>
      </w:r>
      <w:r w:rsidR="00354794">
        <w:t>were</w:t>
      </w:r>
      <w:r>
        <w:t xml:space="preserve"> not for her constant support and guidance. Since my first meeting with Dr. Head, before applying to the Ph.D. program, I noticed that I would be very </w:t>
      </w:r>
      <w:r w:rsidR="00BC332A">
        <w:t>fortunate</w:t>
      </w:r>
      <w:r>
        <w:t xml:space="preserve"> to work under such a </w:t>
      </w:r>
      <w:proofErr w:type="spellStart"/>
      <w:r>
        <w:t>k</w:t>
      </w:r>
      <w:r w:rsidR="00BC332A">
        <w:t>indhearted</w:t>
      </w:r>
      <w:proofErr w:type="spellEnd"/>
      <w:r w:rsidR="00BC332A">
        <w:t xml:space="preserve"> person’s supervision.</w:t>
      </w:r>
      <w:r>
        <w:t xml:space="preserve"> </w:t>
      </w:r>
      <w:r w:rsidR="00BC332A">
        <w:t>A</w:t>
      </w:r>
      <w:r>
        <w:t>nd I was not wrong. Receiving her continuous encouragement and knowing that I could always trust her guidance were the main reasons for me to continue through this challenging process. Dr. Head’s intellectual contributions</w:t>
      </w:r>
      <w:r w:rsidR="00745394">
        <w:t xml:space="preserve"> and emotional support made </w:t>
      </w:r>
      <w:r>
        <w:t>this dissertation possible.</w:t>
      </w:r>
    </w:p>
    <w:p w14:paraId="301A3D55" w14:textId="7709753C" w:rsidR="009245E3" w:rsidRDefault="009245E3" w:rsidP="009245E3">
      <w:r>
        <w:t xml:space="preserve">Thanks also go to my supervisory committee members, Dr. </w:t>
      </w:r>
      <w:proofErr w:type="spellStart"/>
      <w:r>
        <w:t>Khaled</w:t>
      </w:r>
      <w:proofErr w:type="spellEnd"/>
      <w:r>
        <w:t xml:space="preserve"> </w:t>
      </w:r>
      <w:proofErr w:type="spellStart"/>
      <w:r>
        <w:t>Hassanein</w:t>
      </w:r>
      <w:proofErr w:type="spellEnd"/>
      <w:r>
        <w:t xml:space="preserve"> and Dr. Brian </w:t>
      </w:r>
      <w:proofErr w:type="spellStart"/>
      <w:r>
        <w:t>Detlor</w:t>
      </w:r>
      <w:proofErr w:type="spellEnd"/>
      <w:r>
        <w:t xml:space="preserve">. They both made significant contributions to this dissertation by guiding me throughout various steps of the process, in particular on refining my proposed model, designing the experiments of this research, and preparing the final document. It was a great honour for me to have Dr. </w:t>
      </w:r>
      <w:proofErr w:type="spellStart"/>
      <w:r>
        <w:t>Hassanein</w:t>
      </w:r>
      <w:proofErr w:type="spellEnd"/>
      <w:r>
        <w:t xml:space="preserve"> and Dr. </w:t>
      </w:r>
      <w:proofErr w:type="spellStart"/>
      <w:r>
        <w:t>Detlor</w:t>
      </w:r>
      <w:proofErr w:type="spellEnd"/>
      <w:r>
        <w:t xml:space="preserve"> on my supervisory committee.</w:t>
      </w:r>
    </w:p>
    <w:p w14:paraId="64C579C0" w14:textId="27138DFA" w:rsidR="009245E3" w:rsidRDefault="009245E3" w:rsidP="009245E3">
      <w:r>
        <w:t xml:space="preserve">I should hereby thank Dr. Norm Archer for his generous donations that enabled </w:t>
      </w:r>
      <w:r w:rsidR="00BC332A">
        <w:t>me to receive</w:t>
      </w:r>
      <w:r>
        <w:t xml:space="preserve"> the Norm Archer Endowed Prize, and for his valuable feedback on my dissertation as the internal examiner and as professor in one of my Ph</w:t>
      </w:r>
      <w:r w:rsidR="00C53436">
        <w:t>.</w:t>
      </w:r>
      <w:r>
        <w:t>D</w:t>
      </w:r>
      <w:r w:rsidR="00C53436">
        <w:t>.</w:t>
      </w:r>
      <w:r>
        <w:t xml:space="preserve"> courses.</w:t>
      </w:r>
    </w:p>
    <w:p w14:paraId="4D6582C6" w14:textId="343A6CAA" w:rsidR="008E60D4" w:rsidRDefault="008E60D4" w:rsidP="008E60D4">
      <w:r>
        <w:t xml:space="preserve">In addition, a thank you to my dear friends Amir Tavasoli and </w:t>
      </w:r>
      <w:proofErr w:type="spellStart"/>
      <w:r>
        <w:t>Farzad</w:t>
      </w:r>
      <w:proofErr w:type="spellEnd"/>
      <w:r>
        <w:t xml:space="preserve"> </w:t>
      </w:r>
      <w:proofErr w:type="spellStart"/>
      <w:r>
        <w:t>Nikfar</w:t>
      </w:r>
      <w:proofErr w:type="spellEnd"/>
      <w:r w:rsidR="00B72B15">
        <w:t xml:space="preserve">, </w:t>
      </w:r>
      <w:r w:rsidR="00251720">
        <w:t xml:space="preserve">my siblings, in particular </w:t>
      </w:r>
      <w:proofErr w:type="spellStart"/>
      <w:r w:rsidR="00251720">
        <w:t>Babak</w:t>
      </w:r>
      <w:proofErr w:type="spellEnd"/>
      <w:r w:rsidR="00251720">
        <w:t xml:space="preserve"> and his family</w:t>
      </w:r>
      <w:r w:rsidR="00C53436">
        <w:t xml:space="preserve">, my aunt </w:t>
      </w:r>
      <w:proofErr w:type="spellStart"/>
      <w:r w:rsidR="00C53436">
        <w:t>Shohreh</w:t>
      </w:r>
      <w:proofErr w:type="spellEnd"/>
      <w:r w:rsidR="005D72E8">
        <w:t>,</w:t>
      </w:r>
      <w:r>
        <w:t xml:space="preserve"> </w:t>
      </w:r>
      <w:r w:rsidR="009316B8">
        <w:t xml:space="preserve">and our new family member, Don </w:t>
      </w:r>
      <w:proofErr w:type="spellStart"/>
      <w:r w:rsidR="009316B8">
        <w:t>Ferrito</w:t>
      </w:r>
      <w:proofErr w:type="spellEnd"/>
      <w:r w:rsidR="009316B8">
        <w:t xml:space="preserve">, </w:t>
      </w:r>
      <w:r w:rsidR="005D72E8">
        <w:t xml:space="preserve">with whom I never felt alone during the past few </w:t>
      </w:r>
      <w:r w:rsidR="00251720">
        <w:t>ye</w:t>
      </w:r>
      <w:r w:rsidR="005D72E8">
        <w:t>ars.</w:t>
      </w:r>
    </w:p>
    <w:p w14:paraId="74C6257A" w14:textId="7CCBB56D" w:rsidR="008E60D4" w:rsidRDefault="009245E3" w:rsidP="008E60D4">
      <w:r>
        <w:t xml:space="preserve">I would </w:t>
      </w:r>
      <w:r w:rsidR="003B110D">
        <w:t xml:space="preserve">also </w:t>
      </w:r>
      <w:r>
        <w:t xml:space="preserve">like to thank the DeGroote Community at large, in particular Deb R. </w:t>
      </w:r>
      <w:proofErr w:type="spellStart"/>
      <w:r>
        <w:t>Baldry</w:t>
      </w:r>
      <w:proofErr w:type="spellEnd"/>
      <w:r>
        <w:t xml:space="preserve">, Dr. Catherine Connelly, Iris </w:t>
      </w:r>
      <w:proofErr w:type="spellStart"/>
      <w:r>
        <w:t>Kehler</w:t>
      </w:r>
      <w:proofErr w:type="spellEnd"/>
      <w:r>
        <w:t xml:space="preserve">, Sandra Stephens, and Carolyn Colwell </w:t>
      </w:r>
      <w:r w:rsidR="00C53436">
        <w:t>for their tremendous support</w:t>
      </w:r>
      <w:r>
        <w:t>.</w:t>
      </w:r>
    </w:p>
    <w:p w14:paraId="1A5A870E" w14:textId="77777777" w:rsidR="00776421" w:rsidRDefault="009245E3" w:rsidP="009245E3">
      <w:r>
        <w:t>I was very fortunate to receive the financial assistance of Social Sciences and Humanities Research Council of Canada and the Ontario Graduate Scholarship Program in the last two years, for which I am truly grateful.</w:t>
      </w:r>
      <w:r w:rsidR="00AB74FC" w:rsidRPr="00AB74FC">
        <w:t xml:space="preserve"> </w:t>
      </w:r>
    </w:p>
    <w:p w14:paraId="6D9ACD20" w14:textId="69695632" w:rsidR="008531FF" w:rsidRDefault="00B72B15" w:rsidP="009245E3">
      <w:r>
        <w:t xml:space="preserve">Last, </w:t>
      </w:r>
      <w:r w:rsidR="00745394">
        <w:t>but</w:t>
      </w:r>
      <w:r>
        <w:t xml:space="preserve"> </w:t>
      </w:r>
      <w:r w:rsidR="00745394">
        <w:t>certainly</w:t>
      </w:r>
      <w:r>
        <w:t xml:space="preserve"> not least, I </w:t>
      </w:r>
      <w:r w:rsidR="003B110D">
        <w:t xml:space="preserve">cannot </w:t>
      </w:r>
      <w:r w:rsidR="00745394">
        <w:t>thank my wife</w:t>
      </w:r>
      <w:r w:rsidR="003B110D">
        <w:t xml:space="preserve"> (and PhD partner in crime)</w:t>
      </w:r>
      <w:r w:rsidR="00745394">
        <w:t xml:space="preserve"> </w:t>
      </w:r>
      <w:r w:rsidR="003B110D">
        <w:t xml:space="preserve">enough </w:t>
      </w:r>
      <w:r w:rsidR="00745394">
        <w:t>for her endless patience and be</w:t>
      </w:r>
      <w:r w:rsidR="00D12005">
        <w:t xml:space="preserve">lief in me, which </w:t>
      </w:r>
      <w:r w:rsidR="00745394">
        <w:t>motivated me to overcome the challenges I faced during the past few years</w:t>
      </w:r>
      <w:r w:rsidR="00D12005">
        <w:t xml:space="preserve"> and keep my sanity</w:t>
      </w:r>
      <w:r w:rsidR="00745394">
        <w:t xml:space="preserve">. </w:t>
      </w:r>
      <w:r w:rsidR="003B110D">
        <w:t>Thank you.</w:t>
      </w:r>
    </w:p>
    <w:p w14:paraId="4417B546" w14:textId="77777777" w:rsidR="0088127F" w:rsidRDefault="0088127F">
      <w:pPr>
        <w:spacing w:line="240" w:lineRule="auto"/>
        <w:ind w:firstLine="0"/>
      </w:pPr>
      <w:r>
        <w:br w:type="page"/>
      </w:r>
    </w:p>
    <w:p w14:paraId="407F6421" w14:textId="77777777" w:rsidR="0088127F" w:rsidRDefault="0088127F" w:rsidP="0088127F">
      <w:pPr>
        <w:pStyle w:val="Basictext"/>
        <w:spacing w:before="0" w:after="120"/>
        <w:ind w:firstLine="720"/>
        <w:jc w:val="center"/>
        <w:rPr>
          <w:rFonts w:ascii="Times" w:hAnsi="Times" w:cs="IranNastaliq" w:hint="cs"/>
          <w:color w:val="auto"/>
          <w:sz w:val="44"/>
          <w:szCs w:val="44"/>
          <w:rtl/>
          <w:lang w:val="en-CA" w:bidi="fa-IR"/>
        </w:rPr>
      </w:pPr>
    </w:p>
    <w:p w14:paraId="723123CC" w14:textId="77777777" w:rsidR="0088127F" w:rsidRDefault="0088127F" w:rsidP="0088127F">
      <w:pPr>
        <w:pStyle w:val="Basictext"/>
        <w:spacing w:before="0" w:after="120"/>
        <w:ind w:firstLine="720"/>
        <w:jc w:val="center"/>
        <w:rPr>
          <w:rFonts w:ascii="Times" w:hAnsi="Times" w:cs="IranNastaliq" w:hint="cs"/>
          <w:color w:val="auto"/>
          <w:sz w:val="44"/>
          <w:szCs w:val="44"/>
          <w:lang w:val="en-CA" w:bidi="fa-IR"/>
        </w:rPr>
      </w:pPr>
    </w:p>
    <w:p w14:paraId="3AA61C82" w14:textId="77777777" w:rsidR="005C349D" w:rsidRDefault="005C349D" w:rsidP="0088127F">
      <w:pPr>
        <w:pStyle w:val="Basictext"/>
        <w:spacing w:before="0" w:after="120"/>
        <w:ind w:firstLine="720"/>
        <w:jc w:val="center"/>
        <w:rPr>
          <w:rFonts w:ascii="Times" w:hAnsi="Times" w:cs="IranNastaliq" w:hint="cs"/>
          <w:color w:val="auto"/>
          <w:sz w:val="44"/>
          <w:szCs w:val="44"/>
          <w:lang w:val="en-CA" w:bidi="fa-IR"/>
        </w:rPr>
      </w:pPr>
    </w:p>
    <w:p w14:paraId="11A06D83" w14:textId="77777777" w:rsidR="005C349D" w:rsidRDefault="005C349D" w:rsidP="0088127F">
      <w:pPr>
        <w:pStyle w:val="Basictext"/>
        <w:spacing w:before="0" w:after="120"/>
        <w:ind w:firstLine="720"/>
        <w:jc w:val="center"/>
        <w:rPr>
          <w:rFonts w:ascii="Times" w:hAnsi="Times" w:cs="IranNastaliq" w:hint="cs"/>
          <w:color w:val="auto"/>
          <w:sz w:val="44"/>
          <w:szCs w:val="44"/>
          <w:lang w:val="en-CA" w:bidi="fa-IR"/>
        </w:rPr>
      </w:pPr>
    </w:p>
    <w:p w14:paraId="5295FC9A" w14:textId="77777777" w:rsidR="005C349D" w:rsidRDefault="005C349D" w:rsidP="0088127F">
      <w:pPr>
        <w:pStyle w:val="Basictext"/>
        <w:spacing w:before="0" w:after="120"/>
        <w:ind w:firstLine="720"/>
        <w:jc w:val="center"/>
        <w:rPr>
          <w:rFonts w:ascii="Times" w:hAnsi="Times" w:cs="IranNastaliq" w:hint="cs"/>
          <w:color w:val="auto"/>
          <w:sz w:val="44"/>
          <w:szCs w:val="44"/>
          <w:lang w:val="en-CA" w:bidi="fa-IR"/>
        </w:rPr>
      </w:pPr>
    </w:p>
    <w:p w14:paraId="5F087AC2" w14:textId="77777777" w:rsidR="005C349D" w:rsidRDefault="005C349D" w:rsidP="0088127F">
      <w:pPr>
        <w:pStyle w:val="Basictext"/>
        <w:spacing w:before="0" w:after="120"/>
        <w:ind w:firstLine="720"/>
        <w:jc w:val="center"/>
        <w:rPr>
          <w:rFonts w:ascii="Times" w:hAnsi="Times" w:cs="IranNastaliq" w:hint="cs"/>
          <w:color w:val="auto"/>
          <w:sz w:val="44"/>
          <w:szCs w:val="44"/>
          <w:rtl/>
          <w:lang w:val="en-CA" w:bidi="fa-IR"/>
        </w:rPr>
      </w:pPr>
    </w:p>
    <w:p w14:paraId="62373E4C" w14:textId="77777777" w:rsidR="0088127F" w:rsidRPr="005C349D" w:rsidRDefault="0088127F" w:rsidP="0088127F">
      <w:pPr>
        <w:pStyle w:val="Basictext"/>
        <w:spacing w:before="0" w:after="120"/>
        <w:ind w:firstLine="720"/>
        <w:jc w:val="center"/>
        <w:rPr>
          <w:rFonts w:ascii="Times" w:hAnsi="Times" w:cs="IranNastaliq"/>
          <w:color w:val="auto"/>
          <w:sz w:val="44"/>
          <w:szCs w:val="44"/>
          <w:rtl/>
          <w:lang w:val="en-US" w:bidi="fa-IR"/>
        </w:rPr>
      </w:pPr>
    </w:p>
    <w:p w14:paraId="5C920F5A" w14:textId="304F64E0" w:rsidR="0088127F" w:rsidRPr="0088127F" w:rsidRDefault="0088127F" w:rsidP="0088127F">
      <w:pPr>
        <w:pStyle w:val="Basictext"/>
        <w:spacing w:before="0" w:after="120"/>
        <w:ind w:firstLine="720"/>
        <w:jc w:val="center"/>
        <w:rPr>
          <w:rFonts w:hint="cs"/>
          <w:rtl/>
          <w:lang w:bidi="fa-IR"/>
        </w:rPr>
      </w:pPr>
      <w:r w:rsidRPr="0088127F">
        <w:rPr>
          <w:rFonts w:ascii="Times" w:hAnsi="Times" w:cs="IranNastaliq"/>
          <w:color w:val="auto"/>
          <w:sz w:val="44"/>
          <w:szCs w:val="44"/>
          <w:rtl/>
          <w:lang w:val="en-CA" w:bidi="fa-IR"/>
        </w:rPr>
        <w:t xml:space="preserve">تقدیم </w:t>
      </w:r>
      <w:r>
        <w:rPr>
          <w:rFonts w:ascii="Times" w:hAnsi="Times" w:cs="IranNastaliq" w:hint="cs"/>
          <w:color w:val="auto"/>
          <w:sz w:val="44"/>
          <w:szCs w:val="44"/>
          <w:rtl/>
          <w:lang w:val="en-CA" w:bidi="fa-IR"/>
        </w:rPr>
        <w:t>به آنها که رفتند</w:t>
      </w:r>
    </w:p>
    <w:p w14:paraId="145D0C8A" w14:textId="20BE6AE6" w:rsidR="003E5615" w:rsidRPr="00BC081A" w:rsidRDefault="003E5615" w:rsidP="009245E3">
      <w:r w:rsidRPr="00BC081A">
        <w:br w:type="page"/>
      </w:r>
    </w:p>
    <w:p w14:paraId="1C2271DB" w14:textId="1C661C6C" w:rsidR="00B72D9B" w:rsidRPr="00BC081A" w:rsidRDefault="00B72D9B" w:rsidP="00567B25">
      <w:pPr>
        <w:spacing w:line="240" w:lineRule="auto"/>
        <w:ind w:firstLine="0"/>
        <w:jc w:val="center"/>
        <w:rPr>
          <w:b/>
          <w:sz w:val="32"/>
        </w:rPr>
      </w:pPr>
      <w:r w:rsidRPr="00BC081A">
        <w:rPr>
          <w:b/>
          <w:sz w:val="32"/>
        </w:rPr>
        <w:lastRenderedPageBreak/>
        <w:t>TABLE OF CONTENTS</w:t>
      </w:r>
    </w:p>
    <w:p w14:paraId="7C10C9A3" w14:textId="35D844F0" w:rsidR="00AD1106" w:rsidRPr="00AD1106" w:rsidRDefault="00B72D9B">
      <w:pPr>
        <w:pStyle w:val="TOC1"/>
        <w:tabs>
          <w:tab w:val="right" w:leader="dot" w:pos="9350"/>
        </w:tabs>
        <w:rPr>
          <w:rFonts w:asciiTheme="minorHAnsi" w:eastAsiaTheme="minorEastAsia" w:hAnsiTheme="minorHAnsi" w:cstheme="minorBidi"/>
          <w:noProof/>
          <w:sz w:val="24"/>
          <w:szCs w:val="24"/>
          <w:lang w:val="en-CA" w:eastAsia="ja-JP"/>
        </w:rPr>
      </w:pPr>
      <w:r w:rsidRPr="00AD1106">
        <w:rPr>
          <w:sz w:val="24"/>
          <w:szCs w:val="24"/>
        </w:rPr>
        <w:fldChar w:fldCharType="begin"/>
      </w:r>
      <w:r w:rsidRPr="00AD1106">
        <w:rPr>
          <w:sz w:val="24"/>
          <w:szCs w:val="24"/>
        </w:rPr>
        <w:instrText xml:space="preserve"> TOC \o "1-3" </w:instrText>
      </w:r>
      <w:r w:rsidRPr="00AD1106">
        <w:rPr>
          <w:sz w:val="24"/>
          <w:szCs w:val="24"/>
        </w:rPr>
        <w:fldChar w:fldCharType="separate"/>
      </w:r>
      <w:r w:rsidR="00AD1106" w:rsidRPr="00AD1106">
        <w:rPr>
          <w:noProof/>
          <w:sz w:val="24"/>
          <w:szCs w:val="24"/>
        </w:rPr>
        <w:t>Chapter 1 – Introduction</w:t>
      </w:r>
      <w:r w:rsidR="00AD1106" w:rsidRPr="00AD1106">
        <w:rPr>
          <w:noProof/>
          <w:sz w:val="24"/>
          <w:szCs w:val="24"/>
        </w:rPr>
        <w:tab/>
      </w:r>
      <w:r w:rsidR="00AD1106" w:rsidRPr="00AD1106">
        <w:rPr>
          <w:noProof/>
          <w:sz w:val="24"/>
          <w:szCs w:val="24"/>
        </w:rPr>
        <w:fldChar w:fldCharType="begin"/>
      </w:r>
      <w:r w:rsidR="00AD1106" w:rsidRPr="00AD1106">
        <w:rPr>
          <w:noProof/>
          <w:sz w:val="24"/>
          <w:szCs w:val="24"/>
        </w:rPr>
        <w:instrText xml:space="preserve"> PAGEREF _Toc275209809 \h </w:instrText>
      </w:r>
      <w:r w:rsidR="00AD1106" w:rsidRPr="00AD1106">
        <w:rPr>
          <w:noProof/>
          <w:sz w:val="24"/>
          <w:szCs w:val="24"/>
        </w:rPr>
      </w:r>
      <w:r w:rsidR="00AD1106" w:rsidRPr="00AD1106">
        <w:rPr>
          <w:noProof/>
          <w:sz w:val="24"/>
          <w:szCs w:val="24"/>
        </w:rPr>
        <w:fldChar w:fldCharType="separate"/>
      </w:r>
      <w:r w:rsidR="008C71FB">
        <w:rPr>
          <w:noProof/>
          <w:sz w:val="24"/>
          <w:szCs w:val="24"/>
        </w:rPr>
        <w:t>1</w:t>
      </w:r>
      <w:r w:rsidR="00AD1106" w:rsidRPr="00AD1106">
        <w:rPr>
          <w:noProof/>
          <w:sz w:val="24"/>
          <w:szCs w:val="24"/>
        </w:rPr>
        <w:fldChar w:fldCharType="end"/>
      </w:r>
    </w:p>
    <w:p w14:paraId="2B146C46"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1.1 Motivation and Research Objectives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_Toc275209810 \h </w:instrText>
      </w:r>
      <w:r w:rsidRPr="00AD1106">
        <w:rPr>
          <w:noProof/>
          <w:sz w:val="24"/>
          <w:szCs w:val="24"/>
        </w:rPr>
      </w:r>
      <w:r w:rsidRPr="00AD1106">
        <w:rPr>
          <w:noProof/>
          <w:sz w:val="24"/>
          <w:szCs w:val="24"/>
        </w:rPr>
        <w:fldChar w:fldCharType="separate"/>
      </w:r>
      <w:r w:rsidR="008C71FB">
        <w:rPr>
          <w:noProof/>
          <w:sz w:val="24"/>
          <w:szCs w:val="24"/>
        </w:rPr>
        <w:t>2</w:t>
      </w:r>
      <w:r w:rsidRPr="00AD1106">
        <w:rPr>
          <w:noProof/>
          <w:sz w:val="24"/>
          <w:szCs w:val="24"/>
        </w:rPr>
        <w:fldChar w:fldCharType="end"/>
      </w:r>
    </w:p>
    <w:p w14:paraId="498A8F39"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1.2 Research Outline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_Toc275209811 \h </w:instrText>
      </w:r>
      <w:r w:rsidRPr="00AD1106">
        <w:rPr>
          <w:noProof/>
          <w:sz w:val="24"/>
          <w:szCs w:val="24"/>
        </w:rPr>
      </w:r>
      <w:r w:rsidRPr="00AD1106">
        <w:rPr>
          <w:noProof/>
          <w:sz w:val="24"/>
          <w:szCs w:val="24"/>
        </w:rPr>
        <w:fldChar w:fldCharType="separate"/>
      </w:r>
      <w:r w:rsidR="008C71FB">
        <w:rPr>
          <w:noProof/>
          <w:sz w:val="24"/>
          <w:szCs w:val="24"/>
        </w:rPr>
        <w:t>4</w:t>
      </w:r>
      <w:r w:rsidRPr="00AD1106">
        <w:rPr>
          <w:noProof/>
          <w:sz w:val="24"/>
          <w:szCs w:val="24"/>
        </w:rPr>
        <w:fldChar w:fldCharType="end"/>
      </w:r>
    </w:p>
    <w:p w14:paraId="63A556B8" w14:textId="77777777" w:rsidR="00AD1106" w:rsidRPr="00AD1106" w:rsidRDefault="00AD1106">
      <w:pPr>
        <w:pStyle w:val="TOC1"/>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Chapter 2 – Literature Review</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_Toc275209812 \h </w:instrText>
      </w:r>
      <w:r w:rsidRPr="00AD1106">
        <w:rPr>
          <w:noProof/>
          <w:sz w:val="24"/>
          <w:szCs w:val="24"/>
        </w:rPr>
      </w:r>
      <w:r w:rsidRPr="00AD1106">
        <w:rPr>
          <w:noProof/>
          <w:sz w:val="24"/>
          <w:szCs w:val="24"/>
        </w:rPr>
        <w:fldChar w:fldCharType="separate"/>
      </w:r>
      <w:r w:rsidR="008C71FB">
        <w:rPr>
          <w:noProof/>
          <w:sz w:val="24"/>
          <w:szCs w:val="24"/>
        </w:rPr>
        <w:t>6</w:t>
      </w:r>
      <w:r w:rsidRPr="00AD1106">
        <w:rPr>
          <w:noProof/>
          <w:sz w:val="24"/>
          <w:szCs w:val="24"/>
        </w:rPr>
        <w:fldChar w:fldCharType="end"/>
      </w:r>
    </w:p>
    <w:p w14:paraId="58FCC8F4"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2.1 Video Games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_Toc275209813 \h </w:instrText>
      </w:r>
      <w:r w:rsidRPr="00AD1106">
        <w:rPr>
          <w:noProof/>
          <w:sz w:val="24"/>
          <w:szCs w:val="24"/>
        </w:rPr>
      </w:r>
      <w:r w:rsidRPr="00AD1106">
        <w:rPr>
          <w:noProof/>
          <w:sz w:val="24"/>
          <w:szCs w:val="24"/>
        </w:rPr>
        <w:fldChar w:fldCharType="separate"/>
      </w:r>
      <w:r w:rsidR="008C71FB">
        <w:rPr>
          <w:noProof/>
          <w:sz w:val="24"/>
          <w:szCs w:val="24"/>
        </w:rPr>
        <w:t>6</w:t>
      </w:r>
      <w:r w:rsidRPr="00AD1106">
        <w:rPr>
          <w:noProof/>
          <w:sz w:val="24"/>
          <w:szCs w:val="24"/>
        </w:rPr>
        <w:fldChar w:fldCharType="end"/>
      </w:r>
    </w:p>
    <w:p w14:paraId="74B618FF"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2.1.1</w:t>
      </w:r>
      <w:r w:rsidRPr="00AD1106">
        <w:rPr>
          <w:rFonts w:asciiTheme="minorHAnsi" w:eastAsiaTheme="minorEastAsia" w:hAnsiTheme="minorHAnsi" w:cstheme="minorBidi"/>
          <w:noProof/>
          <w:sz w:val="24"/>
          <w:szCs w:val="24"/>
          <w:lang w:val="en-CA" w:eastAsia="ja-JP"/>
        </w:rPr>
        <w:tab/>
      </w:r>
      <w:r w:rsidRPr="00AD1106">
        <w:rPr>
          <w:noProof/>
          <w:sz w:val="24"/>
          <w:szCs w:val="24"/>
        </w:rPr>
        <w:t>Serious Games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_Toc275209814 \h </w:instrText>
      </w:r>
      <w:r w:rsidRPr="00AD1106">
        <w:rPr>
          <w:noProof/>
          <w:sz w:val="24"/>
          <w:szCs w:val="24"/>
        </w:rPr>
      </w:r>
      <w:r w:rsidRPr="00AD1106">
        <w:rPr>
          <w:noProof/>
          <w:sz w:val="24"/>
          <w:szCs w:val="24"/>
        </w:rPr>
        <w:fldChar w:fldCharType="separate"/>
      </w:r>
      <w:r w:rsidR="008C71FB">
        <w:rPr>
          <w:noProof/>
          <w:sz w:val="24"/>
          <w:szCs w:val="24"/>
        </w:rPr>
        <w:t>8</w:t>
      </w:r>
      <w:r w:rsidRPr="00AD1106">
        <w:rPr>
          <w:noProof/>
          <w:sz w:val="24"/>
          <w:szCs w:val="24"/>
        </w:rPr>
        <w:fldChar w:fldCharType="end"/>
      </w:r>
    </w:p>
    <w:p w14:paraId="08E9DF1C"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2.1.2</w:t>
      </w:r>
      <w:r w:rsidRPr="00AD1106">
        <w:rPr>
          <w:rFonts w:asciiTheme="minorHAnsi" w:eastAsiaTheme="minorEastAsia" w:hAnsiTheme="minorHAnsi" w:cstheme="minorBidi"/>
          <w:noProof/>
          <w:sz w:val="24"/>
          <w:szCs w:val="24"/>
          <w:lang w:val="en-CA" w:eastAsia="ja-JP"/>
        </w:rPr>
        <w:tab/>
      </w:r>
      <w:r w:rsidRPr="00AD1106">
        <w:rPr>
          <w:noProof/>
          <w:sz w:val="24"/>
          <w:szCs w:val="24"/>
        </w:rPr>
        <w:t>Beyond Serious Games: Gamification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_Toc275209815 \h </w:instrText>
      </w:r>
      <w:r w:rsidRPr="00AD1106">
        <w:rPr>
          <w:noProof/>
          <w:sz w:val="24"/>
          <w:szCs w:val="24"/>
        </w:rPr>
      </w:r>
      <w:r w:rsidRPr="00AD1106">
        <w:rPr>
          <w:noProof/>
          <w:sz w:val="24"/>
          <w:szCs w:val="24"/>
        </w:rPr>
        <w:fldChar w:fldCharType="separate"/>
      </w:r>
      <w:r w:rsidR="008C71FB">
        <w:rPr>
          <w:noProof/>
          <w:sz w:val="24"/>
          <w:szCs w:val="24"/>
        </w:rPr>
        <w:t>15</w:t>
      </w:r>
      <w:r w:rsidRPr="00AD1106">
        <w:rPr>
          <w:noProof/>
          <w:sz w:val="24"/>
          <w:szCs w:val="24"/>
        </w:rPr>
        <w:fldChar w:fldCharType="end"/>
      </w:r>
    </w:p>
    <w:p w14:paraId="0F20DB04"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2.2 Extant Literature Review on Video Game Experience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_Toc275209816 \h </w:instrText>
      </w:r>
      <w:r w:rsidRPr="00AD1106">
        <w:rPr>
          <w:noProof/>
          <w:sz w:val="24"/>
          <w:szCs w:val="24"/>
        </w:rPr>
      </w:r>
      <w:r w:rsidRPr="00AD1106">
        <w:rPr>
          <w:noProof/>
          <w:sz w:val="24"/>
          <w:szCs w:val="24"/>
        </w:rPr>
        <w:fldChar w:fldCharType="separate"/>
      </w:r>
      <w:r w:rsidR="008C71FB">
        <w:rPr>
          <w:noProof/>
          <w:sz w:val="24"/>
          <w:szCs w:val="24"/>
        </w:rPr>
        <w:t>17</w:t>
      </w:r>
      <w:r w:rsidRPr="00AD1106">
        <w:rPr>
          <w:noProof/>
          <w:sz w:val="24"/>
          <w:szCs w:val="24"/>
        </w:rPr>
        <w:fldChar w:fldCharType="end"/>
      </w:r>
    </w:p>
    <w:p w14:paraId="7A7ED183"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2.2.1</w:t>
      </w:r>
      <w:r w:rsidRPr="00AD1106">
        <w:rPr>
          <w:rFonts w:asciiTheme="minorHAnsi" w:eastAsiaTheme="minorEastAsia" w:hAnsiTheme="minorHAnsi" w:cstheme="minorBidi"/>
          <w:noProof/>
          <w:sz w:val="24"/>
          <w:szCs w:val="24"/>
          <w:lang w:val="en-CA" w:eastAsia="ja-JP"/>
        </w:rPr>
        <w:tab/>
      </w:r>
      <w:r w:rsidRPr="00AD1106">
        <w:rPr>
          <w:noProof/>
          <w:sz w:val="24"/>
          <w:szCs w:val="24"/>
        </w:rPr>
        <w:t>Studies with the Focus on Competition and Game Elements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_Toc275209817 \h </w:instrText>
      </w:r>
      <w:r w:rsidRPr="00AD1106">
        <w:rPr>
          <w:noProof/>
          <w:sz w:val="24"/>
          <w:szCs w:val="24"/>
        </w:rPr>
      </w:r>
      <w:r w:rsidRPr="00AD1106">
        <w:rPr>
          <w:noProof/>
          <w:sz w:val="24"/>
          <w:szCs w:val="24"/>
        </w:rPr>
        <w:fldChar w:fldCharType="separate"/>
      </w:r>
      <w:r w:rsidR="008C71FB">
        <w:rPr>
          <w:noProof/>
          <w:sz w:val="24"/>
          <w:szCs w:val="24"/>
        </w:rPr>
        <w:t>17</w:t>
      </w:r>
      <w:r w:rsidRPr="00AD1106">
        <w:rPr>
          <w:noProof/>
          <w:sz w:val="24"/>
          <w:szCs w:val="24"/>
        </w:rPr>
        <w:fldChar w:fldCharType="end"/>
      </w:r>
    </w:p>
    <w:p w14:paraId="6E387D1B" w14:textId="77777777" w:rsidR="00AD1106" w:rsidRPr="00AD1106" w:rsidRDefault="00AD1106">
      <w:pPr>
        <w:pStyle w:val="TOC1"/>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Chapter 3 – Theoretical Framework and Development of Research Model</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_Toc275209818 \h </w:instrText>
      </w:r>
      <w:r w:rsidRPr="00AD1106">
        <w:rPr>
          <w:noProof/>
          <w:sz w:val="24"/>
          <w:szCs w:val="24"/>
        </w:rPr>
      </w:r>
      <w:r w:rsidRPr="00AD1106">
        <w:rPr>
          <w:noProof/>
          <w:sz w:val="24"/>
          <w:szCs w:val="24"/>
        </w:rPr>
        <w:fldChar w:fldCharType="separate"/>
      </w:r>
      <w:r w:rsidR="008C71FB">
        <w:rPr>
          <w:noProof/>
          <w:sz w:val="24"/>
          <w:szCs w:val="24"/>
        </w:rPr>
        <w:t>24</w:t>
      </w:r>
      <w:r w:rsidRPr="00AD1106">
        <w:rPr>
          <w:noProof/>
          <w:sz w:val="24"/>
          <w:szCs w:val="24"/>
        </w:rPr>
        <w:fldChar w:fldCharType="end"/>
      </w:r>
    </w:p>
    <w:p w14:paraId="08247204"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3.1 Self-Determination Theory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_Toc275209819 \h </w:instrText>
      </w:r>
      <w:r w:rsidRPr="00AD1106">
        <w:rPr>
          <w:noProof/>
          <w:sz w:val="24"/>
          <w:szCs w:val="24"/>
        </w:rPr>
      </w:r>
      <w:r w:rsidRPr="00AD1106">
        <w:rPr>
          <w:noProof/>
          <w:sz w:val="24"/>
          <w:szCs w:val="24"/>
        </w:rPr>
        <w:fldChar w:fldCharType="separate"/>
      </w:r>
      <w:r w:rsidR="008C71FB">
        <w:rPr>
          <w:noProof/>
          <w:sz w:val="24"/>
          <w:szCs w:val="24"/>
        </w:rPr>
        <w:t>25</w:t>
      </w:r>
      <w:r w:rsidRPr="00AD1106">
        <w:rPr>
          <w:noProof/>
          <w:sz w:val="24"/>
          <w:szCs w:val="24"/>
        </w:rPr>
        <w:fldChar w:fldCharType="end"/>
      </w:r>
    </w:p>
    <w:p w14:paraId="7936CB02"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3.1.1</w:t>
      </w:r>
      <w:r w:rsidRPr="00AD1106">
        <w:rPr>
          <w:rFonts w:asciiTheme="minorHAnsi" w:eastAsiaTheme="minorEastAsia" w:hAnsiTheme="minorHAnsi" w:cstheme="minorBidi"/>
          <w:noProof/>
          <w:sz w:val="24"/>
          <w:szCs w:val="24"/>
          <w:lang w:val="en-CA" w:eastAsia="ja-JP"/>
        </w:rPr>
        <w:tab/>
      </w:r>
      <w:r w:rsidRPr="00AD1106">
        <w:rPr>
          <w:noProof/>
          <w:sz w:val="24"/>
          <w:szCs w:val="24"/>
        </w:rPr>
        <w:t>SDT and Competition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_Toc275209820 \h </w:instrText>
      </w:r>
      <w:r w:rsidRPr="00AD1106">
        <w:rPr>
          <w:noProof/>
          <w:sz w:val="24"/>
          <w:szCs w:val="24"/>
        </w:rPr>
      </w:r>
      <w:r w:rsidRPr="00AD1106">
        <w:rPr>
          <w:noProof/>
          <w:sz w:val="24"/>
          <w:szCs w:val="24"/>
        </w:rPr>
        <w:fldChar w:fldCharType="separate"/>
      </w:r>
      <w:r w:rsidR="008C71FB">
        <w:rPr>
          <w:noProof/>
          <w:sz w:val="24"/>
          <w:szCs w:val="24"/>
        </w:rPr>
        <w:t>26</w:t>
      </w:r>
      <w:r w:rsidRPr="00AD1106">
        <w:rPr>
          <w:noProof/>
          <w:sz w:val="24"/>
          <w:szCs w:val="24"/>
        </w:rPr>
        <w:fldChar w:fldCharType="end"/>
      </w:r>
    </w:p>
    <w:p w14:paraId="4616F779"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3.2 Flow Theory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_Toc275209821 \h </w:instrText>
      </w:r>
      <w:r w:rsidRPr="00AD1106">
        <w:rPr>
          <w:noProof/>
          <w:sz w:val="24"/>
          <w:szCs w:val="24"/>
        </w:rPr>
      </w:r>
      <w:r w:rsidRPr="00AD1106">
        <w:rPr>
          <w:noProof/>
          <w:sz w:val="24"/>
          <w:szCs w:val="24"/>
        </w:rPr>
        <w:fldChar w:fldCharType="separate"/>
      </w:r>
      <w:r w:rsidR="008C71FB">
        <w:rPr>
          <w:noProof/>
          <w:sz w:val="24"/>
          <w:szCs w:val="24"/>
        </w:rPr>
        <w:t>34</w:t>
      </w:r>
      <w:r w:rsidRPr="00AD1106">
        <w:rPr>
          <w:noProof/>
          <w:sz w:val="24"/>
          <w:szCs w:val="24"/>
        </w:rPr>
        <w:fldChar w:fldCharType="end"/>
      </w:r>
    </w:p>
    <w:p w14:paraId="7A20BE96"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3.2.1</w:t>
      </w:r>
      <w:r w:rsidRPr="00AD1106">
        <w:rPr>
          <w:rFonts w:asciiTheme="minorHAnsi" w:eastAsiaTheme="minorEastAsia" w:hAnsiTheme="minorHAnsi" w:cstheme="minorBidi"/>
          <w:noProof/>
          <w:sz w:val="24"/>
          <w:szCs w:val="24"/>
          <w:lang w:val="en-CA" w:eastAsia="ja-JP"/>
        </w:rPr>
        <w:tab/>
      </w:r>
      <w:r w:rsidRPr="00AD1106">
        <w:rPr>
          <w:noProof/>
          <w:sz w:val="24"/>
          <w:szCs w:val="24"/>
        </w:rPr>
        <w:t>Meta-analysis of Flow</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_Toc275209822 \h </w:instrText>
      </w:r>
      <w:r w:rsidRPr="00AD1106">
        <w:rPr>
          <w:noProof/>
          <w:sz w:val="24"/>
          <w:szCs w:val="24"/>
        </w:rPr>
      </w:r>
      <w:r w:rsidRPr="00AD1106">
        <w:rPr>
          <w:noProof/>
          <w:sz w:val="24"/>
          <w:szCs w:val="24"/>
        </w:rPr>
        <w:fldChar w:fldCharType="separate"/>
      </w:r>
      <w:r w:rsidR="008C71FB">
        <w:rPr>
          <w:noProof/>
          <w:sz w:val="24"/>
          <w:szCs w:val="24"/>
        </w:rPr>
        <w:t>37</w:t>
      </w:r>
      <w:r w:rsidRPr="00AD1106">
        <w:rPr>
          <w:noProof/>
          <w:sz w:val="24"/>
          <w:szCs w:val="24"/>
        </w:rPr>
        <w:fldChar w:fldCharType="end"/>
      </w:r>
    </w:p>
    <w:p w14:paraId="553C7455"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3.3 Combining SDT and Flow</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_Toc275209823 \h </w:instrText>
      </w:r>
      <w:r w:rsidRPr="00AD1106">
        <w:rPr>
          <w:noProof/>
          <w:sz w:val="24"/>
          <w:szCs w:val="24"/>
        </w:rPr>
      </w:r>
      <w:r w:rsidRPr="00AD1106">
        <w:rPr>
          <w:noProof/>
          <w:sz w:val="24"/>
          <w:szCs w:val="24"/>
        </w:rPr>
        <w:fldChar w:fldCharType="separate"/>
      </w:r>
      <w:r w:rsidR="008C71FB">
        <w:rPr>
          <w:noProof/>
          <w:sz w:val="24"/>
          <w:szCs w:val="24"/>
        </w:rPr>
        <w:t>41</w:t>
      </w:r>
      <w:r w:rsidRPr="00AD1106">
        <w:rPr>
          <w:noProof/>
          <w:sz w:val="24"/>
          <w:szCs w:val="24"/>
        </w:rPr>
        <w:fldChar w:fldCharType="end"/>
      </w:r>
    </w:p>
    <w:p w14:paraId="0B47B3D4"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3.4 Proposed Research model and Hypotheses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_Toc275209824 \h </w:instrText>
      </w:r>
      <w:r w:rsidRPr="00AD1106">
        <w:rPr>
          <w:noProof/>
          <w:sz w:val="24"/>
          <w:szCs w:val="24"/>
        </w:rPr>
      </w:r>
      <w:r w:rsidRPr="00AD1106">
        <w:rPr>
          <w:noProof/>
          <w:sz w:val="24"/>
          <w:szCs w:val="24"/>
        </w:rPr>
        <w:fldChar w:fldCharType="separate"/>
      </w:r>
      <w:r w:rsidR="008C71FB">
        <w:rPr>
          <w:noProof/>
          <w:sz w:val="24"/>
          <w:szCs w:val="24"/>
        </w:rPr>
        <w:t>43</w:t>
      </w:r>
      <w:r w:rsidRPr="00AD1106">
        <w:rPr>
          <w:noProof/>
          <w:sz w:val="24"/>
          <w:szCs w:val="24"/>
        </w:rPr>
        <w:fldChar w:fldCharType="end"/>
      </w:r>
    </w:p>
    <w:p w14:paraId="58CA826A" w14:textId="77777777" w:rsidR="00AD1106" w:rsidRPr="00AD1106" w:rsidRDefault="00AD1106">
      <w:pPr>
        <w:pStyle w:val="TOC1"/>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Chapter 4 – Research Methodology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_Toc275209825 \h </w:instrText>
      </w:r>
      <w:r w:rsidRPr="00AD1106">
        <w:rPr>
          <w:noProof/>
          <w:sz w:val="24"/>
          <w:szCs w:val="24"/>
        </w:rPr>
      </w:r>
      <w:r w:rsidRPr="00AD1106">
        <w:rPr>
          <w:noProof/>
          <w:sz w:val="24"/>
          <w:szCs w:val="24"/>
        </w:rPr>
        <w:fldChar w:fldCharType="separate"/>
      </w:r>
      <w:r w:rsidR="008C71FB">
        <w:rPr>
          <w:noProof/>
          <w:sz w:val="24"/>
          <w:szCs w:val="24"/>
        </w:rPr>
        <w:t>54</w:t>
      </w:r>
      <w:r w:rsidRPr="00AD1106">
        <w:rPr>
          <w:noProof/>
          <w:sz w:val="24"/>
          <w:szCs w:val="24"/>
        </w:rPr>
        <w:fldChar w:fldCharType="end"/>
      </w:r>
    </w:p>
    <w:p w14:paraId="6BF9F166"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4.1.1</w:t>
      </w:r>
      <w:r w:rsidRPr="00AD1106">
        <w:rPr>
          <w:rFonts w:asciiTheme="minorHAnsi" w:eastAsiaTheme="minorEastAsia" w:hAnsiTheme="minorHAnsi" w:cstheme="minorBidi"/>
          <w:noProof/>
          <w:sz w:val="24"/>
          <w:szCs w:val="24"/>
          <w:lang w:val="en-CA" w:eastAsia="ja-JP"/>
        </w:rPr>
        <w:tab/>
      </w:r>
      <w:r w:rsidRPr="00AD1106">
        <w:rPr>
          <w:noProof/>
          <w:sz w:val="24"/>
          <w:szCs w:val="24"/>
        </w:rPr>
        <w:t>Data Collection Procedure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_Toc275209826 \h </w:instrText>
      </w:r>
      <w:r w:rsidRPr="00AD1106">
        <w:rPr>
          <w:noProof/>
          <w:sz w:val="24"/>
          <w:szCs w:val="24"/>
        </w:rPr>
      </w:r>
      <w:r w:rsidRPr="00AD1106">
        <w:rPr>
          <w:noProof/>
          <w:sz w:val="24"/>
          <w:szCs w:val="24"/>
        </w:rPr>
        <w:fldChar w:fldCharType="separate"/>
      </w:r>
      <w:r w:rsidR="008C71FB">
        <w:rPr>
          <w:noProof/>
          <w:sz w:val="24"/>
          <w:szCs w:val="24"/>
        </w:rPr>
        <w:t>54</w:t>
      </w:r>
      <w:r w:rsidRPr="00AD1106">
        <w:rPr>
          <w:noProof/>
          <w:sz w:val="24"/>
          <w:szCs w:val="24"/>
        </w:rPr>
        <w:fldChar w:fldCharType="end"/>
      </w:r>
    </w:p>
    <w:p w14:paraId="6EAECE89"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4.1.2</w:t>
      </w:r>
      <w:r w:rsidRPr="00AD1106">
        <w:rPr>
          <w:rFonts w:asciiTheme="minorHAnsi" w:eastAsiaTheme="minorEastAsia" w:hAnsiTheme="minorHAnsi" w:cstheme="minorBidi"/>
          <w:noProof/>
          <w:sz w:val="24"/>
          <w:szCs w:val="24"/>
          <w:lang w:val="en-CA" w:eastAsia="ja-JP"/>
        </w:rPr>
        <w:tab/>
      </w:r>
      <w:r w:rsidRPr="00AD1106">
        <w:rPr>
          <w:noProof/>
          <w:sz w:val="24"/>
          <w:szCs w:val="24"/>
        </w:rPr>
        <w:t>Pilot Study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_Toc275209827 \h </w:instrText>
      </w:r>
      <w:r w:rsidRPr="00AD1106">
        <w:rPr>
          <w:noProof/>
          <w:sz w:val="24"/>
          <w:szCs w:val="24"/>
        </w:rPr>
      </w:r>
      <w:r w:rsidRPr="00AD1106">
        <w:rPr>
          <w:noProof/>
          <w:sz w:val="24"/>
          <w:szCs w:val="24"/>
        </w:rPr>
        <w:fldChar w:fldCharType="separate"/>
      </w:r>
      <w:r w:rsidR="008C71FB">
        <w:rPr>
          <w:noProof/>
          <w:sz w:val="24"/>
          <w:szCs w:val="24"/>
        </w:rPr>
        <w:t>55</w:t>
      </w:r>
      <w:r w:rsidRPr="00AD1106">
        <w:rPr>
          <w:noProof/>
          <w:sz w:val="24"/>
          <w:szCs w:val="24"/>
        </w:rPr>
        <w:fldChar w:fldCharType="end"/>
      </w:r>
    </w:p>
    <w:p w14:paraId="433660F8"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4.1.3</w:t>
      </w:r>
      <w:r w:rsidRPr="00AD1106">
        <w:rPr>
          <w:rFonts w:asciiTheme="minorHAnsi" w:eastAsiaTheme="minorEastAsia" w:hAnsiTheme="minorHAnsi" w:cstheme="minorBidi"/>
          <w:noProof/>
          <w:sz w:val="24"/>
          <w:szCs w:val="24"/>
          <w:lang w:val="en-CA" w:eastAsia="ja-JP"/>
        </w:rPr>
        <w:tab/>
      </w:r>
      <w:r w:rsidRPr="00AD1106">
        <w:rPr>
          <w:noProof/>
          <w:sz w:val="24"/>
          <w:szCs w:val="24"/>
        </w:rPr>
        <w:t>Data Collection Procedure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_Toc275209828 \h </w:instrText>
      </w:r>
      <w:r w:rsidRPr="00AD1106">
        <w:rPr>
          <w:noProof/>
          <w:sz w:val="24"/>
          <w:szCs w:val="24"/>
        </w:rPr>
      </w:r>
      <w:r w:rsidRPr="00AD1106">
        <w:rPr>
          <w:noProof/>
          <w:sz w:val="24"/>
          <w:szCs w:val="24"/>
        </w:rPr>
        <w:fldChar w:fldCharType="separate"/>
      </w:r>
      <w:r w:rsidR="008C71FB">
        <w:rPr>
          <w:noProof/>
          <w:sz w:val="24"/>
          <w:szCs w:val="24"/>
        </w:rPr>
        <w:t>56</w:t>
      </w:r>
      <w:r w:rsidRPr="00AD1106">
        <w:rPr>
          <w:noProof/>
          <w:sz w:val="24"/>
          <w:szCs w:val="24"/>
        </w:rPr>
        <w:fldChar w:fldCharType="end"/>
      </w:r>
    </w:p>
    <w:p w14:paraId="1832E609"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4.1.4</w:t>
      </w:r>
      <w:r w:rsidRPr="00AD1106">
        <w:rPr>
          <w:rFonts w:asciiTheme="minorHAnsi" w:eastAsiaTheme="minorEastAsia" w:hAnsiTheme="minorHAnsi" w:cstheme="minorBidi"/>
          <w:noProof/>
          <w:sz w:val="24"/>
          <w:szCs w:val="24"/>
          <w:lang w:val="en-CA" w:eastAsia="ja-JP"/>
        </w:rPr>
        <w:tab/>
      </w:r>
      <w:r w:rsidRPr="00AD1106">
        <w:rPr>
          <w:noProof/>
          <w:sz w:val="24"/>
          <w:szCs w:val="24"/>
        </w:rPr>
        <w:t>Instrument and Model Validation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_Toc275209829 \h </w:instrText>
      </w:r>
      <w:r w:rsidRPr="00AD1106">
        <w:rPr>
          <w:noProof/>
          <w:sz w:val="24"/>
          <w:szCs w:val="24"/>
        </w:rPr>
      </w:r>
      <w:r w:rsidRPr="00AD1106">
        <w:rPr>
          <w:noProof/>
          <w:sz w:val="24"/>
          <w:szCs w:val="24"/>
        </w:rPr>
        <w:fldChar w:fldCharType="separate"/>
      </w:r>
      <w:r w:rsidR="008C71FB">
        <w:rPr>
          <w:noProof/>
          <w:sz w:val="24"/>
          <w:szCs w:val="24"/>
        </w:rPr>
        <w:t>58</w:t>
      </w:r>
      <w:r w:rsidRPr="00AD1106">
        <w:rPr>
          <w:noProof/>
          <w:sz w:val="24"/>
          <w:szCs w:val="24"/>
        </w:rPr>
        <w:fldChar w:fldCharType="end"/>
      </w:r>
    </w:p>
    <w:p w14:paraId="73AF95DF"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4.2 Manipulation Check</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_Toc275209830 \h </w:instrText>
      </w:r>
      <w:r w:rsidRPr="00AD1106">
        <w:rPr>
          <w:noProof/>
          <w:sz w:val="24"/>
          <w:szCs w:val="24"/>
        </w:rPr>
      </w:r>
      <w:r w:rsidRPr="00AD1106">
        <w:rPr>
          <w:noProof/>
          <w:sz w:val="24"/>
          <w:szCs w:val="24"/>
        </w:rPr>
        <w:fldChar w:fldCharType="separate"/>
      </w:r>
      <w:r w:rsidR="008C71FB">
        <w:rPr>
          <w:noProof/>
          <w:sz w:val="24"/>
          <w:szCs w:val="24"/>
        </w:rPr>
        <w:t>61</w:t>
      </w:r>
      <w:r w:rsidRPr="00AD1106">
        <w:rPr>
          <w:noProof/>
          <w:sz w:val="24"/>
          <w:szCs w:val="24"/>
        </w:rPr>
        <w:fldChar w:fldCharType="end"/>
      </w:r>
    </w:p>
    <w:p w14:paraId="32158B77" w14:textId="77777777" w:rsidR="00AD1106" w:rsidRPr="00AD1106" w:rsidRDefault="00AD1106">
      <w:pPr>
        <w:pStyle w:val="TOC1"/>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Chapter 5 – Data Analysis and Results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_Toc275209831 \h </w:instrText>
      </w:r>
      <w:r w:rsidRPr="00AD1106">
        <w:rPr>
          <w:noProof/>
          <w:sz w:val="24"/>
          <w:szCs w:val="24"/>
        </w:rPr>
      </w:r>
      <w:r w:rsidRPr="00AD1106">
        <w:rPr>
          <w:noProof/>
          <w:sz w:val="24"/>
          <w:szCs w:val="24"/>
        </w:rPr>
        <w:fldChar w:fldCharType="separate"/>
      </w:r>
      <w:r w:rsidR="008C71FB">
        <w:rPr>
          <w:noProof/>
          <w:sz w:val="24"/>
          <w:szCs w:val="24"/>
        </w:rPr>
        <w:t>63</w:t>
      </w:r>
      <w:r w:rsidRPr="00AD1106">
        <w:rPr>
          <w:noProof/>
          <w:sz w:val="24"/>
          <w:szCs w:val="24"/>
        </w:rPr>
        <w:fldChar w:fldCharType="end"/>
      </w:r>
    </w:p>
    <w:p w14:paraId="7F942D04"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5.1.1</w:t>
      </w:r>
      <w:r w:rsidRPr="00AD1106">
        <w:rPr>
          <w:rFonts w:asciiTheme="minorHAnsi" w:eastAsiaTheme="minorEastAsia" w:hAnsiTheme="minorHAnsi" w:cstheme="minorBidi"/>
          <w:noProof/>
          <w:sz w:val="24"/>
          <w:szCs w:val="24"/>
          <w:lang w:val="en-CA" w:eastAsia="ja-JP"/>
        </w:rPr>
        <w:tab/>
      </w:r>
      <w:r w:rsidRPr="00AD1106">
        <w:rPr>
          <w:noProof/>
          <w:sz w:val="24"/>
          <w:szCs w:val="24"/>
        </w:rPr>
        <w:t>Pilot Study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_Toc275209832 \h </w:instrText>
      </w:r>
      <w:r w:rsidRPr="00AD1106">
        <w:rPr>
          <w:noProof/>
          <w:sz w:val="24"/>
          <w:szCs w:val="24"/>
        </w:rPr>
      </w:r>
      <w:r w:rsidRPr="00AD1106">
        <w:rPr>
          <w:noProof/>
          <w:sz w:val="24"/>
          <w:szCs w:val="24"/>
        </w:rPr>
        <w:fldChar w:fldCharType="separate"/>
      </w:r>
      <w:r w:rsidR="008C71FB">
        <w:rPr>
          <w:noProof/>
          <w:sz w:val="24"/>
          <w:szCs w:val="24"/>
        </w:rPr>
        <w:t>63</w:t>
      </w:r>
      <w:r w:rsidRPr="00AD1106">
        <w:rPr>
          <w:noProof/>
          <w:sz w:val="24"/>
          <w:szCs w:val="24"/>
        </w:rPr>
        <w:fldChar w:fldCharType="end"/>
      </w:r>
    </w:p>
    <w:p w14:paraId="728FFC05"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5.1.2</w:t>
      </w:r>
      <w:r w:rsidRPr="00AD1106">
        <w:rPr>
          <w:rFonts w:asciiTheme="minorHAnsi" w:eastAsiaTheme="minorEastAsia" w:hAnsiTheme="minorHAnsi" w:cstheme="minorBidi"/>
          <w:noProof/>
          <w:sz w:val="24"/>
          <w:szCs w:val="24"/>
          <w:lang w:val="en-CA" w:eastAsia="ja-JP"/>
        </w:rPr>
        <w:tab/>
      </w:r>
      <w:r w:rsidRPr="00AD1106">
        <w:rPr>
          <w:noProof/>
          <w:sz w:val="24"/>
          <w:szCs w:val="24"/>
        </w:rPr>
        <w:t>Full Study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_Toc275209833 \h </w:instrText>
      </w:r>
      <w:r w:rsidRPr="00AD1106">
        <w:rPr>
          <w:noProof/>
          <w:sz w:val="24"/>
          <w:szCs w:val="24"/>
        </w:rPr>
      </w:r>
      <w:r w:rsidRPr="00AD1106">
        <w:rPr>
          <w:noProof/>
          <w:sz w:val="24"/>
          <w:szCs w:val="24"/>
        </w:rPr>
        <w:fldChar w:fldCharType="separate"/>
      </w:r>
      <w:r w:rsidR="008C71FB">
        <w:rPr>
          <w:noProof/>
          <w:sz w:val="24"/>
          <w:szCs w:val="24"/>
        </w:rPr>
        <w:t>64</w:t>
      </w:r>
      <w:r w:rsidRPr="00AD1106">
        <w:rPr>
          <w:noProof/>
          <w:sz w:val="24"/>
          <w:szCs w:val="24"/>
        </w:rPr>
        <w:fldChar w:fldCharType="end"/>
      </w:r>
    </w:p>
    <w:p w14:paraId="18C4388A"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5.1.3</w:t>
      </w:r>
      <w:r w:rsidRPr="00AD1106">
        <w:rPr>
          <w:rFonts w:asciiTheme="minorHAnsi" w:eastAsiaTheme="minorEastAsia" w:hAnsiTheme="minorHAnsi" w:cstheme="minorBidi"/>
          <w:noProof/>
          <w:sz w:val="24"/>
          <w:szCs w:val="24"/>
          <w:lang w:val="en-CA" w:eastAsia="ja-JP"/>
        </w:rPr>
        <w:tab/>
      </w:r>
      <w:r w:rsidRPr="00AD1106">
        <w:rPr>
          <w:noProof/>
          <w:sz w:val="24"/>
          <w:szCs w:val="24"/>
        </w:rPr>
        <w:t>Participant Demographics and Control Variables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_Toc275209834 \h </w:instrText>
      </w:r>
      <w:r w:rsidRPr="00AD1106">
        <w:rPr>
          <w:noProof/>
          <w:sz w:val="24"/>
          <w:szCs w:val="24"/>
        </w:rPr>
      </w:r>
      <w:r w:rsidRPr="00AD1106">
        <w:rPr>
          <w:noProof/>
          <w:sz w:val="24"/>
          <w:szCs w:val="24"/>
        </w:rPr>
        <w:fldChar w:fldCharType="separate"/>
      </w:r>
      <w:r w:rsidR="008C71FB">
        <w:rPr>
          <w:noProof/>
          <w:sz w:val="24"/>
          <w:szCs w:val="24"/>
        </w:rPr>
        <w:t>66</w:t>
      </w:r>
      <w:r w:rsidRPr="00AD1106">
        <w:rPr>
          <w:noProof/>
          <w:sz w:val="24"/>
          <w:szCs w:val="24"/>
        </w:rPr>
        <w:fldChar w:fldCharType="end"/>
      </w:r>
    </w:p>
    <w:p w14:paraId="3AB9CF30"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5.1.4</w:t>
      </w:r>
      <w:r w:rsidRPr="00AD1106">
        <w:rPr>
          <w:rFonts w:asciiTheme="minorHAnsi" w:eastAsiaTheme="minorEastAsia" w:hAnsiTheme="minorHAnsi" w:cstheme="minorBidi"/>
          <w:noProof/>
          <w:sz w:val="24"/>
          <w:szCs w:val="24"/>
          <w:lang w:val="en-CA" w:eastAsia="ja-JP"/>
        </w:rPr>
        <w:tab/>
      </w:r>
      <w:r w:rsidRPr="00AD1106">
        <w:rPr>
          <w:noProof/>
          <w:sz w:val="24"/>
          <w:szCs w:val="24"/>
        </w:rPr>
        <w:t>Research Model Validation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_Toc275209835 \h </w:instrText>
      </w:r>
      <w:r w:rsidRPr="00AD1106">
        <w:rPr>
          <w:noProof/>
          <w:sz w:val="24"/>
          <w:szCs w:val="24"/>
        </w:rPr>
      </w:r>
      <w:r w:rsidRPr="00AD1106">
        <w:rPr>
          <w:noProof/>
          <w:sz w:val="24"/>
          <w:szCs w:val="24"/>
        </w:rPr>
        <w:fldChar w:fldCharType="separate"/>
      </w:r>
      <w:r w:rsidR="008C71FB">
        <w:rPr>
          <w:noProof/>
          <w:sz w:val="24"/>
          <w:szCs w:val="24"/>
        </w:rPr>
        <w:t>69</w:t>
      </w:r>
      <w:r w:rsidRPr="00AD1106">
        <w:rPr>
          <w:noProof/>
          <w:sz w:val="24"/>
          <w:szCs w:val="24"/>
        </w:rPr>
        <w:fldChar w:fldCharType="end"/>
      </w:r>
    </w:p>
    <w:p w14:paraId="054E421A"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5.1.5</w:t>
      </w:r>
      <w:r w:rsidRPr="00AD1106">
        <w:rPr>
          <w:rFonts w:asciiTheme="minorHAnsi" w:eastAsiaTheme="minorEastAsia" w:hAnsiTheme="minorHAnsi" w:cstheme="minorBidi"/>
          <w:noProof/>
          <w:sz w:val="24"/>
          <w:szCs w:val="24"/>
          <w:lang w:val="en-CA" w:eastAsia="ja-JP"/>
        </w:rPr>
        <w:tab/>
      </w:r>
      <w:r w:rsidRPr="00AD1106">
        <w:rPr>
          <w:noProof/>
          <w:sz w:val="24"/>
          <w:szCs w:val="24"/>
        </w:rPr>
        <w:t>The Structural Model Evaluation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_Toc275209836 \h </w:instrText>
      </w:r>
      <w:r w:rsidRPr="00AD1106">
        <w:rPr>
          <w:noProof/>
          <w:sz w:val="24"/>
          <w:szCs w:val="24"/>
        </w:rPr>
      </w:r>
      <w:r w:rsidRPr="00AD1106">
        <w:rPr>
          <w:noProof/>
          <w:sz w:val="24"/>
          <w:szCs w:val="24"/>
        </w:rPr>
        <w:fldChar w:fldCharType="separate"/>
      </w:r>
      <w:r w:rsidR="008C71FB">
        <w:rPr>
          <w:noProof/>
          <w:sz w:val="24"/>
          <w:szCs w:val="24"/>
        </w:rPr>
        <w:t>74</w:t>
      </w:r>
      <w:r w:rsidRPr="00AD1106">
        <w:rPr>
          <w:noProof/>
          <w:sz w:val="24"/>
          <w:szCs w:val="24"/>
        </w:rPr>
        <w:fldChar w:fldCharType="end"/>
      </w:r>
    </w:p>
    <w:p w14:paraId="264A94DF"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5.1.6</w:t>
      </w:r>
      <w:r w:rsidRPr="00AD1106">
        <w:rPr>
          <w:rFonts w:asciiTheme="minorHAnsi" w:eastAsiaTheme="minorEastAsia" w:hAnsiTheme="minorHAnsi" w:cstheme="minorBidi"/>
          <w:noProof/>
          <w:sz w:val="24"/>
          <w:szCs w:val="24"/>
          <w:lang w:val="en-CA" w:eastAsia="ja-JP"/>
        </w:rPr>
        <w:tab/>
      </w:r>
      <w:r w:rsidRPr="00AD1106">
        <w:rPr>
          <w:noProof/>
          <w:sz w:val="24"/>
          <w:szCs w:val="24"/>
        </w:rPr>
        <w:t>Effect Sizes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_Toc275209837 \h </w:instrText>
      </w:r>
      <w:r w:rsidRPr="00AD1106">
        <w:rPr>
          <w:noProof/>
          <w:sz w:val="24"/>
          <w:szCs w:val="24"/>
        </w:rPr>
      </w:r>
      <w:r w:rsidRPr="00AD1106">
        <w:rPr>
          <w:noProof/>
          <w:sz w:val="24"/>
          <w:szCs w:val="24"/>
        </w:rPr>
        <w:fldChar w:fldCharType="separate"/>
      </w:r>
      <w:r w:rsidR="008C71FB">
        <w:rPr>
          <w:noProof/>
          <w:sz w:val="24"/>
          <w:szCs w:val="24"/>
        </w:rPr>
        <w:t>77</w:t>
      </w:r>
      <w:r w:rsidRPr="00AD1106">
        <w:rPr>
          <w:noProof/>
          <w:sz w:val="24"/>
          <w:szCs w:val="24"/>
        </w:rPr>
        <w:fldChar w:fldCharType="end"/>
      </w:r>
    </w:p>
    <w:p w14:paraId="163DF60C"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5.1.7</w:t>
      </w:r>
      <w:r w:rsidRPr="00AD1106">
        <w:rPr>
          <w:rFonts w:asciiTheme="minorHAnsi" w:eastAsiaTheme="minorEastAsia" w:hAnsiTheme="minorHAnsi" w:cstheme="minorBidi"/>
          <w:noProof/>
          <w:sz w:val="24"/>
          <w:szCs w:val="24"/>
          <w:lang w:val="en-CA" w:eastAsia="ja-JP"/>
        </w:rPr>
        <w:tab/>
      </w:r>
      <w:r w:rsidRPr="00AD1106">
        <w:rPr>
          <w:noProof/>
          <w:sz w:val="24"/>
          <w:szCs w:val="24"/>
        </w:rPr>
        <w:t>Post-hoc Analyses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_Toc275209838 \h </w:instrText>
      </w:r>
      <w:r w:rsidRPr="00AD1106">
        <w:rPr>
          <w:noProof/>
          <w:sz w:val="24"/>
          <w:szCs w:val="24"/>
        </w:rPr>
      </w:r>
      <w:r w:rsidRPr="00AD1106">
        <w:rPr>
          <w:noProof/>
          <w:sz w:val="24"/>
          <w:szCs w:val="24"/>
        </w:rPr>
        <w:fldChar w:fldCharType="separate"/>
      </w:r>
      <w:r w:rsidR="008C71FB">
        <w:rPr>
          <w:noProof/>
          <w:sz w:val="24"/>
          <w:szCs w:val="24"/>
        </w:rPr>
        <w:t>78</w:t>
      </w:r>
      <w:r w:rsidRPr="00AD1106">
        <w:rPr>
          <w:noProof/>
          <w:sz w:val="24"/>
          <w:szCs w:val="24"/>
        </w:rPr>
        <w:fldChar w:fldCharType="end"/>
      </w:r>
    </w:p>
    <w:p w14:paraId="6214E554" w14:textId="77777777" w:rsidR="00AD1106" w:rsidRPr="00AD1106" w:rsidRDefault="00AD1106">
      <w:pPr>
        <w:pStyle w:val="TOC1"/>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lastRenderedPageBreak/>
        <w:t>Chapter 6 – Discussion and Conclusion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_Toc275209839 \h </w:instrText>
      </w:r>
      <w:r w:rsidRPr="00AD1106">
        <w:rPr>
          <w:noProof/>
          <w:sz w:val="24"/>
          <w:szCs w:val="24"/>
        </w:rPr>
      </w:r>
      <w:r w:rsidRPr="00AD1106">
        <w:rPr>
          <w:noProof/>
          <w:sz w:val="24"/>
          <w:szCs w:val="24"/>
        </w:rPr>
        <w:fldChar w:fldCharType="separate"/>
      </w:r>
      <w:r w:rsidR="008C71FB">
        <w:rPr>
          <w:noProof/>
          <w:sz w:val="24"/>
          <w:szCs w:val="24"/>
        </w:rPr>
        <w:t>91</w:t>
      </w:r>
      <w:r w:rsidRPr="00AD1106">
        <w:rPr>
          <w:noProof/>
          <w:sz w:val="24"/>
          <w:szCs w:val="24"/>
        </w:rPr>
        <w:fldChar w:fldCharType="end"/>
      </w:r>
    </w:p>
    <w:p w14:paraId="56AE9F7B"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6.1 Research Findings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_Toc275209840 \h </w:instrText>
      </w:r>
      <w:r w:rsidRPr="00AD1106">
        <w:rPr>
          <w:noProof/>
          <w:sz w:val="24"/>
          <w:szCs w:val="24"/>
        </w:rPr>
      </w:r>
      <w:r w:rsidRPr="00AD1106">
        <w:rPr>
          <w:noProof/>
          <w:sz w:val="24"/>
          <w:szCs w:val="24"/>
        </w:rPr>
        <w:fldChar w:fldCharType="separate"/>
      </w:r>
      <w:r w:rsidR="008C71FB">
        <w:rPr>
          <w:noProof/>
          <w:sz w:val="24"/>
          <w:szCs w:val="24"/>
        </w:rPr>
        <w:t>91</w:t>
      </w:r>
      <w:r w:rsidRPr="00AD1106">
        <w:rPr>
          <w:noProof/>
          <w:sz w:val="24"/>
          <w:szCs w:val="24"/>
        </w:rPr>
        <w:fldChar w:fldCharType="end"/>
      </w:r>
    </w:p>
    <w:p w14:paraId="042914F8"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6.1.1</w:t>
      </w:r>
      <w:r w:rsidRPr="00AD1106">
        <w:rPr>
          <w:rFonts w:asciiTheme="minorHAnsi" w:eastAsiaTheme="minorEastAsia" w:hAnsiTheme="minorHAnsi" w:cstheme="minorBidi"/>
          <w:noProof/>
          <w:sz w:val="24"/>
          <w:szCs w:val="24"/>
          <w:lang w:val="en-CA" w:eastAsia="ja-JP"/>
        </w:rPr>
        <w:tab/>
      </w:r>
      <w:r w:rsidRPr="00AD1106">
        <w:rPr>
          <w:noProof/>
          <w:sz w:val="24"/>
          <w:szCs w:val="24"/>
        </w:rPr>
        <w:t>Research Objective 1: The Effect of Situational Competitiveness on Flow</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_Toc275209841 \h </w:instrText>
      </w:r>
      <w:r w:rsidRPr="00AD1106">
        <w:rPr>
          <w:noProof/>
          <w:sz w:val="24"/>
          <w:szCs w:val="24"/>
        </w:rPr>
      </w:r>
      <w:r w:rsidRPr="00AD1106">
        <w:rPr>
          <w:noProof/>
          <w:sz w:val="24"/>
          <w:szCs w:val="24"/>
        </w:rPr>
        <w:fldChar w:fldCharType="separate"/>
      </w:r>
      <w:r w:rsidR="008C71FB">
        <w:rPr>
          <w:noProof/>
          <w:sz w:val="24"/>
          <w:szCs w:val="24"/>
        </w:rPr>
        <w:t>91</w:t>
      </w:r>
      <w:r w:rsidRPr="00AD1106">
        <w:rPr>
          <w:noProof/>
          <w:sz w:val="24"/>
          <w:szCs w:val="24"/>
        </w:rPr>
        <w:fldChar w:fldCharType="end"/>
      </w:r>
    </w:p>
    <w:p w14:paraId="3716150F"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6.1.2</w:t>
      </w:r>
      <w:r w:rsidRPr="00AD1106">
        <w:rPr>
          <w:rFonts w:asciiTheme="minorHAnsi" w:eastAsiaTheme="minorEastAsia" w:hAnsiTheme="minorHAnsi" w:cstheme="minorBidi"/>
          <w:noProof/>
          <w:sz w:val="24"/>
          <w:szCs w:val="24"/>
          <w:lang w:val="en-CA" w:eastAsia="ja-JP"/>
        </w:rPr>
        <w:tab/>
      </w:r>
      <w:r w:rsidRPr="00AD1106">
        <w:rPr>
          <w:noProof/>
          <w:sz w:val="24"/>
          <w:szCs w:val="24"/>
        </w:rPr>
        <w:t>Research Objective 2: The Role of Competition Mode on the Level of Situational Competitiveness and Social Presence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_Toc275209842 \h </w:instrText>
      </w:r>
      <w:r w:rsidRPr="00AD1106">
        <w:rPr>
          <w:noProof/>
          <w:sz w:val="24"/>
          <w:szCs w:val="24"/>
        </w:rPr>
      </w:r>
      <w:r w:rsidRPr="00AD1106">
        <w:rPr>
          <w:noProof/>
          <w:sz w:val="24"/>
          <w:szCs w:val="24"/>
        </w:rPr>
        <w:fldChar w:fldCharType="separate"/>
      </w:r>
      <w:r w:rsidR="008C71FB">
        <w:rPr>
          <w:noProof/>
          <w:sz w:val="24"/>
          <w:szCs w:val="24"/>
        </w:rPr>
        <w:t>95</w:t>
      </w:r>
      <w:r w:rsidRPr="00AD1106">
        <w:rPr>
          <w:noProof/>
          <w:sz w:val="24"/>
          <w:szCs w:val="24"/>
        </w:rPr>
        <w:fldChar w:fldCharType="end"/>
      </w:r>
    </w:p>
    <w:p w14:paraId="6532A54E"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6.1.3</w:t>
      </w:r>
      <w:r w:rsidRPr="00AD1106">
        <w:rPr>
          <w:rFonts w:asciiTheme="minorHAnsi" w:eastAsiaTheme="minorEastAsia" w:hAnsiTheme="minorHAnsi" w:cstheme="minorBidi"/>
          <w:noProof/>
          <w:sz w:val="24"/>
          <w:szCs w:val="24"/>
          <w:lang w:val="en-CA" w:eastAsia="ja-JP"/>
        </w:rPr>
        <w:tab/>
      </w:r>
      <w:r w:rsidRPr="00AD1106">
        <w:rPr>
          <w:noProof/>
          <w:sz w:val="24"/>
          <w:szCs w:val="24"/>
        </w:rPr>
        <w:t>Research Objective 3: The Effect of Personality Traits on Situational Competitiveness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_Toc275209843 \h </w:instrText>
      </w:r>
      <w:r w:rsidRPr="00AD1106">
        <w:rPr>
          <w:noProof/>
          <w:sz w:val="24"/>
          <w:szCs w:val="24"/>
        </w:rPr>
      </w:r>
      <w:r w:rsidRPr="00AD1106">
        <w:rPr>
          <w:noProof/>
          <w:sz w:val="24"/>
          <w:szCs w:val="24"/>
        </w:rPr>
        <w:fldChar w:fldCharType="separate"/>
      </w:r>
      <w:r w:rsidR="008C71FB">
        <w:rPr>
          <w:noProof/>
          <w:sz w:val="24"/>
          <w:szCs w:val="24"/>
        </w:rPr>
        <w:t>96</w:t>
      </w:r>
      <w:r w:rsidRPr="00AD1106">
        <w:rPr>
          <w:noProof/>
          <w:sz w:val="24"/>
          <w:szCs w:val="24"/>
        </w:rPr>
        <w:fldChar w:fldCharType="end"/>
      </w:r>
    </w:p>
    <w:p w14:paraId="62FC9EC4"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6.2 Contributions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_Toc275209844 \h </w:instrText>
      </w:r>
      <w:r w:rsidRPr="00AD1106">
        <w:rPr>
          <w:noProof/>
          <w:sz w:val="24"/>
          <w:szCs w:val="24"/>
        </w:rPr>
      </w:r>
      <w:r w:rsidRPr="00AD1106">
        <w:rPr>
          <w:noProof/>
          <w:sz w:val="24"/>
          <w:szCs w:val="24"/>
        </w:rPr>
        <w:fldChar w:fldCharType="separate"/>
      </w:r>
      <w:r w:rsidR="008C71FB">
        <w:rPr>
          <w:noProof/>
          <w:sz w:val="24"/>
          <w:szCs w:val="24"/>
        </w:rPr>
        <w:t>98</w:t>
      </w:r>
      <w:r w:rsidRPr="00AD1106">
        <w:rPr>
          <w:noProof/>
          <w:sz w:val="24"/>
          <w:szCs w:val="24"/>
        </w:rPr>
        <w:fldChar w:fldCharType="end"/>
      </w:r>
    </w:p>
    <w:p w14:paraId="1063A198"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6.2.1</w:t>
      </w:r>
      <w:r w:rsidRPr="00AD1106">
        <w:rPr>
          <w:rFonts w:asciiTheme="minorHAnsi" w:eastAsiaTheme="minorEastAsia" w:hAnsiTheme="minorHAnsi" w:cstheme="minorBidi"/>
          <w:noProof/>
          <w:sz w:val="24"/>
          <w:szCs w:val="24"/>
          <w:lang w:val="en-CA" w:eastAsia="ja-JP"/>
        </w:rPr>
        <w:tab/>
      </w:r>
      <w:r w:rsidRPr="00AD1106">
        <w:rPr>
          <w:noProof/>
          <w:sz w:val="24"/>
          <w:szCs w:val="24"/>
        </w:rPr>
        <w:t>Contributions to Theory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_Toc275209845 \h </w:instrText>
      </w:r>
      <w:r w:rsidRPr="00AD1106">
        <w:rPr>
          <w:noProof/>
          <w:sz w:val="24"/>
          <w:szCs w:val="24"/>
        </w:rPr>
      </w:r>
      <w:r w:rsidRPr="00AD1106">
        <w:rPr>
          <w:noProof/>
          <w:sz w:val="24"/>
          <w:szCs w:val="24"/>
        </w:rPr>
        <w:fldChar w:fldCharType="separate"/>
      </w:r>
      <w:r w:rsidR="008C71FB">
        <w:rPr>
          <w:noProof/>
          <w:sz w:val="24"/>
          <w:szCs w:val="24"/>
        </w:rPr>
        <w:t>98</w:t>
      </w:r>
      <w:r w:rsidRPr="00AD1106">
        <w:rPr>
          <w:noProof/>
          <w:sz w:val="24"/>
          <w:szCs w:val="24"/>
        </w:rPr>
        <w:fldChar w:fldCharType="end"/>
      </w:r>
    </w:p>
    <w:p w14:paraId="593AF645" w14:textId="77777777" w:rsidR="00AD1106" w:rsidRPr="00AD1106" w:rsidRDefault="00AD1106">
      <w:pPr>
        <w:pStyle w:val="TOC3"/>
        <w:tabs>
          <w:tab w:val="left" w:pos="1120"/>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6.2.2</w:t>
      </w:r>
      <w:r w:rsidRPr="00AD1106">
        <w:rPr>
          <w:rFonts w:asciiTheme="minorHAnsi" w:eastAsiaTheme="minorEastAsia" w:hAnsiTheme="minorHAnsi" w:cstheme="minorBidi"/>
          <w:noProof/>
          <w:sz w:val="24"/>
          <w:szCs w:val="24"/>
          <w:lang w:val="en-CA" w:eastAsia="ja-JP"/>
        </w:rPr>
        <w:tab/>
      </w:r>
      <w:r w:rsidRPr="00AD1106">
        <w:rPr>
          <w:noProof/>
          <w:sz w:val="24"/>
          <w:szCs w:val="24"/>
        </w:rPr>
        <w:t>Contributions to Practice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_Toc275209846 \h </w:instrText>
      </w:r>
      <w:r w:rsidRPr="00AD1106">
        <w:rPr>
          <w:noProof/>
          <w:sz w:val="24"/>
          <w:szCs w:val="24"/>
        </w:rPr>
      </w:r>
      <w:r w:rsidRPr="00AD1106">
        <w:rPr>
          <w:noProof/>
          <w:sz w:val="24"/>
          <w:szCs w:val="24"/>
        </w:rPr>
        <w:fldChar w:fldCharType="separate"/>
      </w:r>
      <w:r w:rsidR="008C71FB">
        <w:rPr>
          <w:noProof/>
          <w:sz w:val="24"/>
          <w:szCs w:val="24"/>
        </w:rPr>
        <w:t>100</w:t>
      </w:r>
      <w:r w:rsidRPr="00AD1106">
        <w:rPr>
          <w:noProof/>
          <w:sz w:val="24"/>
          <w:szCs w:val="24"/>
        </w:rPr>
        <w:fldChar w:fldCharType="end"/>
      </w:r>
    </w:p>
    <w:p w14:paraId="46069BCB"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6.3 Research Limitations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_Toc275209847 \h </w:instrText>
      </w:r>
      <w:r w:rsidRPr="00AD1106">
        <w:rPr>
          <w:noProof/>
          <w:sz w:val="24"/>
          <w:szCs w:val="24"/>
        </w:rPr>
      </w:r>
      <w:r w:rsidRPr="00AD1106">
        <w:rPr>
          <w:noProof/>
          <w:sz w:val="24"/>
          <w:szCs w:val="24"/>
        </w:rPr>
        <w:fldChar w:fldCharType="separate"/>
      </w:r>
      <w:r w:rsidR="008C71FB">
        <w:rPr>
          <w:noProof/>
          <w:sz w:val="24"/>
          <w:szCs w:val="24"/>
        </w:rPr>
        <w:t>101</w:t>
      </w:r>
      <w:r w:rsidRPr="00AD1106">
        <w:rPr>
          <w:noProof/>
          <w:sz w:val="24"/>
          <w:szCs w:val="24"/>
        </w:rPr>
        <w:fldChar w:fldCharType="end"/>
      </w:r>
    </w:p>
    <w:p w14:paraId="069395B6"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6.4 Future Research Agenda</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_Toc275209848 \h </w:instrText>
      </w:r>
      <w:r w:rsidRPr="00AD1106">
        <w:rPr>
          <w:noProof/>
          <w:sz w:val="24"/>
          <w:szCs w:val="24"/>
        </w:rPr>
      </w:r>
      <w:r w:rsidRPr="00AD1106">
        <w:rPr>
          <w:noProof/>
          <w:sz w:val="24"/>
          <w:szCs w:val="24"/>
        </w:rPr>
        <w:fldChar w:fldCharType="separate"/>
      </w:r>
      <w:r w:rsidR="008C71FB">
        <w:rPr>
          <w:noProof/>
          <w:sz w:val="24"/>
          <w:szCs w:val="24"/>
        </w:rPr>
        <w:t>103</w:t>
      </w:r>
      <w:r w:rsidRPr="00AD1106">
        <w:rPr>
          <w:noProof/>
          <w:sz w:val="24"/>
          <w:szCs w:val="24"/>
        </w:rPr>
        <w:fldChar w:fldCharType="end"/>
      </w:r>
    </w:p>
    <w:p w14:paraId="66E32E39"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6.5 Conclusion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_Toc275209849 \h </w:instrText>
      </w:r>
      <w:r w:rsidRPr="00AD1106">
        <w:rPr>
          <w:noProof/>
          <w:sz w:val="24"/>
          <w:szCs w:val="24"/>
        </w:rPr>
      </w:r>
      <w:r w:rsidRPr="00AD1106">
        <w:rPr>
          <w:noProof/>
          <w:sz w:val="24"/>
          <w:szCs w:val="24"/>
        </w:rPr>
        <w:fldChar w:fldCharType="separate"/>
      </w:r>
      <w:r w:rsidR="008C71FB">
        <w:rPr>
          <w:noProof/>
          <w:sz w:val="24"/>
          <w:szCs w:val="24"/>
        </w:rPr>
        <w:t>106</w:t>
      </w:r>
      <w:r w:rsidRPr="00AD1106">
        <w:rPr>
          <w:noProof/>
          <w:sz w:val="24"/>
          <w:szCs w:val="24"/>
        </w:rPr>
        <w:fldChar w:fldCharType="end"/>
      </w:r>
    </w:p>
    <w:p w14:paraId="34712902" w14:textId="77777777" w:rsidR="00AD1106" w:rsidRPr="00AD1106" w:rsidRDefault="00AD1106">
      <w:pPr>
        <w:pStyle w:val="TOC1"/>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References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_Toc275209850 \h </w:instrText>
      </w:r>
      <w:r w:rsidRPr="00AD1106">
        <w:rPr>
          <w:noProof/>
          <w:sz w:val="24"/>
          <w:szCs w:val="24"/>
        </w:rPr>
      </w:r>
      <w:r w:rsidRPr="00AD1106">
        <w:rPr>
          <w:noProof/>
          <w:sz w:val="24"/>
          <w:szCs w:val="24"/>
        </w:rPr>
        <w:fldChar w:fldCharType="separate"/>
      </w:r>
      <w:r w:rsidR="008C71FB">
        <w:rPr>
          <w:noProof/>
          <w:sz w:val="24"/>
          <w:szCs w:val="24"/>
        </w:rPr>
        <w:t>108</w:t>
      </w:r>
      <w:r w:rsidRPr="00AD1106">
        <w:rPr>
          <w:noProof/>
          <w:sz w:val="24"/>
          <w:szCs w:val="24"/>
        </w:rPr>
        <w:fldChar w:fldCharType="end"/>
      </w:r>
    </w:p>
    <w:p w14:paraId="743F0592"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Operationalization Mode of Flow/CA</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_Toc275209851 \h </w:instrText>
      </w:r>
      <w:r w:rsidRPr="00AD1106">
        <w:rPr>
          <w:noProof/>
          <w:sz w:val="24"/>
          <w:szCs w:val="24"/>
        </w:rPr>
      </w:r>
      <w:r w:rsidRPr="00AD1106">
        <w:rPr>
          <w:noProof/>
          <w:sz w:val="24"/>
          <w:szCs w:val="24"/>
        </w:rPr>
        <w:fldChar w:fldCharType="separate"/>
      </w:r>
      <w:r w:rsidR="008C71FB">
        <w:rPr>
          <w:noProof/>
          <w:sz w:val="24"/>
          <w:szCs w:val="24"/>
        </w:rPr>
        <w:t>126</w:t>
      </w:r>
      <w:r w:rsidRPr="00AD1106">
        <w:rPr>
          <w:noProof/>
          <w:sz w:val="24"/>
          <w:szCs w:val="24"/>
        </w:rPr>
        <w:fldChar w:fldCharType="end"/>
      </w:r>
    </w:p>
    <w:p w14:paraId="30C595B2"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Methodology</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_Toc275209852 \h </w:instrText>
      </w:r>
      <w:r w:rsidRPr="00AD1106">
        <w:rPr>
          <w:noProof/>
          <w:sz w:val="24"/>
          <w:szCs w:val="24"/>
        </w:rPr>
      </w:r>
      <w:r w:rsidRPr="00AD1106">
        <w:rPr>
          <w:noProof/>
          <w:sz w:val="24"/>
          <w:szCs w:val="24"/>
        </w:rPr>
        <w:fldChar w:fldCharType="separate"/>
      </w:r>
      <w:r w:rsidR="008C71FB">
        <w:rPr>
          <w:noProof/>
          <w:sz w:val="24"/>
          <w:szCs w:val="24"/>
        </w:rPr>
        <w:t>128</w:t>
      </w:r>
      <w:r w:rsidRPr="00AD1106">
        <w:rPr>
          <w:noProof/>
          <w:sz w:val="24"/>
          <w:szCs w:val="24"/>
        </w:rPr>
        <w:fldChar w:fldCharType="end"/>
      </w:r>
    </w:p>
    <w:p w14:paraId="270C979F" w14:textId="77777777" w:rsidR="00AD1106" w:rsidRPr="00AD1106" w:rsidRDefault="00AD1106">
      <w:pPr>
        <w:pStyle w:val="TOC3"/>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Sample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_Toc275209853 \h </w:instrText>
      </w:r>
      <w:r w:rsidRPr="00AD1106">
        <w:rPr>
          <w:noProof/>
          <w:sz w:val="24"/>
          <w:szCs w:val="24"/>
        </w:rPr>
      </w:r>
      <w:r w:rsidRPr="00AD1106">
        <w:rPr>
          <w:noProof/>
          <w:sz w:val="24"/>
          <w:szCs w:val="24"/>
        </w:rPr>
        <w:fldChar w:fldCharType="separate"/>
      </w:r>
      <w:r w:rsidR="008C71FB">
        <w:rPr>
          <w:noProof/>
          <w:sz w:val="24"/>
          <w:szCs w:val="24"/>
        </w:rPr>
        <w:t>129</w:t>
      </w:r>
      <w:r w:rsidRPr="00AD1106">
        <w:rPr>
          <w:noProof/>
          <w:sz w:val="24"/>
          <w:szCs w:val="24"/>
        </w:rPr>
        <w:fldChar w:fldCharType="end"/>
      </w:r>
    </w:p>
    <w:p w14:paraId="29216CF4"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Analysis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_Toc275209854 \h </w:instrText>
      </w:r>
      <w:r w:rsidRPr="00AD1106">
        <w:rPr>
          <w:noProof/>
          <w:sz w:val="24"/>
          <w:szCs w:val="24"/>
        </w:rPr>
      </w:r>
      <w:r w:rsidRPr="00AD1106">
        <w:rPr>
          <w:noProof/>
          <w:sz w:val="24"/>
          <w:szCs w:val="24"/>
        </w:rPr>
        <w:fldChar w:fldCharType="separate"/>
      </w:r>
      <w:r w:rsidR="008C71FB">
        <w:rPr>
          <w:noProof/>
          <w:sz w:val="24"/>
          <w:szCs w:val="24"/>
        </w:rPr>
        <w:t>131</w:t>
      </w:r>
      <w:r w:rsidRPr="00AD1106">
        <w:rPr>
          <w:noProof/>
          <w:sz w:val="24"/>
          <w:szCs w:val="24"/>
        </w:rPr>
        <w:fldChar w:fldCharType="end"/>
      </w:r>
    </w:p>
    <w:p w14:paraId="025D9D58"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Results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_Toc275209855 \h </w:instrText>
      </w:r>
      <w:r w:rsidRPr="00AD1106">
        <w:rPr>
          <w:noProof/>
          <w:sz w:val="24"/>
          <w:szCs w:val="24"/>
        </w:rPr>
      </w:r>
      <w:r w:rsidRPr="00AD1106">
        <w:rPr>
          <w:noProof/>
          <w:sz w:val="24"/>
          <w:szCs w:val="24"/>
        </w:rPr>
        <w:fldChar w:fldCharType="separate"/>
      </w:r>
      <w:r w:rsidR="008C71FB">
        <w:rPr>
          <w:noProof/>
          <w:sz w:val="24"/>
          <w:szCs w:val="24"/>
        </w:rPr>
        <w:t>134</w:t>
      </w:r>
      <w:r w:rsidRPr="00AD1106">
        <w:rPr>
          <w:noProof/>
          <w:sz w:val="24"/>
          <w:szCs w:val="24"/>
        </w:rPr>
        <w:fldChar w:fldCharType="end"/>
      </w:r>
    </w:p>
    <w:p w14:paraId="5C69DE22" w14:textId="77777777" w:rsidR="00AD1106" w:rsidRPr="00AD1106" w:rsidRDefault="00AD1106">
      <w:pPr>
        <w:pStyle w:val="TOC3"/>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Moderator: Operationalization Method</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_Toc275209856 \h </w:instrText>
      </w:r>
      <w:r w:rsidRPr="00AD1106">
        <w:rPr>
          <w:noProof/>
          <w:sz w:val="24"/>
          <w:szCs w:val="24"/>
        </w:rPr>
      </w:r>
      <w:r w:rsidRPr="00AD1106">
        <w:rPr>
          <w:noProof/>
          <w:sz w:val="24"/>
          <w:szCs w:val="24"/>
        </w:rPr>
        <w:fldChar w:fldCharType="separate"/>
      </w:r>
      <w:r w:rsidR="008C71FB">
        <w:rPr>
          <w:noProof/>
          <w:sz w:val="24"/>
          <w:szCs w:val="24"/>
        </w:rPr>
        <w:t>134</w:t>
      </w:r>
      <w:r w:rsidRPr="00AD1106">
        <w:rPr>
          <w:noProof/>
          <w:sz w:val="24"/>
          <w:szCs w:val="24"/>
        </w:rPr>
        <w:fldChar w:fldCharType="end"/>
      </w:r>
    </w:p>
    <w:p w14:paraId="647B9BCA"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Selection of Constructs Used in Meta-analysis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_Toc275209857 \h </w:instrText>
      </w:r>
      <w:r w:rsidRPr="00AD1106">
        <w:rPr>
          <w:noProof/>
          <w:sz w:val="24"/>
          <w:szCs w:val="24"/>
        </w:rPr>
      </w:r>
      <w:r w:rsidRPr="00AD1106">
        <w:rPr>
          <w:noProof/>
          <w:sz w:val="24"/>
          <w:szCs w:val="24"/>
        </w:rPr>
        <w:fldChar w:fldCharType="separate"/>
      </w:r>
      <w:r w:rsidR="008C71FB">
        <w:rPr>
          <w:noProof/>
          <w:sz w:val="24"/>
          <w:szCs w:val="24"/>
        </w:rPr>
        <w:t>137</w:t>
      </w:r>
      <w:r w:rsidRPr="00AD1106">
        <w:rPr>
          <w:noProof/>
          <w:sz w:val="24"/>
          <w:szCs w:val="24"/>
        </w:rPr>
        <w:fldChar w:fldCharType="end"/>
      </w:r>
    </w:p>
    <w:p w14:paraId="75147244" w14:textId="77777777" w:rsidR="00AD1106" w:rsidRPr="00AD1106" w:rsidRDefault="00AD1106">
      <w:pPr>
        <w:pStyle w:val="TOC3"/>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Unidimensional (Code 1)</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_Toc275209858 \h </w:instrText>
      </w:r>
      <w:r w:rsidRPr="00AD1106">
        <w:rPr>
          <w:noProof/>
          <w:sz w:val="24"/>
          <w:szCs w:val="24"/>
        </w:rPr>
      </w:r>
      <w:r w:rsidRPr="00AD1106">
        <w:rPr>
          <w:noProof/>
          <w:sz w:val="24"/>
          <w:szCs w:val="24"/>
        </w:rPr>
        <w:fldChar w:fldCharType="separate"/>
      </w:r>
      <w:r w:rsidR="008C71FB">
        <w:rPr>
          <w:noProof/>
          <w:sz w:val="24"/>
          <w:szCs w:val="24"/>
        </w:rPr>
        <w:t>137</w:t>
      </w:r>
      <w:r w:rsidRPr="00AD1106">
        <w:rPr>
          <w:noProof/>
          <w:sz w:val="24"/>
          <w:szCs w:val="24"/>
        </w:rPr>
        <w:fldChar w:fldCharType="end"/>
      </w:r>
    </w:p>
    <w:p w14:paraId="2C708B66" w14:textId="77777777" w:rsidR="00AD1106" w:rsidRPr="00AD1106" w:rsidRDefault="00AD1106">
      <w:pPr>
        <w:pStyle w:val="TOC3"/>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Multidimensional (Code 2 &amp; 3)</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_Toc275209859 \h </w:instrText>
      </w:r>
      <w:r w:rsidRPr="00AD1106">
        <w:rPr>
          <w:noProof/>
          <w:sz w:val="24"/>
          <w:szCs w:val="24"/>
        </w:rPr>
      </w:r>
      <w:r w:rsidRPr="00AD1106">
        <w:rPr>
          <w:noProof/>
          <w:sz w:val="24"/>
          <w:szCs w:val="24"/>
        </w:rPr>
        <w:fldChar w:fldCharType="separate"/>
      </w:r>
      <w:r w:rsidR="008C71FB">
        <w:rPr>
          <w:noProof/>
          <w:sz w:val="24"/>
          <w:szCs w:val="24"/>
        </w:rPr>
        <w:t>138</w:t>
      </w:r>
      <w:r w:rsidRPr="00AD1106">
        <w:rPr>
          <w:noProof/>
          <w:sz w:val="24"/>
          <w:szCs w:val="24"/>
        </w:rPr>
        <w:fldChar w:fldCharType="end"/>
      </w:r>
    </w:p>
    <w:p w14:paraId="74A082B8" w14:textId="77777777" w:rsidR="00AD1106" w:rsidRPr="00AD1106" w:rsidRDefault="00AD1106">
      <w:pPr>
        <w:pStyle w:val="TOC3"/>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Miscellaneous (code 4)</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_Toc275209860 \h </w:instrText>
      </w:r>
      <w:r w:rsidRPr="00AD1106">
        <w:rPr>
          <w:noProof/>
          <w:sz w:val="24"/>
          <w:szCs w:val="24"/>
        </w:rPr>
      </w:r>
      <w:r w:rsidRPr="00AD1106">
        <w:rPr>
          <w:noProof/>
          <w:sz w:val="24"/>
          <w:szCs w:val="24"/>
        </w:rPr>
        <w:fldChar w:fldCharType="separate"/>
      </w:r>
      <w:r w:rsidR="008C71FB">
        <w:rPr>
          <w:noProof/>
          <w:sz w:val="24"/>
          <w:szCs w:val="24"/>
        </w:rPr>
        <w:t>140</w:t>
      </w:r>
      <w:r w:rsidRPr="00AD1106">
        <w:rPr>
          <w:noProof/>
          <w:sz w:val="24"/>
          <w:szCs w:val="24"/>
        </w:rPr>
        <w:fldChar w:fldCharType="end"/>
      </w:r>
    </w:p>
    <w:p w14:paraId="4CC3D5AA"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Data and Calculations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_Toc275209861 \h </w:instrText>
      </w:r>
      <w:r w:rsidRPr="00AD1106">
        <w:rPr>
          <w:noProof/>
          <w:sz w:val="24"/>
          <w:szCs w:val="24"/>
        </w:rPr>
      </w:r>
      <w:r w:rsidRPr="00AD1106">
        <w:rPr>
          <w:noProof/>
          <w:sz w:val="24"/>
          <w:szCs w:val="24"/>
        </w:rPr>
        <w:fldChar w:fldCharType="separate"/>
      </w:r>
      <w:r w:rsidR="008C71FB">
        <w:rPr>
          <w:noProof/>
          <w:sz w:val="24"/>
          <w:szCs w:val="24"/>
        </w:rPr>
        <w:t>141</w:t>
      </w:r>
      <w:r w:rsidRPr="00AD1106">
        <w:rPr>
          <w:noProof/>
          <w:sz w:val="24"/>
          <w:szCs w:val="24"/>
        </w:rPr>
        <w:fldChar w:fldCharType="end"/>
      </w:r>
    </w:p>
    <w:p w14:paraId="0FE8A850"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Conclusion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_Toc275209862 \h </w:instrText>
      </w:r>
      <w:r w:rsidRPr="00AD1106">
        <w:rPr>
          <w:noProof/>
          <w:sz w:val="24"/>
          <w:szCs w:val="24"/>
        </w:rPr>
      </w:r>
      <w:r w:rsidRPr="00AD1106">
        <w:rPr>
          <w:noProof/>
          <w:sz w:val="24"/>
          <w:szCs w:val="24"/>
        </w:rPr>
        <w:fldChar w:fldCharType="separate"/>
      </w:r>
      <w:r w:rsidR="008C71FB">
        <w:rPr>
          <w:noProof/>
          <w:sz w:val="24"/>
          <w:szCs w:val="24"/>
        </w:rPr>
        <w:t>147</w:t>
      </w:r>
      <w:r w:rsidRPr="00AD1106">
        <w:rPr>
          <w:noProof/>
          <w:sz w:val="24"/>
          <w:szCs w:val="24"/>
        </w:rPr>
        <w:fldChar w:fldCharType="end"/>
      </w:r>
    </w:p>
    <w:p w14:paraId="6B8DB876"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References for the Meta-Analysis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_Toc275209863 \h </w:instrText>
      </w:r>
      <w:r w:rsidRPr="00AD1106">
        <w:rPr>
          <w:noProof/>
          <w:sz w:val="24"/>
          <w:szCs w:val="24"/>
        </w:rPr>
      </w:r>
      <w:r w:rsidRPr="00AD1106">
        <w:rPr>
          <w:noProof/>
          <w:sz w:val="24"/>
          <w:szCs w:val="24"/>
        </w:rPr>
        <w:fldChar w:fldCharType="separate"/>
      </w:r>
      <w:r w:rsidR="008C71FB">
        <w:rPr>
          <w:noProof/>
          <w:sz w:val="24"/>
          <w:szCs w:val="24"/>
        </w:rPr>
        <w:t>147</w:t>
      </w:r>
      <w:r w:rsidRPr="00AD1106">
        <w:rPr>
          <w:noProof/>
          <w:sz w:val="24"/>
          <w:szCs w:val="24"/>
        </w:rPr>
        <w:fldChar w:fldCharType="end"/>
      </w:r>
    </w:p>
    <w:p w14:paraId="36EA77EF" w14:textId="77777777" w:rsidR="00AD1106" w:rsidRPr="00AD1106" w:rsidRDefault="00AD1106">
      <w:pPr>
        <w:pStyle w:val="TOC3"/>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Between Team Comparison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_Toc275209864 \h </w:instrText>
      </w:r>
      <w:r w:rsidRPr="00AD1106">
        <w:rPr>
          <w:noProof/>
          <w:sz w:val="24"/>
          <w:szCs w:val="24"/>
        </w:rPr>
      </w:r>
      <w:r w:rsidRPr="00AD1106">
        <w:rPr>
          <w:noProof/>
          <w:sz w:val="24"/>
          <w:szCs w:val="24"/>
        </w:rPr>
        <w:fldChar w:fldCharType="separate"/>
      </w:r>
      <w:r w:rsidR="008C71FB">
        <w:rPr>
          <w:noProof/>
          <w:sz w:val="24"/>
          <w:szCs w:val="24"/>
        </w:rPr>
        <w:t>156</w:t>
      </w:r>
      <w:r w:rsidRPr="00AD1106">
        <w:rPr>
          <w:noProof/>
          <w:sz w:val="24"/>
          <w:szCs w:val="24"/>
        </w:rPr>
        <w:fldChar w:fldCharType="end"/>
      </w:r>
    </w:p>
    <w:p w14:paraId="5C07E969"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Experiment Guideline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_Toc275209865 \h </w:instrText>
      </w:r>
      <w:r w:rsidRPr="00AD1106">
        <w:rPr>
          <w:noProof/>
          <w:sz w:val="24"/>
          <w:szCs w:val="24"/>
        </w:rPr>
      </w:r>
      <w:r w:rsidRPr="00AD1106">
        <w:rPr>
          <w:noProof/>
          <w:sz w:val="24"/>
          <w:szCs w:val="24"/>
        </w:rPr>
        <w:fldChar w:fldCharType="separate"/>
      </w:r>
      <w:r w:rsidR="008C71FB">
        <w:rPr>
          <w:noProof/>
          <w:sz w:val="24"/>
          <w:szCs w:val="24"/>
        </w:rPr>
        <w:t>162</w:t>
      </w:r>
      <w:r w:rsidRPr="00AD1106">
        <w:rPr>
          <w:noProof/>
          <w:sz w:val="24"/>
          <w:szCs w:val="24"/>
        </w:rPr>
        <w:fldChar w:fldCharType="end"/>
      </w:r>
    </w:p>
    <w:p w14:paraId="369235F7"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Experiment document – Articles To read 1</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_Toc275209866 \h </w:instrText>
      </w:r>
      <w:r w:rsidRPr="00AD1106">
        <w:rPr>
          <w:noProof/>
          <w:sz w:val="24"/>
          <w:szCs w:val="24"/>
        </w:rPr>
      </w:r>
      <w:r w:rsidRPr="00AD1106">
        <w:rPr>
          <w:noProof/>
          <w:sz w:val="24"/>
          <w:szCs w:val="24"/>
        </w:rPr>
        <w:fldChar w:fldCharType="separate"/>
      </w:r>
      <w:r w:rsidR="008C71FB">
        <w:rPr>
          <w:noProof/>
          <w:sz w:val="24"/>
          <w:szCs w:val="24"/>
        </w:rPr>
        <w:t>166</w:t>
      </w:r>
      <w:r w:rsidRPr="00AD1106">
        <w:rPr>
          <w:noProof/>
          <w:sz w:val="24"/>
          <w:szCs w:val="24"/>
        </w:rPr>
        <w:fldChar w:fldCharType="end"/>
      </w:r>
    </w:p>
    <w:p w14:paraId="222D0FE3" w14:textId="77777777" w:rsidR="00AD1106" w:rsidRPr="00AD1106" w:rsidRDefault="00AD1106">
      <w:pPr>
        <w:pStyle w:val="TOC2"/>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Experiment document – Articles To read 2</w:t>
      </w:r>
      <w:r w:rsidRPr="00AD1106">
        <w:rPr>
          <w:noProof/>
          <w:sz w:val="24"/>
          <w:szCs w:val="24"/>
        </w:rPr>
        <w:tab/>
      </w:r>
      <w:r w:rsidRPr="00AD1106">
        <w:rPr>
          <w:noProof/>
          <w:sz w:val="24"/>
          <w:szCs w:val="24"/>
        </w:rPr>
        <w:fldChar w:fldCharType="begin"/>
      </w:r>
      <w:r w:rsidRPr="00AD1106">
        <w:rPr>
          <w:noProof/>
          <w:sz w:val="24"/>
          <w:szCs w:val="24"/>
        </w:rPr>
        <w:instrText xml:space="preserve"> PAGEREF _Toc275209867 \h </w:instrText>
      </w:r>
      <w:r w:rsidRPr="00AD1106">
        <w:rPr>
          <w:noProof/>
          <w:sz w:val="24"/>
          <w:szCs w:val="24"/>
        </w:rPr>
      </w:r>
      <w:r w:rsidRPr="00AD1106">
        <w:rPr>
          <w:noProof/>
          <w:sz w:val="24"/>
          <w:szCs w:val="24"/>
        </w:rPr>
        <w:fldChar w:fldCharType="separate"/>
      </w:r>
      <w:r w:rsidR="008C71FB">
        <w:rPr>
          <w:noProof/>
          <w:sz w:val="24"/>
          <w:szCs w:val="24"/>
        </w:rPr>
        <w:t>169</w:t>
      </w:r>
      <w:r w:rsidRPr="00AD1106">
        <w:rPr>
          <w:noProof/>
          <w:sz w:val="24"/>
          <w:szCs w:val="24"/>
        </w:rPr>
        <w:fldChar w:fldCharType="end"/>
      </w:r>
    </w:p>
    <w:p w14:paraId="532AA6CF" w14:textId="5CC6D26C" w:rsidR="00B72D9B" w:rsidRPr="00817F86" w:rsidRDefault="00B72D9B">
      <w:pPr>
        <w:spacing w:line="240" w:lineRule="auto"/>
        <w:ind w:firstLine="0"/>
        <w:rPr>
          <w:rFonts w:asciiTheme="majorHAnsi" w:eastAsiaTheme="majorEastAsia" w:hAnsiTheme="majorHAnsi" w:cstheme="majorBidi"/>
          <w:b/>
          <w:bCs/>
          <w:caps/>
          <w:color w:val="345A8A" w:themeColor="accent1" w:themeShade="B5"/>
        </w:rPr>
      </w:pPr>
      <w:r w:rsidRPr="00AD1106">
        <w:lastRenderedPageBreak/>
        <w:fldChar w:fldCharType="end"/>
      </w:r>
    </w:p>
    <w:p w14:paraId="2FCC11C8" w14:textId="7CAD8792" w:rsidR="00B72D9B" w:rsidRPr="00BC081A" w:rsidRDefault="00B72D9B" w:rsidP="00B72D9B">
      <w:pPr>
        <w:spacing w:line="240" w:lineRule="auto"/>
        <w:ind w:firstLine="0"/>
        <w:jc w:val="center"/>
        <w:rPr>
          <w:b/>
          <w:sz w:val="32"/>
        </w:rPr>
      </w:pPr>
      <w:r w:rsidRPr="00BC081A">
        <w:rPr>
          <w:b/>
          <w:sz w:val="32"/>
        </w:rPr>
        <w:t>LIST OF FIGURES</w:t>
      </w:r>
      <w:r w:rsidR="008557F9" w:rsidRPr="00BC081A">
        <w:rPr>
          <w:b/>
          <w:sz w:val="32"/>
        </w:rPr>
        <w:t>,</w:t>
      </w:r>
      <w:r w:rsidRPr="00BC081A">
        <w:rPr>
          <w:b/>
          <w:sz w:val="32"/>
        </w:rPr>
        <w:t xml:space="preserve"> TABLES</w:t>
      </w:r>
      <w:r w:rsidR="008557F9" w:rsidRPr="00BC081A">
        <w:rPr>
          <w:b/>
          <w:sz w:val="32"/>
        </w:rPr>
        <w:t>, AND FORMULAS</w:t>
      </w:r>
    </w:p>
    <w:p w14:paraId="3969E83B" w14:textId="77777777" w:rsidR="004609E5" w:rsidRPr="00BC081A" w:rsidRDefault="004609E5" w:rsidP="008557F9">
      <w:pPr>
        <w:rPr>
          <w:b/>
        </w:rPr>
      </w:pPr>
    </w:p>
    <w:p w14:paraId="33E8DC40" w14:textId="4F25E518" w:rsidR="008557F9" w:rsidRPr="00BC081A" w:rsidRDefault="008557F9" w:rsidP="008557F9">
      <w:pPr>
        <w:rPr>
          <w:b/>
        </w:rPr>
      </w:pPr>
      <w:r w:rsidRPr="00BC081A">
        <w:rPr>
          <w:b/>
        </w:rPr>
        <w:t>Figures</w:t>
      </w:r>
    </w:p>
    <w:p w14:paraId="612916E0" w14:textId="77777777" w:rsidR="004E66FB" w:rsidRPr="004E66FB" w:rsidRDefault="008557F9">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b/>
          <w:sz w:val="32"/>
          <w:szCs w:val="24"/>
          <w:lang w:val="en-CA"/>
        </w:rPr>
        <w:fldChar w:fldCharType="begin"/>
      </w:r>
      <w:r w:rsidRPr="004E66FB">
        <w:rPr>
          <w:b/>
          <w:sz w:val="32"/>
          <w:szCs w:val="24"/>
          <w:lang w:val="en-CA"/>
        </w:rPr>
        <w:instrText xml:space="preserve"> TOC \c "Figure" </w:instrText>
      </w:r>
      <w:r w:rsidRPr="004E66FB">
        <w:rPr>
          <w:b/>
          <w:sz w:val="32"/>
          <w:szCs w:val="24"/>
          <w:lang w:val="en-CA"/>
        </w:rPr>
        <w:fldChar w:fldCharType="separate"/>
      </w:r>
      <w:r w:rsidR="004E66FB" w:rsidRPr="004E66FB">
        <w:rPr>
          <w:noProof/>
          <w:sz w:val="24"/>
        </w:rPr>
        <w:t>Figure 1 – Proportions of games within each primary educational content category (Ratan and Ritterfeld 2009)</w:t>
      </w:r>
      <w:r w:rsidR="004E66FB" w:rsidRPr="004E66FB">
        <w:rPr>
          <w:noProof/>
          <w:sz w:val="24"/>
        </w:rPr>
        <w:tab/>
      </w:r>
      <w:r w:rsidR="004E66FB" w:rsidRPr="004E66FB">
        <w:rPr>
          <w:noProof/>
          <w:sz w:val="24"/>
        </w:rPr>
        <w:fldChar w:fldCharType="begin"/>
      </w:r>
      <w:r w:rsidR="004E66FB" w:rsidRPr="004E66FB">
        <w:rPr>
          <w:noProof/>
          <w:sz w:val="24"/>
        </w:rPr>
        <w:instrText xml:space="preserve"> PAGEREF _Toc278912291 \h </w:instrText>
      </w:r>
      <w:r w:rsidR="004E66FB" w:rsidRPr="004E66FB">
        <w:rPr>
          <w:noProof/>
          <w:sz w:val="24"/>
        </w:rPr>
      </w:r>
      <w:r w:rsidR="004E66FB" w:rsidRPr="004E66FB">
        <w:rPr>
          <w:noProof/>
          <w:sz w:val="24"/>
        </w:rPr>
        <w:fldChar w:fldCharType="separate"/>
      </w:r>
      <w:r w:rsidR="008C71FB">
        <w:rPr>
          <w:noProof/>
          <w:sz w:val="24"/>
        </w:rPr>
        <w:t>13</w:t>
      </w:r>
      <w:r w:rsidR="004E66FB" w:rsidRPr="004E66FB">
        <w:rPr>
          <w:noProof/>
          <w:sz w:val="24"/>
        </w:rPr>
        <w:fldChar w:fldCharType="end"/>
      </w:r>
    </w:p>
    <w:p w14:paraId="005F8CBC"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2 - Situating Gamification (from Deterding et al. 2011)</w:t>
      </w:r>
      <w:r w:rsidRPr="004E66FB">
        <w:rPr>
          <w:noProof/>
          <w:sz w:val="24"/>
        </w:rPr>
        <w:tab/>
      </w:r>
      <w:r w:rsidRPr="004E66FB">
        <w:rPr>
          <w:noProof/>
          <w:sz w:val="24"/>
        </w:rPr>
        <w:fldChar w:fldCharType="begin"/>
      </w:r>
      <w:r w:rsidRPr="004E66FB">
        <w:rPr>
          <w:noProof/>
          <w:sz w:val="24"/>
        </w:rPr>
        <w:instrText xml:space="preserve"> PAGEREF _Toc278912292 \h </w:instrText>
      </w:r>
      <w:r w:rsidRPr="004E66FB">
        <w:rPr>
          <w:noProof/>
          <w:sz w:val="24"/>
        </w:rPr>
      </w:r>
      <w:r w:rsidRPr="004E66FB">
        <w:rPr>
          <w:noProof/>
          <w:sz w:val="24"/>
        </w:rPr>
        <w:fldChar w:fldCharType="separate"/>
      </w:r>
      <w:r w:rsidR="008C71FB">
        <w:rPr>
          <w:noProof/>
          <w:sz w:val="24"/>
        </w:rPr>
        <w:t>16</w:t>
      </w:r>
      <w:r w:rsidRPr="004E66FB">
        <w:rPr>
          <w:noProof/>
          <w:sz w:val="24"/>
        </w:rPr>
        <w:fldChar w:fldCharType="end"/>
      </w:r>
    </w:p>
    <w:p w14:paraId="6CA6B759"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3 - Finding the Gap in Literature on Video Gameplay</w:t>
      </w:r>
      <w:r w:rsidRPr="004E66FB">
        <w:rPr>
          <w:noProof/>
          <w:sz w:val="24"/>
        </w:rPr>
        <w:tab/>
      </w:r>
      <w:r w:rsidRPr="004E66FB">
        <w:rPr>
          <w:noProof/>
          <w:sz w:val="24"/>
        </w:rPr>
        <w:fldChar w:fldCharType="begin"/>
      </w:r>
      <w:r w:rsidRPr="004E66FB">
        <w:rPr>
          <w:noProof/>
          <w:sz w:val="24"/>
        </w:rPr>
        <w:instrText xml:space="preserve"> PAGEREF _Toc278912293 \h </w:instrText>
      </w:r>
      <w:r w:rsidRPr="004E66FB">
        <w:rPr>
          <w:noProof/>
          <w:sz w:val="24"/>
        </w:rPr>
      </w:r>
      <w:r w:rsidRPr="004E66FB">
        <w:rPr>
          <w:noProof/>
          <w:sz w:val="24"/>
        </w:rPr>
        <w:fldChar w:fldCharType="separate"/>
      </w:r>
      <w:r w:rsidR="008C71FB">
        <w:rPr>
          <w:noProof/>
          <w:sz w:val="24"/>
        </w:rPr>
        <w:t>21</w:t>
      </w:r>
      <w:r w:rsidRPr="004E66FB">
        <w:rPr>
          <w:noProof/>
          <w:sz w:val="24"/>
        </w:rPr>
        <w:fldChar w:fldCharType="end"/>
      </w:r>
    </w:p>
    <w:p w14:paraId="52D4D43B"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4 – Finding the Gap in Literature on Video Gameplay (continued)</w:t>
      </w:r>
      <w:r w:rsidRPr="004E66FB">
        <w:rPr>
          <w:noProof/>
          <w:sz w:val="24"/>
        </w:rPr>
        <w:tab/>
      </w:r>
      <w:r w:rsidRPr="004E66FB">
        <w:rPr>
          <w:noProof/>
          <w:sz w:val="24"/>
        </w:rPr>
        <w:fldChar w:fldCharType="begin"/>
      </w:r>
      <w:r w:rsidRPr="004E66FB">
        <w:rPr>
          <w:noProof/>
          <w:sz w:val="24"/>
        </w:rPr>
        <w:instrText xml:space="preserve"> PAGEREF _Toc278912294 \h </w:instrText>
      </w:r>
      <w:r w:rsidRPr="004E66FB">
        <w:rPr>
          <w:noProof/>
          <w:sz w:val="24"/>
        </w:rPr>
      </w:r>
      <w:r w:rsidRPr="004E66FB">
        <w:rPr>
          <w:noProof/>
          <w:sz w:val="24"/>
        </w:rPr>
        <w:fldChar w:fldCharType="separate"/>
      </w:r>
      <w:r w:rsidR="008C71FB">
        <w:rPr>
          <w:noProof/>
          <w:sz w:val="24"/>
        </w:rPr>
        <w:t>22</w:t>
      </w:r>
      <w:r w:rsidRPr="004E66FB">
        <w:rPr>
          <w:noProof/>
          <w:sz w:val="24"/>
        </w:rPr>
        <w:fldChar w:fldCharType="end"/>
      </w:r>
    </w:p>
    <w:p w14:paraId="49DED03F"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5 – Overarching Theoretical Framework</w:t>
      </w:r>
      <w:r w:rsidRPr="004E66FB">
        <w:rPr>
          <w:noProof/>
          <w:sz w:val="24"/>
        </w:rPr>
        <w:tab/>
      </w:r>
      <w:r w:rsidRPr="004E66FB">
        <w:rPr>
          <w:noProof/>
          <w:sz w:val="24"/>
        </w:rPr>
        <w:fldChar w:fldCharType="begin"/>
      </w:r>
      <w:r w:rsidRPr="004E66FB">
        <w:rPr>
          <w:noProof/>
          <w:sz w:val="24"/>
        </w:rPr>
        <w:instrText xml:space="preserve"> PAGEREF _Toc278912295 \h </w:instrText>
      </w:r>
      <w:r w:rsidRPr="004E66FB">
        <w:rPr>
          <w:noProof/>
          <w:sz w:val="24"/>
        </w:rPr>
      </w:r>
      <w:r w:rsidRPr="004E66FB">
        <w:rPr>
          <w:noProof/>
          <w:sz w:val="24"/>
        </w:rPr>
        <w:fldChar w:fldCharType="separate"/>
      </w:r>
      <w:r w:rsidR="008C71FB">
        <w:rPr>
          <w:noProof/>
          <w:sz w:val="24"/>
        </w:rPr>
        <w:t>25</w:t>
      </w:r>
      <w:r w:rsidRPr="004E66FB">
        <w:rPr>
          <w:noProof/>
          <w:sz w:val="24"/>
        </w:rPr>
        <w:fldChar w:fldCharType="end"/>
      </w:r>
    </w:p>
    <w:p w14:paraId="03E7E18C"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6 - The self-determination continuum (source: Ryan &amp; Deci, 2000)</w:t>
      </w:r>
      <w:r w:rsidRPr="004E66FB">
        <w:rPr>
          <w:noProof/>
          <w:sz w:val="24"/>
        </w:rPr>
        <w:tab/>
      </w:r>
      <w:r w:rsidRPr="004E66FB">
        <w:rPr>
          <w:noProof/>
          <w:sz w:val="24"/>
        </w:rPr>
        <w:fldChar w:fldCharType="begin"/>
      </w:r>
      <w:r w:rsidRPr="004E66FB">
        <w:rPr>
          <w:noProof/>
          <w:sz w:val="24"/>
        </w:rPr>
        <w:instrText xml:space="preserve"> PAGEREF _Toc278912296 \h </w:instrText>
      </w:r>
      <w:r w:rsidRPr="004E66FB">
        <w:rPr>
          <w:noProof/>
          <w:sz w:val="24"/>
        </w:rPr>
      </w:r>
      <w:r w:rsidRPr="004E66FB">
        <w:rPr>
          <w:noProof/>
          <w:sz w:val="24"/>
        </w:rPr>
        <w:fldChar w:fldCharType="separate"/>
      </w:r>
      <w:r w:rsidR="008C71FB">
        <w:rPr>
          <w:noProof/>
          <w:sz w:val="24"/>
        </w:rPr>
        <w:t>32</w:t>
      </w:r>
      <w:r w:rsidRPr="004E66FB">
        <w:rPr>
          <w:noProof/>
          <w:sz w:val="24"/>
        </w:rPr>
        <w:fldChar w:fldCharType="end"/>
      </w:r>
    </w:p>
    <w:p w14:paraId="71C47779"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7 - Flow Models: Original Flow Model on the left and Four-State Flow Model on the right</w:t>
      </w:r>
      <w:r w:rsidRPr="004E66FB">
        <w:rPr>
          <w:noProof/>
          <w:sz w:val="24"/>
        </w:rPr>
        <w:tab/>
      </w:r>
      <w:r w:rsidRPr="004E66FB">
        <w:rPr>
          <w:noProof/>
          <w:sz w:val="24"/>
        </w:rPr>
        <w:fldChar w:fldCharType="begin"/>
      </w:r>
      <w:r w:rsidRPr="004E66FB">
        <w:rPr>
          <w:noProof/>
          <w:sz w:val="24"/>
        </w:rPr>
        <w:instrText xml:space="preserve"> PAGEREF _Toc278912297 \h </w:instrText>
      </w:r>
      <w:r w:rsidRPr="004E66FB">
        <w:rPr>
          <w:noProof/>
          <w:sz w:val="24"/>
        </w:rPr>
      </w:r>
      <w:r w:rsidRPr="004E66FB">
        <w:rPr>
          <w:noProof/>
          <w:sz w:val="24"/>
        </w:rPr>
        <w:fldChar w:fldCharType="separate"/>
      </w:r>
      <w:r w:rsidR="008C71FB">
        <w:rPr>
          <w:noProof/>
          <w:sz w:val="24"/>
        </w:rPr>
        <w:t>36</w:t>
      </w:r>
      <w:r w:rsidRPr="004E66FB">
        <w:rPr>
          <w:noProof/>
          <w:sz w:val="24"/>
        </w:rPr>
        <w:fldChar w:fldCharType="end"/>
      </w:r>
    </w:p>
    <w:p w14:paraId="19283EF7"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8 - Eight State Flow Model</w:t>
      </w:r>
      <w:r w:rsidRPr="004E66FB">
        <w:rPr>
          <w:noProof/>
          <w:sz w:val="24"/>
        </w:rPr>
        <w:tab/>
      </w:r>
      <w:r w:rsidRPr="004E66FB">
        <w:rPr>
          <w:noProof/>
          <w:sz w:val="24"/>
        </w:rPr>
        <w:fldChar w:fldCharType="begin"/>
      </w:r>
      <w:r w:rsidRPr="004E66FB">
        <w:rPr>
          <w:noProof/>
          <w:sz w:val="24"/>
        </w:rPr>
        <w:instrText xml:space="preserve"> PAGEREF _Toc278912298 \h </w:instrText>
      </w:r>
      <w:r w:rsidRPr="004E66FB">
        <w:rPr>
          <w:noProof/>
          <w:sz w:val="24"/>
        </w:rPr>
      </w:r>
      <w:r w:rsidRPr="004E66FB">
        <w:rPr>
          <w:noProof/>
          <w:sz w:val="24"/>
        </w:rPr>
        <w:fldChar w:fldCharType="separate"/>
      </w:r>
      <w:r w:rsidR="008C71FB">
        <w:rPr>
          <w:noProof/>
          <w:sz w:val="24"/>
        </w:rPr>
        <w:t>37</w:t>
      </w:r>
      <w:r w:rsidRPr="004E66FB">
        <w:rPr>
          <w:noProof/>
          <w:sz w:val="24"/>
        </w:rPr>
        <w:fldChar w:fldCharType="end"/>
      </w:r>
    </w:p>
    <w:p w14:paraId="380453AF"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9 – Proposed Research Model of the Study</w:t>
      </w:r>
      <w:r w:rsidRPr="004E66FB">
        <w:rPr>
          <w:noProof/>
          <w:sz w:val="24"/>
        </w:rPr>
        <w:tab/>
      </w:r>
      <w:r w:rsidRPr="004E66FB">
        <w:rPr>
          <w:noProof/>
          <w:sz w:val="24"/>
        </w:rPr>
        <w:fldChar w:fldCharType="begin"/>
      </w:r>
      <w:r w:rsidRPr="004E66FB">
        <w:rPr>
          <w:noProof/>
          <w:sz w:val="24"/>
        </w:rPr>
        <w:instrText xml:space="preserve"> PAGEREF _Toc278912299 \h </w:instrText>
      </w:r>
      <w:r w:rsidRPr="004E66FB">
        <w:rPr>
          <w:noProof/>
          <w:sz w:val="24"/>
        </w:rPr>
      </w:r>
      <w:r w:rsidRPr="004E66FB">
        <w:rPr>
          <w:noProof/>
          <w:sz w:val="24"/>
        </w:rPr>
        <w:fldChar w:fldCharType="separate"/>
      </w:r>
      <w:r w:rsidR="008C71FB">
        <w:rPr>
          <w:noProof/>
          <w:sz w:val="24"/>
        </w:rPr>
        <w:t>44</w:t>
      </w:r>
      <w:r w:rsidRPr="004E66FB">
        <w:rPr>
          <w:noProof/>
          <w:sz w:val="24"/>
        </w:rPr>
        <w:fldChar w:fldCharType="end"/>
      </w:r>
    </w:p>
    <w:p w14:paraId="190B4521"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10 - Screenshot of TypeRacer Game</w:t>
      </w:r>
      <w:r w:rsidRPr="004E66FB">
        <w:rPr>
          <w:noProof/>
          <w:sz w:val="24"/>
        </w:rPr>
        <w:tab/>
      </w:r>
      <w:r w:rsidRPr="004E66FB">
        <w:rPr>
          <w:noProof/>
          <w:sz w:val="24"/>
        </w:rPr>
        <w:fldChar w:fldCharType="begin"/>
      </w:r>
      <w:r w:rsidRPr="004E66FB">
        <w:rPr>
          <w:noProof/>
          <w:sz w:val="24"/>
        </w:rPr>
        <w:instrText xml:space="preserve"> PAGEREF _Toc278912300 \h </w:instrText>
      </w:r>
      <w:r w:rsidRPr="004E66FB">
        <w:rPr>
          <w:noProof/>
          <w:sz w:val="24"/>
        </w:rPr>
      </w:r>
      <w:r w:rsidRPr="004E66FB">
        <w:rPr>
          <w:noProof/>
          <w:sz w:val="24"/>
        </w:rPr>
        <w:fldChar w:fldCharType="separate"/>
      </w:r>
      <w:r w:rsidR="008C71FB">
        <w:rPr>
          <w:noProof/>
          <w:sz w:val="24"/>
        </w:rPr>
        <w:t>57</w:t>
      </w:r>
      <w:r w:rsidRPr="004E66FB">
        <w:rPr>
          <w:noProof/>
          <w:sz w:val="24"/>
        </w:rPr>
        <w:fldChar w:fldCharType="end"/>
      </w:r>
    </w:p>
    <w:p w14:paraId="6067D3AF"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lang w:val="en-CA"/>
        </w:rPr>
        <w:t>Figure 11 – Result of PLS Analysis of the Proposed Structural Equation Model</w:t>
      </w:r>
      <w:r w:rsidRPr="004E66FB">
        <w:rPr>
          <w:noProof/>
          <w:sz w:val="24"/>
        </w:rPr>
        <w:tab/>
      </w:r>
      <w:r w:rsidRPr="004E66FB">
        <w:rPr>
          <w:noProof/>
          <w:sz w:val="24"/>
        </w:rPr>
        <w:fldChar w:fldCharType="begin"/>
      </w:r>
      <w:r w:rsidRPr="004E66FB">
        <w:rPr>
          <w:noProof/>
          <w:sz w:val="24"/>
        </w:rPr>
        <w:instrText xml:space="preserve"> PAGEREF _Toc278912301 \h </w:instrText>
      </w:r>
      <w:r w:rsidRPr="004E66FB">
        <w:rPr>
          <w:noProof/>
          <w:sz w:val="24"/>
        </w:rPr>
      </w:r>
      <w:r w:rsidRPr="004E66FB">
        <w:rPr>
          <w:noProof/>
          <w:sz w:val="24"/>
        </w:rPr>
        <w:fldChar w:fldCharType="separate"/>
      </w:r>
      <w:r w:rsidR="008C71FB">
        <w:rPr>
          <w:noProof/>
          <w:sz w:val="24"/>
        </w:rPr>
        <w:t>74</w:t>
      </w:r>
      <w:r w:rsidRPr="004E66FB">
        <w:rPr>
          <w:noProof/>
          <w:sz w:val="24"/>
        </w:rPr>
        <w:fldChar w:fldCharType="end"/>
      </w:r>
    </w:p>
    <w:p w14:paraId="0A30D278"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12 – Research Model</w:t>
      </w:r>
      <w:r w:rsidRPr="004E66FB">
        <w:rPr>
          <w:noProof/>
          <w:sz w:val="24"/>
        </w:rPr>
        <w:tab/>
      </w:r>
      <w:r w:rsidRPr="004E66FB">
        <w:rPr>
          <w:noProof/>
          <w:sz w:val="24"/>
        </w:rPr>
        <w:fldChar w:fldCharType="begin"/>
      </w:r>
      <w:r w:rsidRPr="004E66FB">
        <w:rPr>
          <w:noProof/>
          <w:sz w:val="24"/>
        </w:rPr>
        <w:instrText xml:space="preserve"> PAGEREF _Toc278912302 \h </w:instrText>
      </w:r>
      <w:r w:rsidRPr="004E66FB">
        <w:rPr>
          <w:noProof/>
          <w:sz w:val="24"/>
        </w:rPr>
      </w:r>
      <w:r w:rsidRPr="004E66FB">
        <w:rPr>
          <w:noProof/>
          <w:sz w:val="24"/>
        </w:rPr>
        <w:fldChar w:fldCharType="separate"/>
      </w:r>
      <w:r w:rsidR="008C71FB">
        <w:rPr>
          <w:noProof/>
          <w:sz w:val="24"/>
        </w:rPr>
        <w:t>128</w:t>
      </w:r>
      <w:r w:rsidRPr="004E66FB">
        <w:rPr>
          <w:noProof/>
          <w:sz w:val="24"/>
        </w:rPr>
        <w:fldChar w:fldCharType="end"/>
      </w:r>
    </w:p>
    <w:p w14:paraId="0E06FCAB"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13 – Variables with Increasing Means</w:t>
      </w:r>
      <w:r w:rsidRPr="004E66FB">
        <w:rPr>
          <w:noProof/>
          <w:sz w:val="24"/>
        </w:rPr>
        <w:tab/>
      </w:r>
      <w:r w:rsidRPr="004E66FB">
        <w:rPr>
          <w:noProof/>
          <w:sz w:val="24"/>
        </w:rPr>
        <w:fldChar w:fldCharType="begin"/>
      </w:r>
      <w:r w:rsidRPr="004E66FB">
        <w:rPr>
          <w:noProof/>
          <w:sz w:val="24"/>
        </w:rPr>
        <w:instrText xml:space="preserve"> PAGEREF _Toc278912303 \h </w:instrText>
      </w:r>
      <w:r w:rsidRPr="004E66FB">
        <w:rPr>
          <w:noProof/>
          <w:sz w:val="24"/>
        </w:rPr>
      </w:r>
      <w:r w:rsidRPr="004E66FB">
        <w:rPr>
          <w:noProof/>
          <w:sz w:val="24"/>
        </w:rPr>
        <w:fldChar w:fldCharType="separate"/>
      </w:r>
      <w:r w:rsidR="008C71FB">
        <w:rPr>
          <w:noProof/>
          <w:sz w:val="24"/>
        </w:rPr>
        <w:t>155</w:t>
      </w:r>
      <w:r w:rsidRPr="004E66FB">
        <w:rPr>
          <w:noProof/>
          <w:sz w:val="24"/>
        </w:rPr>
        <w:fldChar w:fldCharType="end"/>
      </w:r>
    </w:p>
    <w:p w14:paraId="3D17F301"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14 – Variables with no Observable Mean Change</w:t>
      </w:r>
      <w:r w:rsidRPr="004E66FB">
        <w:rPr>
          <w:noProof/>
          <w:sz w:val="24"/>
        </w:rPr>
        <w:tab/>
      </w:r>
      <w:r w:rsidRPr="004E66FB">
        <w:rPr>
          <w:noProof/>
          <w:sz w:val="24"/>
        </w:rPr>
        <w:fldChar w:fldCharType="begin"/>
      </w:r>
      <w:r w:rsidRPr="004E66FB">
        <w:rPr>
          <w:noProof/>
          <w:sz w:val="24"/>
        </w:rPr>
        <w:instrText xml:space="preserve"> PAGEREF _Toc278912304 \h </w:instrText>
      </w:r>
      <w:r w:rsidRPr="004E66FB">
        <w:rPr>
          <w:noProof/>
          <w:sz w:val="24"/>
        </w:rPr>
      </w:r>
      <w:r w:rsidRPr="004E66FB">
        <w:rPr>
          <w:noProof/>
          <w:sz w:val="24"/>
        </w:rPr>
        <w:fldChar w:fldCharType="separate"/>
      </w:r>
      <w:r w:rsidR="008C71FB">
        <w:rPr>
          <w:noProof/>
          <w:sz w:val="24"/>
        </w:rPr>
        <w:t>156</w:t>
      </w:r>
      <w:r w:rsidRPr="004E66FB">
        <w:rPr>
          <w:noProof/>
          <w:sz w:val="24"/>
        </w:rPr>
        <w:fldChar w:fldCharType="end"/>
      </w:r>
    </w:p>
    <w:p w14:paraId="5AD240C2"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15. Variation of Team's Average Score for the Variables with the Largest Differences from T1 to T3</w:t>
      </w:r>
      <w:r w:rsidRPr="004E66FB">
        <w:rPr>
          <w:noProof/>
          <w:sz w:val="24"/>
        </w:rPr>
        <w:tab/>
      </w:r>
      <w:r w:rsidRPr="004E66FB">
        <w:rPr>
          <w:noProof/>
          <w:sz w:val="24"/>
        </w:rPr>
        <w:fldChar w:fldCharType="begin"/>
      </w:r>
      <w:r w:rsidRPr="004E66FB">
        <w:rPr>
          <w:noProof/>
          <w:sz w:val="24"/>
        </w:rPr>
        <w:instrText xml:space="preserve"> PAGEREF _Toc278912305 \h </w:instrText>
      </w:r>
      <w:r w:rsidRPr="004E66FB">
        <w:rPr>
          <w:noProof/>
          <w:sz w:val="24"/>
        </w:rPr>
      </w:r>
      <w:r w:rsidRPr="004E66FB">
        <w:rPr>
          <w:noProof/>
          <w:sz w:val="24"/>
        </w:rPr>
        <w:fldChar w:fldCharType="separate"/>
      </w:r>
      <w:r w:rsidR="008C71FB">
        <w:rPr>
          <w:noProof/>
          <w:sz w:val="24"/>
        </w:rPr>
        <w:t>159</w:t>
      </w:r>
      <w:r w:rsidRPr="004E66FB">
        <w:rPr>
          <w:noProof/>
          <w:sz w:val="24"/>
        </w:rPr>
        <w:fldChar w:fldCharType="end"/>
      </w:r>
    </w:p>
    <w:p w14:paraId="4F0B32AF" w14:textId="77777777" w:rsidR="004E66FB" w:rsidRPr="004E66FB" w:rsidRDefault="004E66FB">
      <w:pPr>
        <w:pStyle w:val="TableofFigures"/>
        <w:tabs>
          <w:tab w:val="right" w:leader="dot" w:pos="9350"/>
        </w:tabs>
        <w:rPr>
          <w:rFonts w:asciiTheme="minorHAnsi" w:eastAsiaTheme="minorEastAsia" w:hAnsiTheme="minorHAnsi" w:cstheme="minorBidi"/>
          <w:noProof/>
          <w:sz w:val="32"/>
          <w:szCs w:val="24"/>
          <w:lang w:val="en-CA" w:eastAsia="ja-JP"/>
        </w:rPr>
      </w:pPr>
      <w:r w:rsidRPr="004E66FB">
        <w:rPr>
          <w:noProof/>
          <w:sz w:val="24"/>
        </w:rPr>
        <w:t>Figure 16. Average Values for Each Team at T1, T2, and T3 Based on Their Rankings</w:t>
      </w:r>
      <w:r w:rsidRPr="004E66FB">
        <w:rPr>
          <w:noProof/>
          <w:sz w:val="24"/>
        </w:rPr>
        <w:tab/>
      </w:r>
      <w:r w:rsidRPr="004E66FB">
        <w:rPr>
          <w:noProof/>
          <w:sz w:val="24"/>
        </w:rPr>
        <w:fldChar w:fldCharType="begin"/>
      </w:r>
      <w:r w:rsidRPr="004E66FB">
        <w:rPr>
          <w:noProof/>
          <w:sz w:val="24"/>
        </w:rPr>
        <w:instrText xml:space="preserve"> PAGEREF _Toc278912306 \h </w:instrText>
      </w:r>
      <w:r w:rsidRPr="004E66FB">
        <w:rPr>
          <w:noProof/>
          <w:sz w:val="24"/>
        </w:rPr>
      </w:r>
      <w:r w:rsidRPr="004E66FB">
        <w:rPr>
          <w:noProof/>
          <w:sz w:val="24"/>
        </w:rPr>
        <w:fldChar w:fldCharType="separate"/>
      </w:r>
      <w:r w:rsidR="008C71FB">
        <w:rPr>
          <w:noProof/>
          <w:sz w:val="24"/>
        </w:rPr>
        <w:t>161</w:t>
      </w:r>
      <w:r w:rsidRPr="004E66FB">
        <w:rPr>
          <w:noProof/>
          <w:sz w:val="24"/>
        </w:rPr>
        <w:fldChar w:fldCharType="end"/>
      </w:r>
    </w:p>
    <w:p w14:paraId="7623987E" w14:textId="77777777" w:rsidR="008557F9" w:rsidRPr="00BC081A" w:rsidRDefault="008557F9" w:rsidP="008557F9">
      <w:pPr>
        <w:rPr>
          <w:b/>
        </w:rPr>
      </w:pPr>
      <w:r w:rsidRPr="004E66FB">
        <w:rPr>
          <w:b/>
          <w:sz w:val="32"/>
        </w:rPr>
        <w:fldChar w:fldCharType="end"/>
      </w:r>
    </w:p>
    <w:p w14:paraId="7BD29E76" w14:textId="5A15FF6A" w:rsidR="008557F9" w:rsidRPr="00BC081A" w:rsidRDefault="008557F9" w:rsidP="008557F9">
      <w:pPr>
        <w:rPr>
          <w:b/>
        </w:rPr>
      </w:pPr>
      <w:r w:rsidRPr="00BC081A">
        <w:rPr>
          <w:b/>
        </w:rPr>
        <w:t>Tables</w:t>
      </w:r>
    </w:p>
    <w:p w14:paraId="72DB6205" w14:textId="77777777" w:rsidR="00AD1106" w:rsidRPr="00AD1106" w:rsidRDefault="00B72D9B">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sz w:val="24"/>
          <w:szCs w:val="24"/>
          <w:lang w:val="en-CA"/>
        </w:rPr>
        <w:fldChar w:fldCharType="begin"/>
      </w:r>
      <w:r w:rsidRPr="00AD1106">
        <w:rPr>
          <w:sz w:val="24"/>
          <w:szCs w:val="24"/>
          <w:lang w:val="en-CA"/>
        </w:rPr>
        <w:instrText xml:space="preserve"> TOC \c "Table" </w:instrText>
      </w:r>
      <w:r w:rsidRPr="00AD1106">
        <w:rPr>
          <w:sz w:val="24"/>
          <w:szCs w:val="24"/>
          <w:lang w:val="en-CA"/>
        </w:rPr>
        <w:fldChar w:fldCharType="separate"/>
      </w:r>
      <w:r w:rsidR="00AD1106" w:rsidRPr="00AD1106">
        <w:rPr>
          <w:noProof/>
          <w:sz w:val="24"/>
          <w:szCs w:val="24"/>
        </w:rPr>
        <w:t>Table 1 – Age Distribution of Participants</w:t>
      </w:r>
      <w:r w:rsidR="00AD1106" w:rsidRPr="00AD1106">
        <w:rPr>
          <w:noProof/>
          <w:sz w:val="24"/>
          <w:szCs w:val="24"/>
        </w:rPr>
        <w:tab/>
      </w:r>
      <w:r w:rsidR="00AD1106" w:rsidRPr="00AD1106">
        <w:rPr>
          <w:noProof/>
          <w:sz w:val="24"/>
          <w:szCs w:val="24"/>
        </w:rPr>
        <w:fldChar w:fldCharType="begin"/>
      </w:r>
      <w:r w:rsidR="00AD1106" w:rsidRPr="00AD1106">
        <w:rPr>
          <w:noProof/>
          <w:sz w:val="24"/>
          <w:szCs w:val="24"/>
        </w:rPr>
        <w:instrText xml:space="preserve"> PAGEREF _Toc275209759 \h </w:instrText>
      </w:r>
      <w:r w:rsidR="00AD1106" w:rsidRPr="00AD1106">
        <w:rPr>
          <w:noProof/>
          <w:sz w:val="24"/>
          <w:szCs w:val="24"/>
        </w:rPr>
      </w:r>
      <w:r w:rsidR="00AD1106" w:rsidRPr="00AD1106">
        <w:rPr>
          <w:noProof/>
          <w:sz w:val="24"/>
          <w:szCs w:val="24"/>
        </w:rPr>
        <w:fldChar w:fldCharType="separate"/>
      </w:r>
      <w:r w:rsidR="008C71FB">
        <w:rPr>
          <w:noProof/>
          <w:sz w:val="24"/>
          <w:szCs w:val="24"/>
        </w:rPr>
        <w:t>66</w:t>
      </w:r>
      <w:r w:rsidR="00AD1106" w:rsidRPr="00AD1106">
        <w:rPr>
          <w:noProof/>
          <w:sz w:val="24"/>
          <w:szCs w:val="24"/>
        </w:rPr>
        <w:fldChar w:fldCharType="end"/>
      </w:r>
    </w:p>
    <w:p w14:paraId="654C3BF8"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2 – Frequencies of Demographic Variables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_Toc275209760 \h </w:instrText>
      </w:r>
      <w:r w:rsidRPr="00AD1106">
        <w:rPr>
          <w:noProof/>
          <w:sz w:val="24"/>
          <w:szCs w:val="24"/>
        </w:rPr>
      </w:r>
      <w:r w:rsidRPr="00AD1106">
        <w:rPr>
          <w:noProof/>
          <w:sz w:val="24"/>
          <w:szCs w:val="24"/>
        </w:rPr>
        <w:fldChar w:fldCharType="separate"/>
      </w:r>
      <w:r w:rsidR="008C71FB">
        <w:rPr>
          <w:noProof/>
          <w:sz w:val="24"/>
          <w:szCs w:val="24"/>
        </w:rPr>
        <w:t>67</w:t>
      </w:r>
      <w:r w:rsidRPr="00AD1106">
        <w:rPr>
          <w:noProof/>
          <w:sz w:val="24"/>
          <w:szCs w:val="24"/>
        </w:rPr>
        <w:fldChar w:fldCharType="end"/>
      </w:r>
    </w:p>
    <w:p w14:paraId="38A59780"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3 – Participants' Previous Experience Statistics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_Toc275209761 \h </w:instrText>
      </w:r>
      <w:r w:rsidRPr="00AD1106">
        <w:rPr>
          <w:noProof/>
          <w:sz w:val="24"/>
          <w:szCs w:val="24"/>
        </w:rPr>
      </w:r>
      <w:r w:rsidRPr="00AD1106">
        <w:rPr>
          <w:noProof/>
          <w:sz w:val="24"/>
          <w:szCs w:val="24"/>
        </w:rPr>
        <w:fldChar w:fldCharType="separate"/>
      </w:r>
      <w:r w:rsidR="008C71FB">
        <w:rPr>
          <w:noProof/>
          <w:sz w:val="24"/>
          <w:szCs w:val="24"/>
        </w:rPr>
        <w:t>68</w:t>
      </w:r>
      <w:r w:rsidRPr="00AD1106">
        <w:rPr>
          <w:noProof/>
          <w:sz w:val="24"/>
          <w:szCs w:val="24"/>
        </w:rPr>
        <w:fldChar w:fldCharType="end"/>
      </w:r>
    </w:p>
    <w:p w14:paraId="43B1CD63"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4 – Construct Reliability of the Constructs in the Model</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_Toc275209762 \h </w:instrText>
      </w:r>
      <w:r w:rsidRPr="00AD1106">
        <w:rPr>
          <w:noProof/>
          <w:sz w:val="24"/>
          <w:szCs w:val="24"/>
        </w:rPr>
      </w:r>
      <w:r w:rsidRPr="00AD1106">
        <w:rPr>
          <w:noProof/>
          <w:sz w:val="24"/>
          <w:szCs w:val="24"/>
        </w:rPr>
        <w:fldChar w:fldCharType="separate"/>
      </w:r>
      <w:r w:rsidR="008C71FB">
        <w:rPr>
          <w:noProof/>
          <w:sz w:val="24"/>
          <w:szCs w:val="24"/>
        </w:rPr>
        <w:t>70</w:t>
      </w:r>
      <w:r w:rsidRPr="00AD1106">
        <w:rPr>
          <w:noProof/>
          <w:sz w:val="24"/>
          <w:szCs w:val="24"/>
        </w:rPr>
        <w:fldChar w:fldCharType="end"/>
      </w:r>
    </w:p>
    <w:p w14:paraId="1721182C"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5 – Cross Loadings Matrix for al the First-Order Constructs (significant at 0.001)</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_Toc275209763 \h </w:instrText>
      </w:r>
      <w:r w:rsidRPr="00AD1106">
        <w:rPr>
          <w:noProof/>
          <w:sz w:val="24"/>
          <w:szCs w:val="24"/>
        </w:rPr>
      </w:r>
      <w:r w:rsidRPr="00AD1106">
        <w:rPr>
          <w:noProof/>
          <w:sz w:val="24"/>
          <w:szCs w:val="24"/>
        </w:rPr>
        <w:fldChar w:fldCharType="separate"/>
      </w:r>
      <w:r w:rsidR="008C71FB">
        <w:rPr>
          <w:noProof/>
          <w:sz w:val="24"/>
          <w:szCs w:val="24"/>
        </w:rPr>
        <w:t>71</w:t>
      </w:r>
      <w:r w:rsidRPr="00AD1106">
        <w:rPr>
          <w:noProof/>
          <w:sz w:val="24"/>
          <w:szCs w:val="24"/>
        </w:rPr>
        <w:fldChar w:fldCharType="end"/>
      </w:r>
    </w:p>
    <w:p w14:paraId="6BA91537"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lastRenderedPageBreak/>
        <w:t>Table 6 – Discriminant Validity Assessment Table using Construct Correlation Matrix and Square Root of AVE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_Toc275209764 \h </w:instrText>
      </w:r>
      <w:r w:rsidRPr="00AD1106">
        <w:rPr>
          <w:noProof/>
          <w:sz w:val="24"/>
          <w:szCs w:val="24"/>
        </w:rPr>
      </w:r>
      <w:r w:rsidRPr="00AD1106">
        <w:rPr>
          <w:noProof/>
          <w:sz w:val="24"/>
          <w:szCs w:val="24"/>
        </w:rPr>
        <w:fldChar w:fldCharType="separate"/>
      </w:r>
      <w:r w:rsidR="008C71FB">
        <w:rPr>
          <w:noProof/>
          <w:sz w:val="24"/>
          <w:szCs w:val="24"/>
        </w:rPr>
        <w:t>72</w:t>
      </w:r>
      <w:r w:rsidRPr="00AD1106">
        <w:rPr>
          <w:noProof/>
          <w:sz w:val="24"/>
          <w:szCs w:val="24"/>
        </w:rPr>
        <w:fldChar w:fldCharType="end"/>
      </w:r>
    </w:p>
    <w:p w14:paraId="509FD8E3"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7 – Summary of Findings for Supporting the Proposed Hypotheses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_Toc275209765 \h </w:instrText>
      </w:r>
      <w:r w:rsidRPr="00AD1106">
        <w:rPr>
          <w:noProof/>
          <w:sz w:val="24"/>
          <w:szCs w:val="24"/>
        </w:rPr>
      </w:r>
      <w:r w:rsidRPr="00AD1106">
        <w:rPr>
          <w:noProof/>
          <w:sz w:val="24"/>
          <w:szCs w:val="24"/>
        </w:rPr>
        <w:fldChar w:fldCharType="separate"/>
      </w:r>
      <w:r w:rsidR="008C71FB">
        <w:rPr>
          <w:noProof/>
          <w:sz w:val="24"/>
          <w:szCs w:val="24"/>
        </w:rPr>
        <w:t>75</w:t>
      </w:r>
      <w:r w:rsidRPr="00AD1106">
        <w:rPr>
          <w:noProof/>
          <w:sz w:val="24"/>
          <w:szCs w:val="24"/>
        </w:rPr>
        <w:fldChar w:fldCharType="end"/>
      </w:r>
    </w:p>
    <w:p w14:paraId="1F506AB0"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8 – Direct Relationships' Effect Sizes (</w:t>
      </w:r>
      <m:oMath>
        <m:r>
          <m:rPr>
            <m:sty m:val="p"/>
          </m:rPr>
          <w:rPr>
            <w:rFonts w:ascii="Cambria Math" w:hAnsi="Cambria Math"/>
            <w:noProof/>
            <w:sz w:val="24"/>
            <w:szCs w:val="24"/>
          </w:rPr>
          <m:t>α</m:t>
        </m:r>
      </m:oMath>
      <w:r w:rsidRPr="00AD1106">
        <w:rPr>
          <w:noProof/>
          <w:sz w:val="24"/>
          <w:szCs w:val="24"/>
        </w:rPr>
        <w:t xml:space="preserve"> = 0.05)</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_Toc275209766 \h </w:instrText>
      </w:r>
      <w:r w:rsidRPr="00AD1106">
        <w:rPr>
          <w:noProof/>
          <w:sz w:val="24"/>
          <w:szCs w:val="24"/>
        </w:rPr>
      </w:r>
      <w:r w:rsidRPr="00AD1106">
        <w:rPr>
          <w:noProof/>
          <w:sz w:val="24"/>
          <w:szCs w:val="24"/>
        </w:rPr>
        <w:fldChar w:fldCharType="separate"/>
      </w:r>
      <w:r w:rsidR="008C71FB">
        <w:rPr>
          <w:noProof/>
          <w:sz w:val="24"/>
          <w:szCs w:val="24"/>
        </w:rPr>
        <w:t>77</w:t>
      </w:r>
      <w:r w:rsidRPr="00AD1106">
        <w:rPr>
          <w:noProof/>
          <w:sz w:val="24"/>
          <w:szCs w:val="24"/>
        </w:rPr>
        <w:fldChar w:fldCharType="end"/>
      </w:r>
    </w:p>
    <w:p w14:paraId="6B199CD4"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9 – Indirect Relationships' Effect Sizes (</w:t>
      </w:r>
      <m:oMath>
        <m:r>
          <m:rPr>
            <m:sty m:val="p"/>
          </m:rPr>
          <w:rPr>
            <w:rFonts w:ascii="Cambria Math" w:hAnsi="Cambria Math"/>
            <w:noProof/>
            <w:sz w:val="24"/>
            <w:szCs w:val="24"/>
          </w:rPr>
          <m:t>α</m:t>
        </m:r>
      </m:oMath>
      <w:r w:rsidRPr="00AD1106">
        <w:rPr>
          <w:noProof/>
          <w:sz w:val="24"/>
          <w:szCs w:val="24"/>
        </w:rPr>
        <w:t xml:space="preserve"> = 0.05)</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_Toc275209767 \h </w:instrText>
      </w:r>
      <w:r w:rsidRPr="00AD1106">
        <w:rPr>
          <w:noProof/>
          <w:sz w:val="24"/>
          <w:szCs w:val="24"/>
        </w:rPr>
      </w:r>
      <w:r w:rsidRPr="00AD1106">
        <w:rPr>
          <w:noProof/>
          <w:sz w:val="24"/>
          <w:szCs w:val="24"/>
        </w:rPr>
        <w:fldChar w:fldCharType="separate"/>
      </w:r>
      <w:r w:rsidR="008C71FB">
        <w:rPr>
          <w:noProof/>
          <w:sz w:val="24"/>
          <w:szCs w:val="24"/>
        </w:rPr>
        <w:t>78</w:t>
      </w:r>
      <w:r w:rsidRPr="00AD1106">
        <w:rPr>
          <w:noProof/>
          <w:sz w:val="24"/>
          <w:szCs w:val="24"/>
        </w:rPr>
        <w:fldChar w:fldCharType="end"/>
      </w:r>
    </w:p>
    <w:p w14:paraId="50A26860"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10 – Unmeasured Latent Marker Construct Test Results for Assessing Common Method Bias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_Toc275209768 \h </w:instrText>
      </w:r>
      <w:r w:rsidRPr="00AD1106">
        <w:rPr>
          <w:noProof/>
          <w:sz w:val="24"/>
          <w:szCs w:val="24"/>
        </w:rPr>
      </w:r>
      <w:r w:rsidRPr="00AD1106">
        <w:rPr>
          <w:noProof/>
          <w:sz w:val="24"/>
          <w:szCs w:val="24"/>
        </w:rPr>
        <w:fldChar w:fldCharType="separate"/>
      </w:r>
      <w:r w:rsidR="008C71FB">
        <w:rPr>
          <w:noProof/>
          <w:sz w:val="24"/>
          <w:szCs w:val="24"/>
        </w:rPr>
        <w:t>80</w:t>
      </w:r>
      <w:r w:rsidRPr="00AD1106">
        <w:rPr>
          <w:noProof/>
          <w:sz w:val="24"/>
          <w:szCs w:val="24"/>
        </w:rPr>
        <w:fldChar w:fldCharType="end"/>
      </w:r>
    </w:p>
    <w:p w14:paraId="018B125B"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11 – PLS Result for Non-hypothesized Paths in the Saturated Model</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_Toc275209769 \h </w:instrText>
      </w:r>
      <w:r w:rsidRPr="00AD1106">
        <w:rPr>
          <w:noProof/>
          <w:sz w:val="24"/>
          <w:szCs w:val="24"/>
        </w:rPr>
      </w:r>
      <w:r w:rsidRPr="00AD1106">
        <w:rPr>
          <w:noProof/>
          <w:sz w:val="24"/>
          <w:szCs w:val="24"/>
        </w:rPr>
        <w:fldChar w:fldCharType="separate"/>
      </w:r>
      <w:r w:rsidR="008C71FB">
        <w:rPr>
          <w:noProof/>
          <w:sz w:val="24"/>
          <w:szCs w:val="24"/>
        </w:rPr>
        <w:t>83</w:t>
      </w:r>
      <w:r w:rsidRPr="00AD1106">
        <w:rPr>
          <w:noProof/>
          <w:sz w:val="24"/>
          <w:szCs w:val="24"/>
        </w:rPr>
        <w:fldChar w:fldCharType="end"/>
      </w:r>
    </w:p>
    <w:p w14:paraId="4F4BDA9D"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12 – Impact of Control Variables on Model's Latent Constructs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_Toc275209770 \h </w:instrText>
      </w:r>
      <w:r w:rsidRPr="00AD1106">
        <w:rPr>
          <w:noProof/>
          <w:sz w:val="24"/>
          <w:szCs w:val="24"/>
        </w:rPr>
      </w:r>
      <w:r w:rsidRPr="00AD1106">
        <w:rPr>
          <w:noProof/>
          <w:sz w:val="24"/>
          <w:szCs w:val="24"/>
        </w:rPr>
        <w:fldChar w:fldCharType="separate"/>
      </w:r>
      <w:r w:rsidR="008C71FB">
        <w:rPr>
          <w:noProof/>
          <w:sz w:val="24"/>
          <w:szCs w:val="24"/>
        </w:rPr>
        <w:t>84</w:t>
      </w:r>
      <w:r w:rsidRPr="00AD1106">
        <w:rPr>
          <w:noProof/>
          <w:sz w:val="24"/>
          <w:szCs w:val="24"/>
        </w:rPr>
        <w:fldChar w:fldCharType="end"/>
      </w:r>
    </w:p>
    <w:p w14:paraId="2C0EA3A9"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13 – Effect Sizes of Control Variables on Endogenous Constructs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_Toc275209771 \h </w:instrText>
      </w:r>
      <w:r w:rsidRPr="00AD1106">
        <w:rPr>
          <w:noProof/>
          <w:sz w:val="24"/>
          <w:szCs w:val="24"/>
        </w:rPr>
      </w:r>
      <w:r w:rsidRPr="00AD1106">
        <w:rPr>
          <w:noProof/>
          <w:sz w:val="24"/>
          <w:szCs w:val="24"/>
        </w:rPr>
        <w:fldChar w:fldCharType="separate"/>
      </w:r>
      <w:r w:rsidR="008C71FB">
        <w:rPr>
          <w:noProof/>
          <w:sz w:val="24"/>
          <w:szCs w:val="24"/>
        </w:rPr>
        <w:t>85</w:t>
      </w:r>
      <w:r w:rsidRPr="00AD1106">
        <w:rPr>
          <w:noProof/>
          <w:sz w:val="24"/>
          <w:szCs w:val="24"/>
        </w:rPr>
        <w:fldChar w:fldCharType="end"/>
      </w:r>
    </w:p>
    <w:p w14:paraId="48A95B8B"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14 – Total number of studies for each code and each relationship</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_Toc275209772 \h </w:instrText>
      </w:r>
      <w:r w:rsidRPr="00AD1106">
        <w:rPr>
          <w:noProof/>
          <w:sz w:val="24"/>
          <w:szCs w:val="24"/>
        </w:rPr>
      </w:r>
      <w:r w:rsidRPr="00AD1106">
        <w:rPr>
          <w:noProof/>
          <w:sz w:val="24"/>
          <w:szCs w:val="24"/>
        </w:rPr>
        <w:fldChar w:fldCharType="separate"/>
      </w:r>
      <w:r w:rsidR="008C71FB">
        <w:rPr>
          <w:noProof/>
          <w:sz w:val="24"/>
          <w:szCs w:val="24"/>
        </w:rPr>
        <w:t>135</w:t>
      </w:r>
      <w:r w:rsidRPr="00AD1106">
        <w:rPr>
          <w:noProof/>
          <w:sz w:val="24"/>
          <w:szCs w:val="24"/>
        </w:rPr>
        <w:fldChar w:fldCharType="end"/>
      </w:r>
    </w:p>
    <w:p w14:paraId="2429B279"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 xml:space="preserve">Table 15 – The results of the meta-analysis after controlling for the moderator </w:t>
      </w:r>
      <w:bookmarkStart w:id="21" w:name="_GoBack"/>
      <w:bookmarkEnd w:id="21"/>
      <w:r w:rsidRPr="00AD1106">
        <w:rPr>
          <w:noProof/>
          <w:sz w:val="24"/>
          <w:szCs w:val="24"/>
        </w:rPr>
        <w:t>(operationalization mode)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_Toc275209773 \h </w:instrText>
      </w:r>
      <w:r w:rsidRPr="00AD1106">
        <w:rPr>
          <w:noProof/>
          <w:sz w:val="24"/>
          <w:szCs w:val="24"/>
        </w:rPr>
      </w:r>
      <w:r w:rsidRPr="00AD1106">
        <w:rPr>
          <w:noProof/>
          <w:sz w:val="24"/>
          <w:szCs w:val="24"/>
        </w:rPr>
        <w:fldChar w:fldCharType="separate"/>
      </w:r>
      <w:r w:rsidR="008C71FB">
        <w:rPr>
          <w:noProof/>
          <w:sz w:val="24"/>
          <w:szCs w:val="24"/>
        </w:rPr>
        <w:t>136</w:t>
      </w:r>
      <w:r w:rsidRPr="00AD1106">
        <w:rPr>
          <w:noProof/>
          <w:sz w:val="24"/>
          <w:szCs w:val="24"/>
        </w:rPr>
        <w:fldChar w:fldCharType="end"/>
      </w:r>
    </w:p>
    <w:p w14:paraId="6EB090AA"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16 – Studies Qualified for the Meta-analysis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_Toc275209774 \h </w:instrText>
      </w:r>
      <w:r w:rsidRPr="00AD1106">
        <w:rPr>
          <w:noProof/>
          <w:sz w:val="24"/>
          <w:szCs w:val="24"/>
        </w:rPr>
      </w:r>
      <w:r w:rsidRPr="00AD1106">
        <w:rPr>
          <w:noProof/>
          <w:sz w:val="24"/>
          <w:szCs w:val="24"/>
        </w:rPr>
        <w:fldChar w:fldCharType="separate"/>
      </w:r>
      <w:r w:rsidR="008C71FB">
        <w:rPr>
          <w:noProof/>
          <w:sz w:val="24"/>
          <w:szCs w:val="24"/>
        </w:rPr>
        <w:t>141</w:t>
      </w:r>
      <w:r w:rsidRPr="00AD1106">
        <w:rPr>
          <w:noProof/>
          <w:sz w:val="24"/>
          <w:szCs w:val="24"/>
        </w:rPr>
        <w:fldChar w:fldCharType="end"/>
      </w:r>
    </w:p>
    <w:p w14:paraId="06AAB941"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17 – The extracted data for the studies that were used in the final meta-analysis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_Toc275209775 \h </w:instrText>
      </w:r>
      <w:r w:rsidRPr="00AD1106">
        <w:rPr>
          <w:noProof/>
          <w:sz w:val="24"/>
          <w:szCs w:val="24"/>
        </w:rPr>
      </w:r>
      <w:r w:rsidRPr="00AD1106">
        <w:rPr>
          <w:noProof/>
          <w:sz w:val="24"/>
          <w:szCs w:val="24"/>
        </w:rPr>
        <w:fldChar w:fldCharType="separate"/>
      </w:r>
      <w:r w:rsidR="008C71FB">
        <w:rPr>
          <w:noProof/>
          <w:sz w:val="24"/>
          <w:szCs w:val="24"/>
        </w:rPr>
        <w:t>143</w:t>
      </w:r>
      <w:r w:rsidRPr="00AD1106">
        <w:rPr>
          <w:noProof/>
          <w:sz w:val="24"/>
          <w:szCs w:val="24"/>
        </w:rPr>
        <w:fldChar w:fldCharType="end"/>
      </w:r>
    </w:p>
    <w:p w14:paraId="5E91B0E1"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18 – Calculations for the studies that had correlation between flow and intention</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_Toc275209776 \h </w:instrText>
      </w:r>
      <w:r w:rsidRPr="00AD1106">
        <w:rPr>
          <w:noProof/>
          <w:sz w:val="24"/>
          <w:szCs w:val="24"/>
        </w:rPr>
      </w:r>
      <w:r w:rsidRPr="00AD1106">
        <w:rPr>
          <w:noProof/>
          <w:sz w:val="24"/>
          <w:szCs w:val="24"/>
        </w:rPr>
        <w:fldChar w:fldCharType="separate"/>
      </w:r>
      <w:r w:rsidR="008C71FB">
        <w:rPr>
          <w:noProof/>
          <w:sz w:val="24"/>
          <w:szCs w:val="24"/>
        </w:rPr>
        <w:t>145</w:t>
      </w:r>
      <w:r w:rsidRPr="00AD1106">
        <w:rPr>
          <w:noProof/>
          <w:sz w:val="24"/>
          <w:szCs w:val="24"/>
        </w:rPr>
        <w:fldChar w:fldCharType="end"/>
      </w:r>
    </w:p>
    <w:p w14:paraId="163B7F68"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19 – Calculations for the studies that had correlation between flow and attitude</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_Toc275209777 \h </w:instrText>
      </w:r>
      <w:r w:rsidRPr="00AD1106">
        <w:rPr>
          <w:noProof/>
          <w:sz w:val="24"/>
          <w:szCs w:val="24"/>
        </w:rPr>
      </w:r>
      <w:r w:rsidRPr="00AD1106">
        <w:rPr>
          <w:noProof/>
          <w:sz w:val="24"/>
          <w:szCs w:val="24"/>
        </w:rPr>
        <w:fldChar w:fldCharType="separate"/>
      </w:r>
      <w:r w:rsidR="008C71FB">
        <w:rPr>
          <w:noProof/>
          <w:sz w:val="24"/>
          <w:szCs w:val="24"/>
        </w:rPr>
        <w:t>146</w:t>
      </w:r>
      <w:r w:rsidRPr="00AD1106">
        <w:rPr>
          <w:noProof/>
          <w:sz w:val="24"/>
          <w:szCs w:val="24"/>
        </w:rPr>
        <w:fldChar w:fldCharType="end"/>
      </w:r>
    </w:p>
    <w:p w14:paraId="03938031"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20. Teams Ranking at each Round</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_Toc275209778 \h </w:instrText>
      </w:r>
      <w:r w:rsidRPr="00AD1106">
        <w:rPr>
          <w:noProof/>
          <w:sz w:val="24"/>
          <w:szCs w:val="24"/>
        </w:rPr>
      </w:r>
      <w:r w:rsidRPr="00AD1106">
        <w:rPr>
          <w:noProof/>
          <w:sz w:val="24"/>
          <w:szCs w:val="24"/>
        </w:rPr>
        <w:fldChar w:fldCharType="separate"/>
      </w:r>
      <w:r w:rsidR="008C71FB">
        <w:rPr>
          <w:noProof/>
          <w:sz w:val="24"/>
          <w:szCs w:val="24"/>
        </w:rPr>
        <w:t>156</w:t>
      </w:r>
      <w:r w:rsidRPr="00AD1106">
        <w:rPr>
          <w:noProof/>
          <w:sz w:val="24"/>
          <w:szCs w:val="24"/>
        </w:rPr>
        <w:fldChar w:fldCharType="end"/>
      </w:r>
    </w:p>
    <w:p w14:paraId="4CA98F3F" w14:textId="77777777" w:rsidR="00AD1106" w:rsidRPr="00AD1106" w:rsidRDefault="00AD1106">
      <w:pPr>
        <w:pStyle w:val="TableofFigures"/>
        <w:tabs>
          <w:tab w:val="right" w:leader="dot" w:pos="9350"/>
        </w:tabs>
        <w:rPr>
          <w:rFonts w:asciiTheme="minorHAnsi" w:eastAsiaTheme="minorEastAsia" w:hAnsiTheme="minorHAnsi" w:cstheme="minorBidi"/>
          <w:noProof/>
          <w:sz w:val="24"/>
          <w:szCs w:val="24"/>
          <w:lang w:val="en-CA" w:eastAsia="ja-JP"/>
        </w:rPr>
      </w:pPr>
      <w:r w:rsidRPr="00AD1106">
        <w:rPr>
          <w:noProof/>
          <w:sz w:val="24"/>
          <w:szCs w:val="24"/>
        </w:rPr>
        <w:t>Table 21. Largest Differences Between Teams</w:t>
      </w:r>
      <w:r w:rsidRPr="00AD1106">
        <w:rPr>
          <w:noProof/>
          <w:sz w:val="24"/>
          <w:szCs w:val="24"/>
        </w:rPr>
        <w:tab/>
      </w:r>
      <w:r w:rsidRPr="00AD1106">
        <w:rPr>
          <w:noProof/>
          <w:sz w:val="24"/>
          <w:szCs w:val="24"/>
        </w:rPr>
        <w:fldChar w:fldCharType="begin"/>
      </w:r>
      <w:r w:rsidRPr="00AD1106">
        <w:rPr>
          <w:noProof/>
          <w:sz w:val="24"/>
          <w:szCs w:val="24"/>
        </w:rPr>
        <w:instrText xml:space="preserve"> PAGEREF _Toc275209779 \h </w:instrText>
      </w:r>
      <w:r w:rsidRPr="00AD1106">
        <w:rPr>
          <w:noProof/>
          <w:sz w:val="24"/>
          <w:szCs w:val="24"/>
        </w:rPr>
      </w:r>
      <w:r w:rsidRPr="00AD1106">
        <w:rPr>
          <w:noProof/>
          <w:sz w:val="24"/>
          <w:szCs w:val="24"/>
        </w:rPr>
        <w:fldChar w:fldCharType="separate"/>
      </w:r>
      <w:r w:rsidR="008C71FB">
        <w:rPr>
          <w:noProof/>
          <w:sz w:val="24"/>
          <w:szCs w:val="24"/>
        </w:rPr>
        <w:t>158</w:t>
      </w:r>
      <w:r w:rsidRPr="00AD1106">
        <w:rPr>
          <w:noProof/>
          <w:sz w:val="24"/>
          <w:szCs w:val="24"/>
        </w:rPr>
        <w:fldChar w:fldCharType="end"/>
      </w:r>
    </w:p>
    <w:p w14:paraId="256C17B5" w14:textId="77777777" w:rsidR="008557F9" w:rsidRPr="00BC081A" w:rsidRDefault="00B72D9B" w:rsidP="008557F9">
      <w:pPr>
        <w:rPr>
          <w:b/>
          <w:sz w:val="32"/>
        </w:rPr>
      </w:pPr>
      <w:r w:rsidRPr="00AD1106">
        <w:fldChar w:fldCharType="end"/>
      </w:r>
      <w:r w:rsidR="008557F9" w:rsidRPr="00BC081A">
        <w:rPr>
          <w:b/>
          <w:sz w:val="32"/>
        </w:rPr>
        <w:t xml:space="preserve"> </w:t>
      </w:r>
    </w:p>
    <w:p w14:paraId="5CC46745" w14:textId="3ED63D37" w:rsidR="008557F9" w:rsidRPr="00BC081A" w:rsidRDefault="008557F9" w:rsidP="008557F9">
      <w:pPr>
        <w:rPr>
          <w:b/>
        </w:rPr>
      </w:pPr>
      <w:r w:rsidRPr="00BC081A">
        <w:rPr>
          <w:b/>
        </w:rPr>
        <w:t>Formulas</w:t>
      </w:r>
    </w:p>
    <w:p w14:paraId="5BAA41F7" w14:textId="77777777" w:rsidR="000316F3" w:rsidRPr="000316F3" w:rsidRDefault="008557F9">
      <w:pPr>
        <w:pStyle w:val="TableofFigures"/>
        <w:tabs>
          <w:tab w:val="right" w:leader="dot" w:pos="9350"/>
        </w:tabs>
        <w:rPr>
          <w:rFonts w:asciiTheme="minorHAnsi" w:eastAsiaTheme="minorEastAsia" w:hAnsiTheme="minorHAnsi" w:cstheme="minorBidi"/>
          <w:noProof/>
          <w:sz w:val="24"/>
          <w:szCs w:val="24"/>
          <w:lang w:val="en-CA" w:eastAsia="ja-JP"/>
        </w:rPr>
      </w:pPr>
      <w:r w:rsidRPr="000316F3">
        <w:rPr>
          <w:sz w:val="24"/>
          <w:szCs w:val="24"/>
          <w:lang w:val="en-CA"/>
        </w:rPr>
        <w:fldChar w:fldCharType="begin"/>
      </w:r>
      <w:r w:rsidRPr="000316F3">
        <w:rPr>
          <w:sz w:val="24"/>
          <w:szCs w:val="24"/>
          <w:lang w:val="en-CA"/>
        </w:rPr>
        <w:instrText xml:space="preserve"> TOC \c "Equation" </w:instrText>
      </w:r>
      <w:r w:rsidRPr="000316F3">
        <w:rPr>
          <w:sz w:val="24"/>
          <w:szCs w:val="24"/>
          <w:lang w:val="en-CA"/>
        </w:rPr>
        <w:fldChar w:fldCharType="separate"/>
      </w:r>
      <w:r w:rsidR="000316F3" w:rsidRPr="000316F3">
        <w:rPr>
          <w:noProof/>
          <w:sz w:val="24"/>
          <w:szCs w:val="24"/>
        </w:rPr>
        <w:t>Equation 1 – Goodness of Fitness Formula (Wetzels et al., 2009)</w:t>
      </w:r>
      <w:r w:rsidR="000316F3" w:rsidRPr="000316F3">
        <w:rPr>
          <w:noProof/>
          <w:sz w:val="24"/>
          <w:szCs w:val="24"/>
        </w:rPr>
        <w:tab/>
      </w:r>
      <w:r w:rsidR="000316F3" w:rsidRPr="000316F3">
        <w:rPr>
          <w:noProof/>
          <w:sz w:val="24"/>
          <w:szCs w:val="24"/>
        </w:rPr>
        <w:fldChar w:fldCharType="begin"/>
      </w:r>
      <w:r w:rsidR="000316F3" w:rsidRPr="000316F3">
        <w:rPr>
          <w:noProof/>
          <w:sz w:val="24"/>
          <w:szCs w:val="24"/>
        </w:rPr>
        <w:instrText xml:space="preserve"> PAGEREF _Toc274832387 \h </w:instrText>
      </w:r>
      <w:r w:rsidR="000316F3" w:rsidRPr="000316F3">
        <w:rPr>
          <w:noProof/>
          <w:sz w:val="24"/>
          <w:szCs w:val="24"/>
        </w:rPr>
      </w:r>
      <w:r w:rsidR="000316F3" w:rsidRPr="000316F3">
        <w:rPr>
          <w:noProof/>
          <w:sz w:val="24"/>
          <w:szCs w:val="24"/>
        </w:rPr>
        <w:fldChar w:fldCharType="separate"/>
      </w:r>
      <w:r w:rsidR="008C71FB">
        <w:rPr>
          <w:noProof/>
          <w:sz w:val="24"/>
          <w:szCs w:val="24"/>
        </w:rPr>
        <w:t>76</w:t>
      </w:r>
      <w:r w:rsidR="000316F3" w:rsidRPr="000316F3">
        <w:rPr>
          <w:noProof/>
          <w:sz w:val="24"/>
          <w:szCs w:val="24"/>
        </w:rPr>
        <w:fldChar w:fldCharType="end"/>
      </w:r>
    </w:p>
    <w:p w14:paraId="2DB18237" w14:textId="77777777" w:rsidR="000316F3" w:rsidRPr="000316F3" w:rsidRDefault="000316F3">
      <w:pPr>
        <w:pStyle w:val="TableofFigures"/>
        <w:tabs>
          <w:tab w:val="right" w:leader="dot" w:pos="9350"/>
        </w:tabs>
        <w:rPr>
          <w:rFonts w:asciiTheme="minorHAnsi" w:eastAsiaTheme="minorEastAsia" w:hAnsiTheme="minorHAnsi" w:cstheme="minorBidi"/>
          <w:noProof/>
          <w:sz w:val="24"/>
          <w:szCs w:val="24"/>
          <w:lang w:val="en-CA" w:eastAsia="ja-JP"/>
        </w:rPr>
      </w:pPr>
      <w:r w:rsidRPr="000316F3">
        <w:rPr>
          <w:noProof/>
          <w:sz w:val="24"/>
          <w:szCs w:val="24"/>
        </w:rPr>
        <w:t xml:space="preserve">Equation 2 – </w:t>
      </w:r>
      <m:oMath>
        <m:r>
          <m:rPr>
            <m:sty m:val="p"/>
          </m:rPr>
          <w:rPr>
            <w:rFonts w:ascii="Cambria Math" w:hAnsi="Cambria Math"/>
            <w:noProof/>
            <w:sz w:val="24"/>
            <w:szCs w:val="24"/>
          </w:rPr>
          <m:t>f2</m:t>
        </m:r>
      </m:oMath>
      <w:r w:rsidRPr="000316F3">
        <w:rPr>
          <w:noProof/>
          <w:sz w:val="24"/>
          <w:szCs w:val="24"/>
        </w:rPr>
        <w:t xml:space="preserve"> Formula (Cohen 1998)</w:t>
      </w:r>
      <w:r w:rsidRPr="000316F3">
        <w:rPr>
          <w:noProof/>
          <w:sz w:val="24"/>
          <w:szCs w:val="24"/>
        </w:rPr>
        <w:tab/>
      </w:r>
      <w:r w:rsidRPr="000316F3">
        <w:rPr>
          <w:noProof/>
          <w:sz w:val="24"/>
          <w:szCs w:val="24"/>
        </w:rPr>
        <w:fldChar w:fldCharType="begin"/>
      </w:r>
      <w:r w:rsidRPr="000316F3">
        <w:rPr>
          <w:noProof/>
          <w:sz w:val="24"/>
          <w:szCs w:val="24"/>
        </w:rPr>
        <w:instrText xml:space="preserve"> PAGEREF _Toc274832388 \h </w:instrText>
      </w:r>
      <w:r w:rsidRPr="000316F3">
        <w:rPr>
          <w:noProof/>
          <w:sz w:val="24"/>
          <w:szCs w:val="24"/>
        </w:rPr>
      </w:r>
      <w:r w:rsidRPr="000316F3">
        <w:rPr>
          <w:noProof/>
          <w:sz w:val="24"/>
          <w:szCs w:val="24"/>
        </w:rPr>
        <w:fldChar w:fldCharType="separate"/>
      </w:r>
      <w:r w:rsidR="008C71FB">
        <w:rPr>
          <w:noProof/>
          <w:sz w:val="24"/>
          <w:szCs w:val="24"/>
        </w:rPr>
        <w:t>77</w:t>
      </w:r>
      <w:r w:rsidRPr="000316F3">
        <w:rPr>
          <w:noProof/>
          <w:sz w:val="24"/>
          <w:szCs w:val="24"/>
        </w:rPr>
        <w:fldChar w:fldCharType="end"/>
      </w:r>
    </w:p>
    <w:p w14:paraId="019F895A" w14:textId="77777777" w:rsidR="004609E5" w:rsidRPr="00BC081A" w:rsidRDefault="008557F9">
      <w:pPr>
        <w:spacing w:line="240" w:lineRule="auto"/>
        <w:ind w:firstLine="0"/>
      </w:pPr>
      <w:r w:rsidRPr="000316F3">
        <w:fldChar w:fldCharType="end"/>
      </w:r>
    </w:p>
    <w:p w14:paraId="1DB6984C" w14:textId="77777777" w:rsidR="004609E5" w:rsidRPr="00BC081A" w:rsidRDefault="004609E5">
      <w:pPr>
        <w:spacing w:line="240" w:lineRule="auto"/>
        <w:ind w:firstLine="0"/>
      </w:pPr>
      <w:r w:rsidRPr="00BC081A">
        <w:br w:type="page"/>
      </w:r>
    </w:p>
    <w:p w14:paraId="00FD505D" w14:textId="301C55FB" w:rsidR="004609E5" w:rsidRPr="00BC081A" w:rsidRDefault="004609E5" w:rsidP="004609E5">
      <w:pPr>
        <w:spacing w:line="240" w:lineRule="auto"/>
        <w:ind w:firstLine="0"/>
        <w:jc w:val="center"/>
        <w:rPr>
          <w:b/>
          <w:sz w:val="32"/>
        </w:rPr>
      </w:pPr>
      <w:r w:rsidRPr="00BC081A">
        <w:rPr>
          <w:b/>
          <w:sz w:val="32"/>
        </w:rPr>
        <w:lastRenderedPageBreak/>
        <w:t>LIST OF ACRONYMS AND SYMBOLS</w:t>
      </w:r>
    </w:p>
    <w:p w14:paraId="79E321B3" w14:textId="77777777" w:rsidR="00727AF3" w:rsidRPr="00BC081A" w:rsidRDefault="00727AF3">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6480"/>
        <w:gridCol w:w="506"/>
      </w:tblGrid>
      <w:tr w:rsidR="00727AF3" w:rsidRPr="00BC081A" w14:paraId="1C31AF61" w14:textId="77777777" w:rsidTr="00053EAE">
        <w:tc>
          <w:tcPr>
            <w:tcW w:w="1951" w:type="dxa"/>
          </w:tcPr>
          <w:p w14:paraId="1AC45233" w14:textId="7467A6DE" w:rsidR="00727AF3" w:rsidRPr="00BC081A" w:rsidRDefault="00727AF3" w:rsidP="00053EAE">
            <w:pPr>
              <w:ind w:firstLine="0"/>
            </w:pPr>
            <w:r w:rsidRPr="00BC081A">
              <w:t>ANOVA</w:t>
            </w:r>
          </w:p>
        </w:tc>
        <w:tc>
          <w:tcPr>
            <w:tcW w:w="7625" w:type="dxa"/>
            <w:gridSpan w:val="2"/>
          </w:tcPr>
          <w:p w14:paraId="78923615" w14:textId="0C4C7104" w:rsidR="00727AF3" w:rsidRPr="00BC081A" w:rsidRDefault="00727AF3" w:rsidP="00053EAE">
            <w:pPr>
              <w:ind w:firstLine="0"/>
            </w:pPr>
            <w:r w:rsidRPr="00BC081A">
              <w:t>Analysis of Variance</w:t>
            </w:r>
          </w:p>
        </w:tc>
      </w:tr>
      <w:tr w:rsidR="00727AF3" w:rsidRPr="00BC081A" w14:paraId="00DEC331" w14:textId="77777777" w:rsidTr="00053EAE">
        <w:tc>
          <w:tcPr>
            <w:tcW w:w="1951" w:type="dxa"/>
          </w:tcPr>
          <w:p w14:paraId="3921D782" w14:textId="6B986F0E" w:rsidR="00727AF3" w:rsidRPr="00BC081A" w:rsidRDefault="00727AF3" w:rsidP="00053EAE">
            <w:pPr>
              <w:ind w:firstLine="0"/>
            </w:pPr>
            <w:r w:rsidRPr="00BC081A">
              <w:t>AVE</w:t>
            </w:r>
          </w:p>
        </w:tc>
        <w:tc>
          <w:tcPr>
            <w:tcW w:w="7625" w:type="dxa"/>
            <w:gridSpan w:val="2"/>
          </w:tcPr>
          <w:p w14:paraId="625563B3" w14:textId="51E96CAA" w:rsidR="00727AF3" w:rsidRPr="00BC081A" w:rsidRDefault="00727AF3" w:rsidP="00053EAE">
            <w:pPr>
              <w:ind w:firstLine="0"/>
            </w:pPr>
            <w:r w:rsidRPr="00BC081A">
              <w:t>Average Variance Extracted</w:t>
            </w:r>
          </w:p>
        </w:tc>
      </w:tr>
      <w:tr w:rsidR="00727AF3" w:rsidRPr="00BC081A" w14:paraId="2520DF4F" w14:textId="77777777" w:rsidTr="00053EAE">
        <w:tc>
          <w:tcPr>
            <w:tcW w:w="1951" w:type="dxa"/>
          </w:tcPr>
          <w:p w14:paraId="7CF2D742" w14:textId="15D1BA11" w:rsidR="00727AF3" w:rsidRPr="00BC081A" w:rsidRDefault="00727AF3" w:rsidP="00053EAE">
            <w:pPr>
              <w:ind w:firstLine="0"/>
            </w:pPr>
            <w:r w:rsidRPr="00BC081A">
              <w:t>CMV</w:t>
            </w:r>
          </w:p>
        </w:tc>
        <w:tc>
          <w:tcPr>
            <w:tcW w:w="7625" w:type="dxa"/>
            <w:gridSpan w:val="2"/>
          </w:tcPr>
          <w:p w14:paraId="0B39027B" w14:textId="29DBC8F6" w:rsidR="00727AF3" w:rsidRPr="00BC081A" w:rsidRDefault="00727AF3" w:rsidP="00053EAE">
            <w:pPr>
              <w:ind w:firstLine="0"/>
            </w:pPr>
            <w:r w:rsidRPr="00BC081A">
              <w:t>Common Method Variance</w:t>
            </w:r>
          </w:p>
        </w:tc>
      </w:tr>
      <w:tr w:rsidR="00727AF3" w:rsidRPr="00BC081A" w14:paraId="2821B8FE" w14:textId="77777777" w:rsidTr="00053EAE">
        <w:tc>
          <w:tcPr>
            <w:tcW w:w="1951" w:type="dxa"/>
          </w:tcPr>
          <w:p w14:paraId="79239D22" w14:textId="6FB95457" w:rsidR="00727AF3" w:rsidRPr="00BC081A" w:rsidRDefault="00727AF3" w:rsidP="00053EAE">
            <w:pPr>
              <w:ind w:firstLine="0"/>
            </w:pPr>
            <w:r w:rsidRPr="00BC081A">
              <w:t>EFA</w:t>
            </w:r>
          </w:p>
        </w:tc>
        <w:tc>
          <w:tcPr>
            <w:tcW w:w="7625" w:type="dxa"/>
            <w:gridSpan w:val="2"/>
          </w:tcPr>
          <w:p w14:paraId="66500D79" w14:textId="33E578AE" w:rsidR="00727AF3" w:rsidRPr="00BC081A" w:rsidRDefault="00727AF3" w:rsidP="00053EAE">
            <w:pPr>
              <w:ind w:firstLine="0"/>
            </w:pPr>
            <w:r w:rsidRPr="00BC081A">
              <w:t>Exploratory Factor Analysis</w:t>
            </w:r>
          </w:p>
        </w:tc>
      </w:tr>
      <w:tr w:rsidR="00DF704B" w:rsidRPr="00BC081A" w14:paraId="5D2EBFB0" w14:textId="77777777" w:rsidTr="00DF704B">
        <w:trPr>
          <w:gridAfter w:val="1"/>
          <w:wAfter w:w="564" w:type="dxa"/>
        </w:trPr>
        <w:tc>
          <w:tcPr>
            <w:tcW w:w="1951" w:type="dxa"/>
          </w:tcPr>
          <w:p w14:paraId="5C279A5A" w14:textId="77777777" w:rsidR="00DF704B" w:rsidRPr="00BC081A" w:rsidRDefault="00DF704B" w:rsidP="00DF704B">
            <w:pPr>
              <w:pStyle w:val="TableContext"/>
              <w:spacing w:line="480" w:lineRule="auto"/>
              <w:jc w:val="left"/>
              <w:rPr>
                <w:sz w:val="24"/>
                <w:lang w:val="en-CA"/>
              </w:rPr>
            </w:pPr>
            <w:r w:rsidRPr="00BC081A">
              <w:rPr>
                <w:sz w:val="24"/>
                <w:lang w:val="en-CA"/>
              </w:rPr>
              <w:t>ERP</w:t>
            </w:r>
          </w:p>
        </w:tc>
        <w:tc>
          <w:tcPr>
            <w:tcW w:w="7061" w:type="dxa"/>
          </w:tcPr>
          <w:p w14:paraId="76595C16" w14:textId="77777777" w:rsidR="00DF704B" w:rsidRPr="00BC081A" w:rsidRDefault="00DF704B" w:rsidP="00DF704B">
            <w:pPr>
              <w:pStyle w:val="TableContext"/>
              <w:spacing w:line="480" w:lineRule="auto"/>
              <w:jc w:val="left"/>
              <w:rPr>
                <w:sz w:val="24"/>
                <w:lang w:val="en-CA"/>
              </w:rPr>
            </w:pPr>
            <w:r w:rsidRPr="00BC081A">
              <w:rPr>
                <w:sz w:val="24"/>
                <w:lang w:val="en-CA"/>
              </w:rPr>
              <w:t>Enterprise Resource Planning</w:t>
            </w:r>
          </w:p>
        </w:tc>
      </w:tr>
      <w:tr w:rsidR="00727AF3" w:rsidRPr="00BC081A" w14:paraId="40EAAEF1" w14:textId="77777777" w:rsidTr="00053EAE">
        <w:tc>
          <w:tcPr>
            <w:tcW w:w="1951" w:type="dxa"/>
          </w:tcPr>
          <w:p w14:paraId="30C2C08A" w14:textId="0553746B" w:rsidR="00727AF3" w:rsidRPr="00BC081A" w:rsidRDefault="00727AF3" w:rsidP="00053EAE">
            <w:pPr>
              <w:ind w:firstLine="0"/>
            </w:pPr>
            <w:r w:rsidRPr="00BC081A">
              <w:t>IS</w:t>
            </w:r>
          </w:p>
        </w:tc>
        <w:tc>
          <w:tcPr>
            <w:tcW w:w="7625" w:type="dxa"/>
            <w:gridSpan w:val="2"/>
          </w:tcPr>
          <w:p w14:paraId="3A6146EC" w14:textId="6DA5F21A" w:rsidR="00727AF3" w:rsidRPr="00BC081A" w:rsidRDefault="00727AF3" w:rsidP="00053EAE">
            <w:pPr>
              <w:ind w:firstLine="0"/>
            </w:pPr>
            <w:r w:rsidRPr="00BC081A">
              <w:t>Information Systems</w:t>
            </w:r>
          </w:p>
        </w:tc>
      </w:tr>
      <w:tr w:rsidR="00727AF3" w:rsidRPr="00BC081A" w14:paraId="648978D1" w14:textId="77777777" w:rsidTr="00053EAE">
        <w:tc>
          <w:tcPr>
            <w:tcW w:w="1951" w:type="dxa"/>
          </w:tcPr>
          <w:p w14:paraId="064619EA" w14:textId="1245C95B" w:rsidR="00727AF3" w:rsidRPr="00BC081A" w:rsidRDefault="00727AF3" w:rsidP="00053EAE">
            <w:pPr>
              <w:ind w:firstLine="0"/>
            </w:pPr>
            <w:r w:rsidRPr="00BC081A">
              <w:t>IT</w:t>
            </w:r>
          </w:p>
        </w:tc>
        <w:tc>
          <w:tcPr>
            <w:tcW w:w="7625" w:type="dxa"/>
            <w:gridSpan w:val="2"/>
          </w:tcPr>
          <w:p w14:paraId="4A5CC8A0" w14:textId="1A4A6FEB" w:rsidR="00727AF3" w:rsidRPr="00BC081A" w:rsidRDefault="00727AF3" w:rsidP="00053EAE">
            <w:pPr>
              <w:ind w:firstLine="0"/>
            </w:pPr>
            <w:r w:rsidRPr="00BC081A">
              <w:t>Information Technology</w:t>
            </w:r>
          </w:p>
        </w:tc>
      </w:tr>
      <w:tr w:rsidR="00727AF3" w:rsidRPr="00BC081A" w14:paraId="6BC576E8" w14:textId="77777777" w:rsidTr="00053EAE">
        <w:tc>
          <w:tcPr>
            <w:tcW w:w="1951" w:type="dxa"/>
          </w:tcPr>
          <w:p w14:paraId="08ECC9D6" w14:textId="34B44544" w:rsidR="00727AF3" w:rsidRPr="00BC081A" w:rsidRDefault="00727AF3" w:rsidP="00053EAE">
            <w:pPr>
              <w:ind w:firstLine="0"/>
            </w:pPr>
            <w:proofErr w:type="spellStart"/>
            <w:r w:rsidRPr="00BC081A">
              <w:t>GoF</w:t>
            </w:r>
            <w:proofErr w:type="spellEnd"/>
          </w:p>
        </w:tc>
        <w:tc>
          <w:tcPr>
            <w:tcW w:w="7625" w:type="dxa"/>
            <w:gridSpan w:val="2"/>
          </w:tcPr>
          <w:p w14:paraId="7F07DD65" w14:textId="02D212B4" w:rsidR="00727AF3" w:rsidRPr="00BC081A" w:rsidRDefault="00727AF3" w:rsidP="00053EAE">
            <w:pPr>
              <w:ind w:firstLine="0"/>
            </w:pPr>
            <w:r w:rsidRPr="00BC081A">
              <w:t>Goodness of Fit</w:t>
            </w:r>
          </w:p>
        </w:tc>
      </w:tr>
      <w:tr w:rsidR="00727AF3" w:rsidRPr="00BC081A" w14:paraId="18740089" w14:textId="77777777" w:rsidTr="00053EAE">
        <w:tc>
          <w:tcPr>
            <w:tcW w:w="1951" w:type="dxa"/>
          </w:tcPr>
          <w:p w14:paraId="116F8F01" w14:textId="2B20EAEF" w:rsidR="00727AF3" w:rsidRPr="00BC081A" w:rsidRDefault="00727AF3" w:rsidP="00053EAE">
            <w:pPr>
              <w:ind w:firstLine="0"/>
            </w:pPr>
            <w:r w:rsidRPr="00BC081A">
              <w:t>MIS</w:t>
            </w:r>
          </w:p>
        </w:tc>
        <w:tc>
          <w:tcPr>
            <w:tcW w:w="7625" w:type="dxa"/>
            <w:gridSpan w:val="2"/>
          </w:tcPr>
          <w:p w14:paraId="7FCDE26A" w14:textId="74E344D7" w:rsidR="00727AF3" w:rsidRPr="00BC081A" w:rsidRDefault="00727AF3" w:rsidP="00053EAE">
            <w:pPr>
              <w:ind w:firstLine="0"/>
            </w:pPr>
            <w:r w:rsidRPr="00BC081A">
              <w:t>Management Information Systems</w:t>
            </w:r>
          </w:p>
        </w:tc>
      </w:tr>
      <w:tr w:rsidR="00DF704B" w:rsidRPr="00BC081A" w14:paraId="0FCD6160" w14:textId="77777777" w:rsidTr="00DF704B">
        <w:trPr>
          <w:gridAfter w:val="1"/>
          <w:wAfter w:w="564" w:type="dxa"/>
        </w:trPr>
        <w:tc>
          <w:tcPr>
            <w:tcW w:w="1951" w:type="dxa"/>
          </w:tcPr>
          <w:p w14:paraId="68F53EB1" w14:textId="77777777" w:rsidR="00DF704B" w:rsidRPr="00BC081A" w:rsidRDefault="00DF704B" w:rsidP="00DF704B">
            <w:pPr>
              <w:pStyle w:val="TableContext"/>
              <w:spacing w:line="480" w:lineRule="auto"/>
              <w:jc w:val="left"/>
              <w:rPr>
                <w:sz w:val="24"/>
                <w:lang w:val="en-CA"/>
              </w:rPr>
            </w:pPr>
            <w:proofErr w:type="gramStart"/>
            <w:r w:rsidRPr="00BC081A">
              <w:rPr>
                <w:sz w:val="24"/>
                <w:lang w:val="en-CA"/>
              </w:rPr>
              <w:t>MMO(</w:t>
            </w:r>
            <w:proofErr w:type="gramEnd"/>
            <w:r w:rsidRPr="00BC081A">
              <w:rPr>
                <w:sz w:val="24"/>
                <w:lang w:val="en-CA"/>
              </w:rPr>
              <w:t>RPG)</w:t>
            </w:r>
          </w:p>
        </w:tc>
        <w:tc>
          <w:tcPr>
            <w:tcW w:w="7061" w:type="dxa"/>
          </w:tcPr>
          <w:p w14:paraId="23730D2E" w14:textId="77777777" w:rsidR="00DF704B" w:rsidRPr="00BC081A" w:rsidRDefault="00DF704B" w:rsidP="00DF704B">
            <w:pPr>
              <w:pStyle w:val="TableContext"/>
              <w:spacing w:line="480" w:lineRule="auto"/>
              <w:jc w:val="left"/>
              <w:rPr>
                <w:sz w:val="24"/>
                <w:lang w:val="en-CA"/>
              </w:rPr>
            </w:pPr>
            <w:r w:rsidRPr="00BC081A">
              <w:rPr>
                <w:sz w:val="24"/>
                <w:lang w:val="en-CA"/>
              </w:rPr>
              <w:t>Massively Multiplayer Online Role-playing Game</w:t>
            </w:r>
          </w:p>
        </w:tc>
      </w:tr>
      <w:tr w:rsidR="00727AF3" w:rsidRPr="00BC081A" w14:paraId="44A22947" w14:textId="77777777" w:rsidTr="00053EAE">
        <w:tc>
          <w:tcPr>
            <w:tcW w:w="1951" w:type="dxa"/>
          </w:tcPr>
          <w:p w14:paraId="35453D58" w14:textId="4DD4E62A" w:rsidR="00727AF3" w:rsidRPr="00BC081A" w:rsidRDefault="00727AF3" w:rsidP="00053EAE">
            <w:pPr>
              <w:ind w:firstLine="0"/>
            </w:pPr>
            <w:r w:rsidRPr="00BC081A">
              <w:t>PLS</w:t>
            </w:r>
          </w:p>
        </w:tc>
        <w:tc>
          <w:tcPr>
            <w:tcW w:w="7625" w:type="dxa"/>
            <w:gridSpan w:val="2"/>
          </w:tcPr>
          <w:p w14:paraId="3C4F2DF0" w14:textId="7B8EAF0C" w:rsidR="00727AF3" w:rsidRPr="00BC081A" w:rsidRDefault="00727AF3" w:rsidP="00053EAE">
            <w:pPr>
              <w:ind w:firstLine="0"/>
            </w:pPr>
            <w:r w:rsidRPr="00BC081A">
              <w:t>Partial Least Squares</w:t>
            </w:r>
          </w:p>
        </w:tc>
      </w:tr>
      <w:tr w:rsidR="00011954" w:rsidRPr="00BC081A" w14:paraId="02DAFB9F" w14:textId="77777777" w:rsidTr="00053EAE">
        <w:tc>
          <w:tcPr>
            <w:tcW w:w="1951" w:type="dxa"/>
          </w:tcPr>
          <w:p w14:paraId="7727754B" w14:textId="25F3A1EF" w:rsidR="00011954" w:rsidRPr="00BC081A" w:rsidRDefault="00011954" w:rsidP="00053EAE">
            <w:pPr>
              <w:ind w:firstLine="0"/>
            </w:pPr>
            <w:r>
              <w:t>SDT</w:t>
            </w:r>
          </w:p>
        </w:tc>
        <w:tc>
          <w:tcPr>
            <w:tcW w:w="7625" w:type="dxa"/>
            <w:gridSpan w:val="2"/>
          </w:tcPr>
          <w:p w14:paraId="3FCBA739" w14:textId="0E9816E3" w:rsidR="00011954" w:rsidRPr="00BC081A" w:rsidRDefault="00011954" w:rsidP="00053EAE">
            <w:pPr>
              <w:ind w:firstLine="0"/>
            </w:pPr>
            <w:r>
              <w:t>Self-Determination Theory</w:t>
            </w:r>
          </w:p>
        </w:tc>
      </w:tr>
      <w:tr w:rsidR="00727AF3" w:rsidRPr="00BC081A" w14:paraId="34F763B6" w14:textId="77777777" w:rsidTr="00053EAE">
        <w:tc>
          <w:tcPr>
            <w:tcW w:w="1951" w:type="dxa"/>
          </w:tcPr>
          <w:p w14:paraId="1C166183" w14:textId="0CE54A69" w:rsidR="00727AF3" w:rsidRPr="00BC081A" w:rsidRDefault="00727AF3" w:rsidP="00053EAE">
            <w:pPr>
              <w:ind w:firstLine="0"/>
            </w:pPr>
            <w:r w:rsidRPr="00BC081A">
              <w:t>TAM</w:t>
            </w:r>
          </w:p>
        </w:tc>
        <w:tc>
          <w:tcPr>
            <w:tcW w:w="7625" w:type="dxa"/>
            <w:gridSpan w:val="2"/>
          </w:tcPr>
          <w:p w14:paraId="21A79477" w14:textId="4B96272F" w:rsidR="00727AF3" w:rsidRPr="00BC081A" w:rsidRDefault="00727AF3" w:rsidP="00053EAE">
            <w:pPr>
              <w:ind w:firstLine="0"/>
            </w:pPr>
            <w:r w:rsidRPr="00BC081A">
              <w:t>Technology Acceptance Model</w:t>
            </w:r>
          </w:p>
        </w:tc>
      </w:tr>
      <w:tr w:rsidR="00727AF3" w:rsidRPr="00BC081A" w14:paraId="3CA25163" w14:textId="77777777" w:rsidTr="00053EAE">
        <w:tc>
          <w:tcPr>
            <w:tcW w:w="1951" w:type="dxa"/>
          </w:tcPr>
          <w:p w14:paraId="11B905BA" w14:textId="5A6A0233" w:rsidR="00727AF3" w:rsidRPr="00BC081A" w:rsidRDefault="00727AF3" w:rsidP="00053EAE">
            <w:pPr>
              <w:ind w:firstLine="0"/>
            </w:pPr>
            <w:r w:rsidRPr="00BC081A">
              <w:t>VIF</w:t>
            </w:r>
          </w:p>
        </w:tc>
        <w:tc>
          <w:tcPr>
            <w:tcW w:w="7625" w:type="dxa"/>
            <w:gridSpan w:val="2"/>
          </w:tcPr>
          <w:p w14:paraId="021D646D" w14:textId="2FE34D59" w:rsidR="00727AF3" w:rsidRPr="00BC081A" w:rsidRDefault="00727AF3" w:rsidP="00053EAE">
            <w:pPr>
              <w:ind w:firstLine="0"/>
            </w:pPr>
            <w:r w:rsidRPr="00BC081A">
              <w:t>Variance Inflation Factor</w:t>
            </w:r>
          </w:p>
        </w:tc>
      </w:tr>
      <w:tr w:rsidR="00727AF3" w:rsidRPr="00BC081A" w14:paraId="79AA7DA2" w14:textId="77777777" w:rsidTr="00053EAE">
        <w:tc>
          <w:tcPr>
            <w:tcW w:w="1951" w:type="dxa"/>
          </w:tcPr>
          <w:p w14:paraId="3A1907C1" w14:textId="77777777" w:rsidR="00727AF3" w:rsidRPr="00BC081A" w:rsidRDefault="00727AF3" w:rsidP="00053EAE">
            <w:pPr>
              <w:ind w:firstLine="0"/>
            </w:pPr>
          </w:p>
        </w:tc>
        <w:tc>
          <w:tcPr>
            <w:tcW w:w="7625" w:type="dxa"/>
            <w:gridSpan w:val="2"/>
          </w:tcPr>
          <w:p w14:paraId="6D4B37D9" w14:textId="77777777" w:rsidR="00727AF3" w:rsidRPr="00BC081A" w:rsidRDefault="00727AF3" w:rsidP="00053EAE">
            <w:pPr>
              <w:ind w:firstLine="0"/>
            </w:pPr>
          </w:p>
        </w:tc>
      </w:tr>
      <w:tr w:rsidR="00727AF3" w:rsidRPr="00BC081A" w14:paraId="62B3070C" w14:textId="77777777" w:rsidTr="00053EAE">
        <w:tc>
          <w:tcPr>
            <w:tcW w:w="1951" w:type="dxa"/>
          </w:tcPr>
          <w:p w14:paraId="1CA2AF28" w14:textId="77777777" w:rsidR="00727AF3" w:rsidRPr="00BC081A" w:rsidRDefault="00727AF3" w:rsidP="00053EAE">
            <w:pPr>
              <w:ind w:firstLine="0"/>
            </w:pPr>
          </w:p>
        </w:tc>
        <w:tc>
          <w:tcPr>
            <w:tcW w:w="7625" w:type="dxa"/>
            <w:gridSpan w:val="2"/>
          </w:tcPr>
          <w:p w14:paraId="28265C63" w14:textId="77777777" w:rsidR="00727AF3" w:rsidRPr="00BC081A" w:rsidRDefault="00727AF3" w:rsidP="00053EAE">
            <w:pPr>
              <w:ind w:firstLine="0"/>
            </w:pPr>
          </w:p>
        </w:tc>
      </w:tr>
      <w:tr w:rsidR="00727AF3" w:rsidRPr="00BC081A" w14:paraId="329CEE75" w14:textId="77777777" w:rsidTr="00053EAE">
        <w:tc>
          <w:tcPr>
            <w:tcW w:w="1951" w:type="dxa"/>
          </w:tcPr>
          <w:p w14:paraId="09224356" w14:textId="77777777" w:rsidR="00727AF3" w:rsidRPr="00BC081A" w:rsidRDefault="00727AF3" w:rsidP="00053EAE">
            <w:pPr>
              <w:ind w:firstLine="0"/>
            </w:pPr>
          </w:p>
        </w:tc>
        <w:tc>
          <w:tcPr>
            <w:tcW w:w="7625" w:type="dxa"/>
            <w:gridSpan w:val="2"/>
          </w:tcPr>
          <w:p w14:paraId="027DE3E8" w14:textId="77777777" w:rsidR="00727AF3" w:rsidRPr="00BC081A" w:rsidRDefault="00727AF3" w:rsidP="00053EAE">
            <w:pPr>
              <w:ind w:firstLine="0"/>
            </w:pPr>
          </w:p>
        </w:tc>
      </w:tr>
      <w:tr w:rsidR="00727AF3" w:rsidRPr="00BC081A" w14:paraId="45ECACE0" w14:textId="77777777" w:rsidTr="00053EAE">
        <w:tc>
          <w:tcPr>
            <w:tcW w:w="1951" w:type="dxa"/>
          </w:tcPr>
          <w:p w14:paraId="4974DAAB" w14:textId="77777777" w:rsidR="00727AF3" w:rsidRPr="00BC081A" w:rsidRDefault="00727AF3" w:rsidP="00053EAE">
            <w:pPr>
              <w:ind w:firstLine="0"/>
            </w:pPr>
          </w:p>
        </w:tc>
        <w:tc>
          <w:tcPr>
            <w:tcW w:w="7625" w:type="dxa"/>
            <w:gridSpan w:val="2"/>
          </w:tcPr>
          <w:p w14:paraId="22F5ACA3" w14:textId="77777777" w:rsidR="00727AF3" w:rsidRPr="00BC081A" w:rsidRDefault="00727AF3" w:rsidP="00053EAE">
            <w:pPr>
              <w:ind w:firstLine="0"/>
            </w:pPr>
          </w:p>
        </w:tc>
      </w:tr>
      <w:tr w:rsidR="00727AF3" w:rsidRPr="00BC081A" w14:paraId="487D3EDB" w14:textId="77777777" w:rsidTr="00053EAE">
        <w:tc>
          <w:tcPr>
            <w:tcW w:w="1951" w:type="dxa"/>
          </w:tcPr>
          <w:p w14:paraId="23B0E80A" w14:textId="77777777" w:rsidR="00727AF3" w:rsidRPr="00BC081A" w:rsidRDefault="00727AF3" w:rsidP="00053EAE">
            <w:pPr>
              <w:ind w:firstLine="0"/>
            </w:pPr>
          </w:p>
        </w:tc>
        <w:tc>
          <w:tcPr>
            <w:tcW w:w="7625" w:type="dxa"/>
            <w:gridSpan w:val="2"/>
          </w:tcPr>
          <w:p w14:paraId="54C2993B" w14:textId="77777777" w:rsidR="00727AF3" w:rsidRPr="00BC081A" w:rsidRDefault="00727AF3" w:rsidP="00053EAE">
            <w:pPr>
              <w:ind w:firstLine="0"/>
            </w:pPr>
          </w:p>
        </w:tc>
      </w:tr>
      <w:tr w:rsidR="00727AF3" w:rsidRPr="00BC081A" w14:paraId="0CB546E6" w14:textId="77777777" w:rsidTr="00053EAE">
        <w:tc>
          <w:tcPr>
            <w:tcW w:w="1951" w:type="dxa"/>
          </w:tcPr>
          <w:p w14:paraId="07E129E9" w14:textId="77777777" w:rsidR="00727AF3" w:rsidRPr="00BC081A" w:rsidRDefault="00727AF3" w:rsidP="00053EAE">
            <w:pPr>
              <w:ind w:firstLine="0"/>
            </w:pPr>
          </w:p>
        </w:tc>
        <w:tc>
          <w:tcPr>
            <w:tcW w:w="7625" w:type="dxa"/>
            <w:gridSpan w:val="2"/>
          </w:tcPr>
          <w:p w14:paraId="641174A8" w14:textId="77777777" w:rsidR="00727AF3" w:rsidRPr="00BC081A" w:rsidRDefault="00727AF3" w:rsidP="00053EAE">
            <w:pPr>
              <w:ind w:firstLine="0"/>
            </w:pPr>
          </w:p>
        </w:tc>
      </w:tr>
      <w:tr w:rsidR="00727AF3" w:rsidRPr="00BC081A" w14:paraId="3A7F75CA" w14:textId="77777777" w:rsidTr="00053EAE">
        <w:tc>
          <w:tcPr>
            <w:tcW w:w="1951" w:type="dxa"/>
          </w:tcPr>
          <w:p w14:paraId="216D8E51" w14:textId="77777777" w:rsidR="00727AF3" w:rsidRPr="00BC081A" w:rsidRDefault="00727AF3" w:rsidP="00053EAE">
            <w:pPr>
              <w:ind w:firstLine="0"/>
            </w:pPr>
          </w:p>
        </w:tc>
        <w:tc>
          <w:tcPr>
            <w:tcW w:w="7625" w:type="dxa"/>
            <w:gridSpan w:val="2"/>
          </w:tcPr>
          <w:p w14:paraId="02F98C13" w14:textId="77777777" w:rsidR="00727AF3" w:rsidRPr="00BC081A" w:rsidRDefault="00727AF3" w:rsidP="00053EAE">
            <w:pPr>
              <w:ind w:firstLine="0"/>
            </w:pPr>
          </w:p>
        </w:tc>
      </w:tr>
      <w:tr w:rsidR="00727AF3" w:rsidRPr="00BC081A" w14:paraId="69F79A16" w14:textId="77777777" w:rsidTr="00053EAE">
        <w:tc>
          <w:tcPr>
            <w:tcW w:w="1951" w:type="dxa"/>
          </w:tcPr>
          <w:p w14:paraId="46D6ABC3" w14:textId="77777777" w:rsidR="00727AF3" w:rsidRPr="00BC081A" w:rsidRDefault="00727AF3" w:rsidP="00053EAE">
            <w:pPr>
              <w:ind w:firstLine="0"/>
            </w:pPr>
          </w:p>
        </w:tc>
        <w:tc>
          <w:tcPr>
            <w:tcW w:w="7625" w:type="dxa"/>
            <w:gridSpan w:val="2"/>
          </w:tcPr>
          <w:p w14:paraId="34883F77" w14:textId="77777777" w:rsidR="00727AF3" w:rsidRPr="00BC081A" w:rsidRDefault="00727AF3" w:rsidP="00053EAE">
            <w:pPr>
              <w:ind w:firstLine="0"/>
            </w:pPr>
          </w:p>
        </w:tc>
      </w:tr>
      <w:tr w:rsidR="00727AF3" w:rsidRPr="00BC081A" w14:paraId="6FDCABA5" w14:textId="77777777" w:rsidTr="00053EAE">
        <w:tc>
          <w:tcPr>
            <w:tcW w:w="1951" w:type="dxa"/>
          </w:tcPr>
          <w:p w14:paraId="5ADF205F" w14:textId="77777777" w:rsidR="00727AF3" w:rsidRPr="00BC081A" w:rsidRDefault="00727AF3" w:rsidP="00053EAE">
            <w:pPr>
              <w:ind w:firstLine="0"/>
            </w:pPr>
          </w:p>
        </w:tc>
        <w:tc>
          <w:tcPr>
            <w:tcW w:w="7625" w:type="dxa"/>
            <w:gridSpan w:val="2"/>
          </w:tcPr>
          <w:p w14:paraId="3CE9C94F" w14:textId="77777777" w:rsidR="00727AF3" w:rsidRPr="00BC081A" w:rsidRDefault="00727AF3" w:rsidP="00053EAE">
            <w:pPr>
              <w:ind w:firstLine="0"/>
            </w:pPr>
          </w:p>
        </w:tc>
      </w:tr>
    </w:tbl>
    <w:p w14:paraId="1FBEEA38" w14:textId="0BC73DDB" w:rsidR="00ED57F8" w:rsidRPr="00BC081A" w:rsidRDefault="00ED57F8" w:rsidP="00ED57F8">
      <w:pPr>
        <w:spacing w:line="240" w:lineRule="auto"/>
        <w:ind w:firstLine="0"/>
        <w:jc w:val="center"/>
        <w:rPr>
          <w:b/>
          <w:sz w:val="32"/>
        </w:rPr>
      </w:pPr>
      <w:r w:rsidRPr="00BC081A">
        <w:rPr>
          <w:b/>
          <w:sz w:val="32"/>
        </w:rPr>
        <w:t>GLOSSARY OF TERMS</w:t>
      </w:r>
    </w:p>
    <w:p w14:paraId="759CC0EA" w14:textId="77777777" w:rsidR="00ED57F8" w:rsidRPr="00BC081A" w:rsidRDefault="00ED57F8">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069"/>
      </w:tblGrid>
      <w:tr w:rsidR="00127005" w:rsidRPr="00BC081A" w14:paraId="5128CB44" w14:textId="77777777" w:rsidTr="00127005">
        <w:tc>
          <w:tcPr>
            <w:tcW w:w="2943" w:type="dxa"/>
          </w:tcPr>
          <w:p w14:paraId="136F2C25" w14:textId="77777777" w:rsidR="00127005" w:rsidRPr="00BC081A" w:rsidRDefault="00127005" w:rsidP="00127005">
            <w:pPr>
              <w:pStyle w:val="TableContext"/>
              <w:spacing w:line="480" w:lineRule="auto"/>
              <w:jc w:val="left"/>
              <w:rPr>
                <w:sz w:val="24"/>
                <w:lang w:val="en-CA"/>
              </w:rPr>
            </w:pPr>
            <w:r>
              <w:rPr>
                <w:sz w:val="24"/>
                <w:lang w:val="en-CA"/>
              </w:rPr>
              <w:t>Autonomy</w:t>
            </w:r>
          </w:p>
        </w:tc>
        <w:tc>
          <w:tcPr>
            <w:tcW w:w="6069" w:type="dxa"/>
          </w:tcPr>
          <w:p w14:paraId="2AFD440F" w14:textId="77777777" w:rsidR="00127005" w:rsidRPr="00127005" w:rsidRDefault="00127005" w:rsidP="00127005">
            <w:pPr>
              <w:pStyle w:val="TableContext"/>
              <w:spacing w:line="480" w:lineRule="auto"/>
              <w:jc w:val="left"/>
              <w:rPr>
                <w:sz w:val="24"/>
                <w:lang w:val="en-CA"/>
              </w:rPr>
            </w:pPr>
            <w:r>
              <w:rPr>
                <w:sz w:val="24"/>
                <w:lang w:val="en-CA"/>
              </w:rPr>
              <w:t>T</w:t>
            </w:r>
            <w:r w:rsidRPr="00127005">
              <w:rPr>
                <w:sz w:val="24"/>
                <w:lang w:val="en-CA"/>
              </w:rPr>
              <w:t>he propensity of people to have control over their actions and see themselves as the locus of causality</w:t>
            </w:r>
          </w:p>
        </w:tc>
      </w:tr>
      <w:tr w:rsidR="003C6EF7" w:rsidRPr="00BC081A" w14:paraId="7FD9E06A" w14:textId="77777777" w:rsidTr="00313EA3">
        <w:tc>
          <w:tcPr>
            <w:tcW w:w="2943" w:type="dxa"/>
          </w:tcPr>
          <w:p w14:paraId="177C13B0" w14:textId="77777777" w:rsidR="003C6EF7" w:rsidRPr="00BC081A" w:rsidRDefault="003C6EF7" w:rsidP="00313EA3">
            <w:pPr>
              <w:pStyle w:val="TableContext"/>
              <w:spacing w:line="480" w:lineRule="auto"/>
              <w:jc w:val="left"/>
              <w:rPr>
                <w:sz w:val="24"/>
                <w:lang w:val="en-CA"/>
              </w:rPr>
            </w:pPr>
            <w:r w:rsidRPr="00BC081A">
              <w:rPr>
                <w:sz w:val="24"/>
                <w:lang w:val="en-CA"/>
              </w:rPr>
              <w:t>Competence</w:t>
            </w:r>
          </w:p>
        </w:tc>
        <w:tc>
          <w:tcPr>
            <w:tcW w:w="6069" w:type="dxa"/>
          </w:tcPr>
          <w:p w14:paraId="0E0C104C" w14:textId="77777777" w:rsidR="003C6EF7" w:rsidRPr="00BC081A" w:rsidRDefault="003C6EF7" w:rsidP="00313EA3">
            <w:pPr>
              <w:pStyle w:val="TableContext"/>
              <w:spacing w:line="480" w:lineRule="auto"/>
              <w:jc w:val="left"/>
              <w:rPr>
                <w:sz w:val="24"/>
                <w:lang w:val="en-CA"/>
              </w:rPr>
            </w:pPr>
            <w:r>
              <w:rPr>
                <w:sz w:val="24"/>
                <w:lang w:val="en-CA"/>
              </w:rPr>
              <w:t>T</w:t>
            </w:r>
            <w:r w:rsidRPr="00127005">
              <w:rPr>
                <w:sz w:val="24"/>
                <w:lang w:val="en-CA"/>
              </w:rPr>
              <w:t xml:space="preserve">endency of individuals to feel capable performing a task (sense of self-efficacy). </w:t>
            </w:r>
          </w:p>
        </w:tc>
      </w:tr>
      <w:tr w:rsidR="003C6EF7" w:rsidRPr="00BC081A" w14:paraId="5A560760" w14:textId="77777777" w:rsidTr="00313EA3">
        <w:tc>
          <w:tcPr>
            <w:tcW w:w="2943" w:type="dxa"/>
          </w:tcPr>
          <w:p w14:paraId="26F5DE4F" w14:textId="77777777" w:rsidR="003C6EF7" w:rsidRPr="00BC081A" w:rsidRDefault="003C6EF7" w:rsidP="00313EA3">
            <w:pPr>
              <w:pStyle w:val="TableContext"/>
              <w:spacing w:line="480" w:lineRule="auto"/>
              <w:jc w:val="left"/>
              <w:rPr>
                <w:sz w:val="24"/>
                <w:lang w:val="en-CA"/>
              </w:rPr>
            </w:pPr>
            <w:proofErr w:type="gramStart"/>
            <w:r w:rsidRPr="00BC081A">
              <w:rPr>
                <w:sz w:val="24"/>
                <w:lang w:val="en-CA"/>
              </w:rPr>
              <w:t>e</w:t>
            </w:r>
            <w:proofErr w:type="gramEnd"/>
            <w:r w:rsidRPr="00BC081A">
              <w:rPr>
                <w:sz w:val="24"/>
                <w:lang w:val="en-CA"/>
              </w:rPr>
              <w:t>-Learning</w:t>
            </w:r>
          </w:p>
        </w:tc>
        <w:tc>
          <w:tcPr>
            <w:tcW w:w="6069" w:type="dxa"/>
          </w:tcPr>
          <w:p w14:paraId="415E50FE" w14:textId="77777777" w:rsidR="003C6EF7" w:rsidRPr="00BC081A" w:rsidRDefault="003C6EF7" w:rsidP="00313EA3">
            <w:pPr>
              <w:pStyle w:val="TableContext"/>
              <w:spacing w:line="480" w:lineRule="auto"/>
              <w:jc w:val="left"/>
              <w:rPr>
                <w:sz w:val="24"/>
                <w:lang w:val="en-CA"/>
              </w:rPr>
            </w:pPr>
            <w:r w:rsidRPr="00BC081A">
              <w:rPr>
                <w:sz w:val="24"/>
                <w:lang w:val="en-CA"/>
              </w:rPr>
              <w:t>The use of IT systems in education</w:t>
            </w:r>
          </w:p>
        </w:tc>
      </w:tr>
      <w:tr w:rsidR="00127005" w:rsidRPr="00BC081A" w14:paraId="5C067BED" w14:textId="77777777" w:rsidTr="00127005">
        <w:tc>
          <w:tcPr>
            <w:tcW w:w="2943" w:type="dxa"/>
          </w:tcPr>
          <w:p w14:paraId="62038136" w14:textId="77777777" w:rsidR="00127005" w:rsidRPr="00BC081A" w:rsidRDefault="00127005" w:rsidP="00127005">
            <w:pPr>
              <w:pStyle w:val="TableContext"/>
              <w:spacing w:line="480" w:lineRule="auto"/>
              <w:jc w:val="left"/>
              <w:rPr>
                <w:sz w:val="24"/>
                <w:lang w:val="en-CA"/>
              </w:rPr>
            </w:pPr>
            <w:proofErr w:type="spellStart"/>
            <w:r w:rsidRPr="00BC081A">
              <w:rPr>
                <w:sz w:val="24"/>
                <w:lang w:val="en-CA"/>
              </w:rPr>
              <w:t>Edugame</w:t>
            </w:r>
            <w:proofErr w:type="spellEnd"/>
          </w:p>
        </w:tc>
        <w:tc>
          <w:tcPr>
            <w:tcW w:w="6069" w:type="dxa"/>
          </w:tcPr>
          <w:p w14:paraId="3B80ECBA" w14:textId="77777777" w:rsidR="00127005" w:rsidRPr="00BC081A" w:rsidRDefault="00127005" w:rsidP="00127005">
            <w:pPr>
              <w:pStyle w:val="TableContext"/>
              <w:spacing w:line="480" w:lineRule="auto"/>
              <w:jc w:val="left"/>
              <w:rPr>
                <w:sz w:val="24"/>
                <w:lang w:val="en-CA"/>
              </w:rPr>
            </w:pPr>
            <w:r w:rsidRPr="00BC081A">
              <w:rPr>
                <w:sz w:val="24"/>
                <w:lang w:val="en-CA"/>
              </w:rPr>
              <w:t xml:space="preserve">Educational Game, aka Game-Based Learning (GBL) </w:t>
            </w:r>
          </w:p>
        </w:tc>
      </w:tr>
      <w:tr w:rsidR="00127005" w:rsidRPr="00BC081A" w14:paraId="7E81D04A" w14:textId="77777777" w:rsidTr="00127005">
        <w:tc>
          <w:tcPr>
            <w:tcW w:w="2943" w:type="dxa"/>
          </w:tcPr>
          <w:p w14:paraId="7FCD2390" w14:textId="77777777" w:rsidR="00127005" w:rsidRPr="00BC081A" w:rsidRDefault="00127005" w:rsidP="00127005">
            <w:pPr>
              <w:pStyle w:val="TableContext"/>
              <w:spacing w:line="480" w:lineRule="auto"/>
              <w:jc w:val="left"/>
              <w:rPr>
                <w:sz w:val="24"/>
                <w:lang w:val="en-CA"/>
              </w:rPr>
            </w:pPr>
            <w:r w:rsidRPr="00BC081A">
              <w:rPr>
                <w:sz w:val="24"/>
                <w:lang w:val="en-CA"/>
              </w:rPr>
              <w:t>Edutainment</w:t>
            </w:r>
          </w:p>
        </w:tc>
        <w:tc>
          <w:tcPr>
            <w:tcW w:w="6069" w:type="dxa"/>
          </w:tcPr>
          <w:p w14:paraId="7BDA3DCD" w14:textId="77777777" w:rsidR="00127005" w:rsidRPr="00BC081A" w:rsidRDefault="00127005" w:rsidP="00127005">
            <w:pPr>
              <w:pStyle w:val="TableContext"/>
              <w:spacing w:line="480" w:lineRule="auto"/>
              <w:jc w:val="left"/>
              <w:rPr>
                <w:sz w:val="24"/>
                <w:lang w:val="en-CA"/>
              </w:rPr>
            </w:pPr>
            <w:r w:rsidRPr="00BC081A">
              <w:rPr>
                <w:sz w:val="24"/>
                <w:lang w:val="en-CA"/>
              </w:rPr>
              <w:t>Educational Entertainment, entertaining material that has the purpose of educating users</w:t>
            </w:r>
          </w:p>
        </w:tc>
      </w:tr>
      <w:tr w:rsidR="003C6EF7" w:rsidRPr="00BC081A" w14:paraId="0921F60A" w14:textId="77777777" w:rsidTr="00313EA3">
        <w:tc>
          <w:tcPr>
            <w:tcW w:w="2943" w:type="dxa"/>
          </w:tcPr>
          <w:p w14:paraId="4514EE6C" w14:textId="77777777" w:rsidR="003C6EF7" w:rsidRPr="00BC081A" w:rsidRDefault="003C6EF7" w:rsidP="00313EA3">
            <w:pPr>
              <w:pStyle w:val="TableContext"/>
              <w:spacing w:line="480" w:lineRule="auto"/>
              <w:jc w:val="left"/>
              <w:rPr>
                <w:sz w:val="24"/>
                <w:lang w:val="en-CA"/>
              </w:rPr>
            </w:pPr>
            <w:proofErr w:type="spellStart"/>
            <w:r w:rsidRPr="00BC081A">
              <w:rPr>
                <w:sz w:val="24"/>
                <w:lang w:val="en-CA"/>
              </w:rPr>
              <w:t>ERPsim</w:t>
            </w:r>
            <w:proofErr w:type="spellEnd"/>
          </w:p>
        </w:tc>
        <w:tc>
          <w:tcPr>
            <w:tcW w:w="6069" w:type="dxa"/>
          </w:tcPr>
          <w:p w14:paraId="4F0B8CB6" w14:textId="77777777" w:rsidR="003C6EF7" w:rsidRPr="00BC081A" w:rsidRDefault="003C6EF7" w:rsidP="00313EA3">
            <w:pPr>
              <w:pStyle w:val="TableContext"/>
              <w:spacing w:line="480" w:lineRule="auto"/>
              <w:jc w:val="left"/>
              <w:rPr>
                <w:sz w:val="24"/>
                <w:lang w:val="en-CA"/>
              </w:rPr>
            </w:pPr>
            <w:r w:rsidRPr="00BC081A">
              <w:rPr>
                <w:sz w:val="24"/>
                <w:lang w:val="en-CA"/>
              </w:rPr>
              <w:t>Game like simulation environment that is used for teaching ERP concepts on SAP ERP</w:t>
            </w:r>
          </w:p>
        </w:tc>
      </w:tr>
      <w:tr w:rsidR="00ED57F8" w:rsidRPr="00BC081A" w14:paraId="518364BC" w14:textId="77777777" w:rsidTr="00D77324">
        <w:tc>
          <w:tcPr>
            <w:tcW w:w="2943" w:type="dxa"/>
          </w:tcPr>
          <w:p w14:paraId="2B240DD6" w14:textId="77777777" w:rsidR="00ED57F8" w:rsidRPr="00BC081A" w:rsidRDefault="00ED57F8" w:rsidP="0002590C">
            <w:pPr>
              <w:pStyle w:val="TableContext"/>
              <w:spacing w:line="480" w:lineRule="auto"/>
              <w:jc w:val="left"/>
              <w:rPr>
                <w:sz w:val="24"/>
                <w:lang w:val="en-CA"/>
              </w:rPr>
            </w:pPr>
            <w:r w:rsidRPr="00BC081A">
              <w:rPr>
                <w:sz w:val="24"/>
                <w:lang w:val="en-CA"/>
              </w:rPr>
              <w:t>Flow</w:t>
            </w:r>
          </w:p>
        </w:tc>
        <w:tc>
          <w:tcPr>
            <w:tcW w:w="6069" w:type="dxa"/>
          </w:tcPr>
          <w:p w14:paraId="21338BB5" w14:textId="7656ED77" w:rsidR="00ED57F8" w:rsidRPr="00BC081A" w:rsidRDefault="00ED57F8" w:rsidP="00053EAE">
            <w:pPr>
              <w:pStyle w:val="TableContext"/>
              <w:spacing w:line="480" w:lineRule="auto"/>
              <w:jc w:val="left"/>
              <w:rPr>
                <w:sz w:val="24"/>
                <w:lang w:val="en-CA"/>
              </w:rPr>
            </w:pPr>
            <w:r w:rsidRPr="00BC081A">
              <w:rPr>
                <w:sz w:val="24"/>
                <w:lang w:val="en-CA"/>
              </w:rPr>
              <w:t xml:space="preserve">State of </w:t>
            </w:r>
            <w:r w:rsidR="00645CB7" w:rsidRPr="00BC081A">
              <w:rPr>
                <w:sz w:val="24"/>
                <w:lang w:val="en-CA"/>
              </w:rPr>
              <w:t xml:space="preserve">optimal </w:t>
            </w:r>
            <w:r w:rsidRPr="00BC081A">
              <w:rPr>
                <w:sz w:val="24"/>
                <w:lang w:val="en-CA"/>
              </w:rPr>
              <w:t>holistic experience</w:t>
            </w:r>
            <w:r w:rsidR="00645CB7" w:rsidRPr="00BC081A">
              <w:rPr>
                <w:sz w:val="24"/>
                <w:lang w:val="en-CA"/>
              </w:rPr>
              <w:t>, capturing deep involvement in an activity</w:t>
            </w:r>
          </w:p>
        </w:tc>
      </w:tr>
      <w:tr w:rsidR="007E7AFA" w:rsidRPr="00BC081A" w14:paraId="3AD742A8" w14:textId="77777777" w:rsidTr="00D77324">
        <w:tc>
          <w:tcPr>
            <w:tcW w:w="2943" w:type="dxa"/>
          </w:tcPr>
          <w:p w14:paraId="340F2DE9" w14:textId="6FE3962C" w:rsidR="007E7AFA" w:rsidRPr="00BC081A" w:rsidRDefault="007E7AFA" w:rsidP="0002590C">
            <w:pPr>
              <w:pStyle w:val="TableContext"/>
              <w:spacing w:line="480" w:lineRule="auto"/>
              <w:jc w:val="left"/>
              <w:rPr>
                <w:sz w:val="24"/>
                <w:lang w:val="en-CA"/>
              </w:rPr>
            </w:pPr>
            <w:r w:rsidRPr="00BC081A">
              <w:rPr>
                <w:rFonts w:eastAsia="Times New Roman" w:cs="Times New Roman"/>
                <w:color w:val="000000"/>
                <w:sz w:val="24"/>
                <w:szCs w:val="24"/>
                <w:lang w:val="en-CA"/>
              </w:rPr>
              <w:t xml:space="preserve">Game-Based Simulation, Game-Based Simulator, </w:t>
            </w:r>
            <w:r w:rsidRPr="00BC081A">
              <w:rPr>
                <w:rFonts w:eastAsia="Times New Roman" w:cs="Times New Roman"/>
                <w:color w:val="000000"/>
                <w:sz w:val="24"/>
                <w:szCs w:val="24"/>
                <w:lang w:val="en-CA"/>
              </w:rPr>
              <w:lastRenderedPageBreak/>
              <w:t xml:space="preserve">Simulation Game </w:t>
            </w:r>
          </w:p>
        </w:tc>
        <w:tc>
          <w:tcPr>
            <w:tcW w:w="6069" w:type="dxa"/>
          </w:tcPr>
          <w:p w14:paraId="4561250D" w14:textId="6F2F6BBB" w:rsidR="007E7AFA" w:rsidRPr="00BC081A" w:rsidRDefault="007E7AFA" w:rsidP="00053EAE">
            <w:pPr>
              <w:pStyle w:val="TableContext"/>
              <w:spacing w:line="480" w:lineRule="auto"/>
              <w:jc w:val="left"/>
              <w:rPr>
                <w:sz w:val="24"/>
                <w:lang w:val="en-CA"/>
              </w:rPr>
            </w:pPr>
            <w:r w:rsidRPr="00BC081A">
              <w:rPr>
                <w:rFonts w:eastAsia="Times New Roman" w:cs="Times New Roman"/>
                <w:color w:val="000000"/>
                <w:sz w:val="24"/>
                <w:szCs w:val="24"/>
                <w:lang w:val="en-CA"/>
              </w:rPr>
              <w:lastRenderedPageBreak/>
              <w:t>Simulations that use video game environments for creating a more engaging environment, such as virtual universities</w:t>
            </w:r>
          </w:p>
        </w:tc>
      </w:tr>
      <w:tr w:rsidR="007E7AFA" w:rsidRPr="00BC081A" w14:paraId="7928C2B7" w14:textId="77777777" w:rsidTr="00D77324">
        <w:tc>
          <w:tcPr>
            <w:tcW w:w="2943" w:type="dxa"/>
          </w:tcPr>
          <w:p w14:paraId="026F3D48" w14:textId="687371EA" w:rsidR="007E7AFA" w:rsidRPr="00BC081A" w:rsidRDefault="007E7AFA" w:rsidP="0002590C">
            <w:pPr>
              <w:pStyle w:val="TableContext"/>
              <w:spacing w:line="480" w:lineRule="auto"/>
              <w:jc w:val="left"/>
              <w:rPr>
                <w:sz w:val="24"/>
                <w:lang w:val="en-CA"/>
              </w:rPr>
            </w:pPr>
            <w:r w:rsidRPr="00BC081A">
              <w:rPr>
                <w:rFonts w:eastAsia="Times New Roman" w:cs="Times New Roman"/>
                <w:color w:val="000000"/>
                <w:sz w:val="24"/>
                <w:szCs w:val="24"/>
                <w:lang w:val="en-CA"/>
              </w:rPr>
              <w:lastRenderedPageBreak/>
              <w:t>Game-Based Model</w:t>
            </w:r>
          </w:p>
        </w:tc>
        <w:tc>
          <w:tcPr>
            <w:tcW w:w="6069" w:type="dxa"/>
          </w:tcPr>
          <w:p w14:paraId="008E964D" w14:textId="665E9AF9" w:rsidR="007E7AFA" w:rsidRPr="00BC081A" w:rsidRDefault="007E7AFA" w:rsidP="00053EAE">
            <w:pPr>
              <w:pStyle w:val="TableContext"/>
              <w:spacing w:line="480" w:lineRule="auto"/>
              <w:jc w:val="left"/>
              <w:rPr>
                <w:sz w:val="24"/>
                <w:lang w:val="en-CA"/>
              </w:rPr>
            </w:pPr>
            <w:r w:rsidRPr="00BC081A">
              <w:rPr>
                <w:rFonts w:eastAsia="Times New Roman" w:cs="Times New Roman"/>
                <w:color w:val="000000"/>
                <w:sz w:val="24"/>
                <w:szCs w:val="24"/>
                <w:lang w:val="en-CA"/>
              </w:rPr>
              <w:t>The games that use a simplified version of real-world models</w:t>
            </w:r>
          </w:p>
        </w:tc>
      </w:tr>
      <w:tr w:rsidR="007E7AFA" w:rsidRPr="00BC081A" w14:paraId="5C3E0FB8" w14:textId="77777777" w:rsidTr="00D77324">
        <w:tc>
          <w:tcPr>
            <w:tcW w:w="2943" w:type="dxa"/>
          </w:tcPr>
          <w:p w14:paraId="6AB35634" w14:textId="0AD9B118" w:rsidR="007E7AFA" w:rsidRPr="00BC081A" w:rsidRDefault="007E7AFA" w:rsidP="0002590C">
            <w:pPr>
              <w:pStyle w:val="TableContext"/>
              <w:spacing w:line="480" w:lineRule="auto"/>
              <w:jc w:val="left"/>
              <w:rPr>
                <w:sz w:val="24"/>
                <w:lang w:val="en-CA"/>
              </w:rPr>
            </w:pPr>
            <w:r w:rsidRPr="00BC081A">
              <w:rPr>
                <w:rFonts w:eastAsia="Times New Roman" w:cs="Times New Roman"/>
                <w:color w:val="000000"/>
                <w:sz w:val="24"/>
                <w:szCs w:val="24"/>
                <w:lang w:val="en-CA"/>
              </w:rPr>
              <w:t xml:space="preserve">Game-Based Visualization, Game Visualization </w:t>
            </w:r>
          </w:p>
        </w:tc>
        <w:tc>
          <w:tcPr>
            <w:tcW w:w="6069" w:type="dxa"/>
          </w:tcPr>
          <w:p w14:paraId="7CFEF65C" w14:textId="1FC4CBD4" w:rsidR="007E7AFA" w:rsidRPr="00BC081A" w:rsidRDefault="0002590C" w:rsidP="00053EAE">
            <w:pPr>
              <w:pStyle w:val="TableContext"/>
              <w:spacing w:line="480" w:lineRule="auto"/>
              <w:jc w:val="left"/>
              <w:rPr>
                <w:sz w:val="24"/>
                <w:lang w:val="en-CA"/>
              </w:rPr>
            </w:pPr>
            <w:r w:rsidRPr="00BC081A">
              <w:rPr>
                <w:rFonts w:eastAsia="Times New Roman" w:cs="Times New Roman"/>
                <w:color w:val="000000"/>
                <w:sz w:val="24"/>
                <w:szCs w:val="24"/>
                <w:lang w:val="en-CA"/>
              </w:rPr>
              <w:t>The category of systems that use visual technologies and techniques from games to create new forms of visualization and more accessible versions of visualization. These systems allow for higher levels of interactive visualization where user actions might affect resulting visualization</w:t>
            </w:r>
          </w:p>
        </w:tc>
      </w:tr>
      <w:tr w:rsidR="007E7AFA" w:rsidRPr="00BC081A" w14:paraId="3F55A4D9" w14:textId="77777777" w:rsidTr="00D77324">
        <w:tc>
          <w:tcPr>
            <w:tcW w:w="2943" w:type="dxa"/>
          </w:tcPr>
          <w:p w14:paraId="3F21110B" w14:textId="33AB1660" w:rsidR="007E7AFA" w:rsidRPr="00BC081A" w:rsidRDefault="0002590C" w:rsidP="0002590C">
            <w:pPr>
              <w:pStyle w:val="TableContext"/>
              <w:spacing w:line="480" w:lineRule="auto"/>
              <w:jc w:val="left"/>
              <w:rPr>
                <w:sz w:val="24"/>
                <w:lang w:val="en-CA"/>
              </w:rPr>
            </w:pPr>
            <w:r w:rsidRPr="00BC081A">
              <w:rPr>
                <w:rFonts w:eastAsia="Times New Roman" w:cs="Times New Roman"/>
                <w:color w:val="000000"/>
                <w:sz w:val="24"/>
                <w:szCs w:val="24"/>
                <w:lang w:val="en-CA"/>
              </w:rPr>
              <w:t xml:space="preserve">Game-Based Interface, </w:t>
            </w:r>
            <w:r w:rsidR="007E7AFA" w:rsidRPr="00BC081A">
              <w:rPr>
                <w:rFonts w:eastAsia="Times New Roman" w:cs="Times New Roman"/>
                <w:color w:val="000000"/>
                <w:sz w:val="24"/>
                <w:szCs w:val="24"/>
                <w:lang w:val="en-CA"/>
              </w:rPr>
              <w:t>Game Like Interface</w:t>
            </w:r>
            <w:r w:rsidRPr="00BC081A">
              <w:rPr>
                <w:rFonts w:eastAsia="Times New Roman" w:cs="Times New Roman"/>
                <w:color w:val="000000"/>
                <w:sz w:val="24"/>
                <w:szCs w:val="24"/>
                <w:lang w:val="en-CA"/>
              </w:rPr>
              <w:t>,</w:t>
            </w:r>
            <w:r w:rsidR="007E7AFA" w:rsidRPr="00BC081A">
              <w:rPr>
                <w:rFonts w:eastAsia="Times New Roman" w:cs="Times New Roman"/>
                <w:color w:val="000000"/>
                <w:sz w:val="24"/>
                <w:szCs w:val="24"/>
                <w:lang w:val="en-CA"/>
              </w:rPr>
              <w:t xml:space="preserve"> Game-Based UI</w:t>
            </w:r>
          </w:p>
        </w:tc>
        <w:tc>
          <w:tcPr>
            <w:tcW w:w="6069" w:type="dxa"/>
          </w:tcPr>
          <w:p w14:paraId="7297A9AF" w14:textId="46D83328" w:rsidR="007E7AFA" w:rsidRPr="00BC081A" w:rsidRDefault="0002590C" w:rsidP="00053EAE">
            <w:pPr>
              <w:pStyle w:val="TableContext"/>
              <w:spacing w:line="480" w:lineRule="auto"/>
              <w:jc w:val="left"/>
              <w:rPr>
                <w:sz w:val="24"/>
                <w:lang w:val="en-CA"/>
              </w:rPr>
            </w:pPr>
            <w:r w:rsidRPr="00BC081A">
              <w:rPr>
                <w:rFonts w:eastAsia="Times New Roman" w:cs="Times New Roman"/>
                <w:color w:val="000000"/>
                <w:sz w:val="24"/>
                <w:szCs w:val="24"/>
                <w:lang w:val="en-CA"/>
              </w:rPr>
              <w:t>A non-standard but highly symbiotic application interface design produced based on the design of a popular game</w:t>
            </w:r>
          </w:p>
        </w:tc>
      </w:tr>
      <w:tr w:rsidR="007E7AFA" w:rsidRPr="00BC081A" w14:paraId="6E47125A" w14:textId="77777777" w:rsidTr="00D77324">
        <w:tc>
          <w:tcPr>
            <w:tcW w:w="2943" w:type="dxa"/>
          </w:tcPr>
          <w:p w14:paraId="4DD6B607" w14:textId="36681CA2" w:rsidR="007E7AFA" w:rsidRPr="00BC081A" w:rsidRDefault="0002590C" w:rsidP="0002590C">
            <w:pPr>
              <w:pStyle w:val="TableContext"/>
              <w:spacing w:line="480" w:lineRule="auto"/>
              <w:jc w:val="left"/>
              <w:rPr>
                <w:sz w:val="24"/>
                <w:lang w:val="en-CA"/>
              </w:rPr>
            </w:pPr>
            <w:r w:rsidRPr="00BC081A">
              <w:rPr>
                <w:rFonts w:eastAsia="Times New Roman" w:cs="Times New Roman"/>
                <w:color w:val="000000"/>
                <w:sz w:val="24"/>
                <w:szCs w:val="24"/>
                <w:lang w:val="en-CA"/>
              </w:rPr>
              <w:t xml:space="preserve">Game-Based Production, </w:t>
            </w:r>
            <w:r w:rsidR="00D77324" w:rsidRPr="00BC081A">
              <w:rPr>
                <w:rFonts w:eastAsia="Times New Roman" w:cs="Times New Roman"/>
                <w:color w:val="000000"/>
                <w:sz w:val="24"/>
                <w:szCs w:val="24"/>
                <w:lang w:val="en-CA"/>
              </w:rPr>
              <w:t>Game-Based Authoring</w:t>
            </w:r>
            <w:r w:rsidR="007E7AFA" w:rsidRPr="00BC081A">
              <w:rPr>
                <w:rFonts w:eastAsia="Times New Roman" w:cs="Times New Roman"/>
                <w:color w:val="000000"/>
                <w:sz w:val="24"/>
                <w:szCs w:val="24"/>
                <w:lang w:val="en-CA"/>
              </w:rPr>
              <w:t xml:space="preserve"> </w:t>
            </w:r>
          </w:p>
        </w:tc>
        <w:tc>
          <w:tcPr>
            <w:tcW w:w="6069" w:type="dxa"/>
          </w:tcPr>
          <w:p w14:paraId="4112189D" w14:textId="2742086B" w:rsidR="007E7AFA" w:rsidRPr="00BC081A" w:rsidRDefault="0002590C" w:rsidP="00053EAE">
            <w:pPr>
              <w:pStyle w:val="TableContext"/>
              <w:spacing w:line="480" w:lineRule="auto"/>
              <w:jc w:val="left"/>
              <w:rPr>
                <w:sz w:val="24"/>
                <w:lang w:val="en-CA"/>
              </w:rPr>
            </w:pPr>
            <w:r w:rsidRPr="00BC081A">
              <w:rPr>
                <w:rFonts w:eastAsia="Times New Roman" w:cs="Times New Roman"/>
                <w:color w:val="000000"/>
                <w:sz w:val="24"/>
                <w:szCs w:val="24"/>
                <w:lang w:val="en-CA"/>
              </w:rPr>
              <w:t xml:space="preserve">Use of tools or game/game engines created for </w:t>
            </w:r>
            <w:proofErr w:type="spellStart"/>
            <w:r w:rsidRPr="00BC081A">
              <w:rPr>
                <w:rFonts w:eastAsia="Times New Roman" w:cs="Times New Roman"/>
                <w:color w:val="000000"/>
                <w:sz w:val="24"/>
                <w:szCs w:val="24"/>
                <w:lang w:val="en-CA"/>
              </w:rPr>
              <w:t>videogaming</w:t>
            </w:r>
            <w:proofErr w:type="spellEnd"/>
            <w:r w:rsidRPr="00BC081A">
              <w:rPr>
                <w:rFonts w:eastAsia="Times New Roman" w:cs="Times New Roman"/>
                <w:color w:val="000000"/>
                <w:sz w:val="24"/>
                <w:szCs w:val="24"/>
                <w:lang w:val="en-CA"/>
              </w:rPr>
              <w:t xml:space="preserve"> to output some other piece of media.</w:t>
            </w:r>
          </w:p>
        </w:tc>
      </w:tr>
      <w:tr w:rsidR="007E7AFA" w:rsidRPr="00BC081A" w14:paraId="7EFC6164" w14:textId="77777777" w:rsidTr="00D77324">
        <w:tc>
          <w:tcPr>
            <w:tcW w:w="2943" w:type="dxa"/>
          </w:tcPr>
          <w:p w14:paraId="0DDBC1CB" w14:textId="4A092D42" w:rsidR="007E7AFA" w:rsidRPr="00BC081A" w:rsidRDefault="007E7AFA" w:rsidP="0002590C">
            <w:pPr>
              <w:pStyle w:val="TableContext"/>
              <w:spacing w:line="480" w:lineRule="auto"/>
              <w:jc w:val="left"/>
              <w:rPr>
                <w:sz w:val="24"/>
                <w:lang w:val="en-CA"/>
              </w:rPr>
            </w:pPr>
            <w:r w:rsidRPr="00BC081A">
              <w:rPr>
                <w:rFonts w:eastAsia="Times New Roman" w:cs="Times New Roman"/>
                <w:color w:val="000000"/>
                <w:sz w:val="24"/>
                <w:szCs w:val="24"/>
                <w:lang w:val="en-CA"/>
              </w:rPr>
              <w:t>Game-Based Messaging/Advertising/M</w:t>
            </w:r>
            <w:r w:rsidR="0002590C" w:rsidRPr="00BC081A">
              <w:rPr>
                <w:rFonts w:eastAsia="Times New Roman" w:cs="Times New Roman"/>
                <w:color w:val="000000"/>
                <w:sz w:val="24"/>
                <w:szCs w:val="24"/>
                <w:lang w:val="en-CA"/>
              </w:rPr>
              <w:t xml:space="preserve">arketing, </w:t>
            </w:r>
            <w:proofErr w:type="spellStart"/>
            <w:r w:rsidRPr="00BC081A">
              <w:rPr>
                <w:rFonts w:eastAsia="Times New Roman" w:cs="Times New Roman"/>
                <w:color w:val="000000"/>
                <w:sz w:val="24"/>
                <w:szCs w:val="24"/>
                <w:lang w:val="en-CA"/>
              </w:rPr>
              <w:t>Advergames</w:t>
            </w:r>
            <w:proofErr w:type="spellEnd"/>
            <w:r w:rsidRPr="00BC081A">
              <w:rPr>
                <w:rFonts w:eastAsia="Times New Roman" w:cs="Times New Roman"/>
                <w:color w:val="000000"/>
                <w:sz w:val="24"/>
                <w:szCs w:val="24"/>
                <w:lang w:val="en-CA"/>
              </w:rPr>
              <w:t xml:space="preserve"> </w:t>
            </w:r>
          </w:p>
        </w:tc>
        <w:tc>
          <w:tcPr>
            <w:tcW w:w="6069" w:type="dxa"/>
          </w:tcPr>
          <w:p w14:paraId="42A64045" w14:textId="4A943C7F" w:rsidR="007E7AFA" w:rsidRPr="00BC081A" w:rsidRDefault="0002590C" w:rsidP="00053EAE">
            <w:pPr>
              <w:pStyle w:val="TableContext"/>
              <w:spacing w:line="480" w:lineRule="auto"/>
              <w:jc w:val="left"/>
              <w:rPr>
                <w:sz w:val="24"/>
                <w:lang w:val="en-CA"/>
              </w:rPr>
            </w:pPr>
            <w:r w:rsidRPr="00BC081A">
              <w:rPr>
                <w:rFonts w:eastAsia="Times New Roman" w:cs="Times New Roman"/>
                <w:color w:val="000000"/>
                <w:sz w:val="24"/>
                <w:szCs w:val="24"/>
                <w:lang w:val="en-CA"/>
              </w:rPr>
              <w:t>A type of Serious Games that are used to transmit a message, advertise a product/service, or market a product</w:t>
            </w:r>
          </w:p>
        </w:tc>
      </w:tr>
      <w:tr w:rsidR="007E7AFA" w:rsidRPr="00BC081A" w14:paraId="6F9F5985" w14:textId="77777777" w:rsidTr="00D77324">
        <w:tc>
          <w:tcPr>
            <w:tcW w:w="2943" w:type="dxa"/>
          </w:tcPr>
          <w:p w14:paraId="0227C60F" w14:textId="5D287595" w:rsidR="007E7AFA" w:rsidRPr="00BC081A" w:rsidRDefault="0002590C" w:rsidP="0002590C">
            <w:pPr>
              <w:pStyle w:val="TableContext"/>
              <w:spacing w:line="480" w:lineRule="auto"/>
              <w:jc w:val="left"/>
              <w:rPr>
                <w:sz w:val="24"/>
                <w:lang w:val="en-CA"/>
              </w:rPr>
            </w:pPr>
            <w:r w:rsidRPr="00BC081A">
              <w:rPr>
                <w:rFonts w:eastAsia="Times New Roman" w:cs="Times New Roman"/>
                <w:color w:val="000000"/>
                <w:sz w:val="24"/>
                <w:szCs w:val="24"/>
                <w:lang w:val="en-CA"/>
              </w:rPr>
              <w:t>Game-Based Training</w:t>
            </w:r>
          </w:p>
        </w:tc>
        <w:tc>
          <w:tcPr>
            <w:tcW w:w="6069" w:type="dxa"/>
          </w:tcPr>
          <w:p w14:paraId="4AE5DEC0" w14:textId="3F8BEF9C" w:rsidR="007E7AFA" w:rsidRPr="00BC081A" w:rsidRDefault="0002590C" w:rsidP="00053EAE">
            <w:pPr>
              <w:pStyle w:val="TableContext"/>
              <w:spacing w:line="480" w:lineRule="auto"/>
              <w:jc w:val="left"/>
              <w:rPr>
                <w:sz w:val="24"/>
                <w:lang w:val="en-CA"/>
              </w:rPr>
            </w:pPr>
            <w:r w:rsidRPr="00BC081A">
              <w:rPr>
                <w:rFonts w:eastAsia="Times New Roman" w:cs="Times New Roman"/>
                <w:color w:val="000000"/>
                <w:sz w:val="24"/>
                <w:szCs w:val="24"/>
                <w:lang w:val="en-CA"/>
              </w:rPr>
              <w:t>Adding gameplay to enhance motivation to train, or effectiveness of content transfer, behavio</w:t>
            </w:r>
            <w:r w:rsidR="00C21E49">
              <w:rPr>
                <w:rFonts w:eastAsia="Times New Roman" w:cs="Times New Roman"/>
                <w:color w:val="000000"/>
                <w:sz w:val="24"/>
                <w:szCs w:val="24"/>
                <w:lang w:val="en-CA"/>
              </w:rPr>
              <w:t>u</w:t>
            </w:r>
            <w:r w:rsidRPr="00BC081A">
              <w:rPr>
                <w:rFonts w:eastAsia="Times New Roman" w:cs="Times New Roman"/>
                <w:color w:val="000000"/>
                <w:sz w:val="24"/>
                <w:szCs w:val="24"/>
                <w:lang w:val="en-CA"/>
              </w:rPr>
              <w:t>r change, or specific goal of training</w:t>
            </w:r>
          </w:p>
        </w:tc>
      </w:tr>
      <w:tr w:rsidR="007E7AFA" w:rsidRPr="00BC081A" w14:paraId="17373DF1" w14:textId="77777777" w:rsidTr="00D77324">
        <w:tc>
          <w:tcPr>
            <w:tcW w:w="2943" w:type="dxa"/>
          </w:tcPr>
          <w:p w14:paraId="63AA0737" w14:textId="5A84DE14" w:rsidR="007E7AFA" w:rsidRPr="00BC081A" w:rsidRDefault="0002590C" w:rsidP="0002590C">
            <w:pPr>
              <w:pStyle w:val="TableContext"/>
              <w:spacing w:line="480" w:lineRule="auto"/>
              <w:jc w:val="left"/>
              <w:rPr>
                <w:sz w:val="24"/>
                <w:lang w:val="en-CA"/>
              </w:rPr>
            </w:pPr>
            <w:r w:rsidRPr="00BC081A">
              <w:rPr>
                <w:rFonts w:eastAsia="Times New Roman" w:cs="Times New Roman"/>
                <w:color w:val="000000"/>
                <w:sz w:val="24"/>
                <w:szCs w:val="24"/>
                <w:lang w:val="en-CA"/>
              </w:rPr>
              <w:lastRenderedPageBreak/>
              <w:t>Game-Based Education/Learning</w:t>
            </w:r>
          </w:p>
        </w:tc>
        <w:tc>
          <w:tcPr>
            <w:tcW w:w="6069" w:type="dxa"/>
          </w:tcPr>
          <w:p w14:paraId="0CE3B8DA" w14:textId="17521433" w:rsidR="007E7AFA" w:rsidRPr="00BC081A" w:rsidRDefault="0002590C" w:rsidP="00053EAE">
            <w:pPr>
              <w:pStyle w:val="TableContext"/>
              <w:spacing w:line="480" w:lineRule="auto"/>
              <w:jc w:val="left"/>
              <w:rPr>
                <w:sz w:val="24"/>
                <w:lang w:val="en-CA"/>
              </w:rPr>
            </w:pPr>
            <w:r w:rsidRPr="00BC081A">
              <w:rPr>
                <w:rFonts w:eastAsia="Times New Roman" w:cs="Times New Roman"/>
                <w:color w:val="000000"/>
                <w:sz w:val="24"/>
                <w:szCs w:val="24"/>
                <w:lang w:val="en-CA"/>
              </w:rPr>
              <w:t>Using gameplay to enhance motivation to learn, engage education, or to enhance effectiveness of content transfer or other specific learning outcome</w:t>
            </w:r>
          </w:p>
        </w:tc>
      </w:tr>
      <w:tr w:rsidR="007E7AFA" w:rsidRPr="00BC081A" w14:paraId="52226628" w14:textId="77777777" w:rsidTr="00D77324">
        <w:tc>
          <w:tcPr>
            <w:tcW w:w="2943" w:type="dxa"/>
          </w:tcPr>
          <w:p w14:paraId="54AFFA02" w14:textId="77777777" w:rsidR="007E7AFA" w:rsidRPr="00BC081A" w:rsidRDefault="007E7AFA" w:rsidP="0002590C">
            <w:pPr>
              <w:pStyle w:val="TableContext"/>
              <w:spacing w:line="480" w:lineRule="auto"/>
              <w:jc w:val="left"/>
              <w:rPr>
                <w:sz w:val="24"/>
                <w:lang w:val="en-CA"/>
              </w:rPr>
            </w:pPr>
            <w:r w:rsidRPr="00BC081A">
              <w:rPr>
                <w:sz w:val="24"/>
                <w:lang w:val="en-CA"/>
              </w:rPr>
              <w:t>Gamification</w:t>
            </w:r>
          </w:p>
        </w:tc>
        <w:tc>
          <w:tcPr>
            <w:tcW w:w="6069" w:type="dxa"/>
          </w:tcPr>
          <w:p w14:paraId="7E16F783" w14:textId="5CE1050F" w:rsidR="007E7AFA" w:rsidRPr="00BC081A" w:rsidRDefault="007E7AFA" w:rsidP="00C21E49">
            <w:pPr>
              <w:pStyle w:val="TableContext"/>
              <w:spacing w:line="480" w:lineRule="auto"/>
              <w:jc w:val="left"/>
              <w:rPr>
                <w:sz w:val="24"/>
                <w:lang w:val="en-CA"/>
              </w:rPr>
            </w:pPr>
            <w:r w:rsidRPr="00BC081A">
              <w:rPr>
                <w:sz w:val="24"/>
                <w:lang w:val="en-CA"/>
              </w:rPr>
              <w:t>Using game elements</w:t>
            </w:r>
            <w:r w:rsidR="00C21E49">
              <w:rPr>
                <w:sz w:val="24"/>
                <w:lang w:val="en-CA"/>
              </w:rPr>
              <w:t xml:space="preserve"> in a non-game system for achieving the engaging power of games</w:t>
            </w:r>
          </w:p>
        </w:tc>
      </w:tr>
      <w:tr w:rsidR="007E7AFA" w:rsidRPr="00BC081A" w14:paraId="4CCFACF6" w14:textId="77777777" w:rsidTr="00D77324">
        <w:tc>
          <w:tcPr>
            <w:tcW w:w="2943" w:type="dxa"/>
          </w:tcPr>
          <w:p w14:paraId="11E4A9B3" w14:textId="77777777" w:rsidR="007E7AFA" w:rsidRPr="00BC081A" w:rsidRDefault="007E7AFA" w:rsidP="0002590C">
            <w:pPr>
              <w:pStyle w:val="TableContext"/>
              <w:spacing w:line="480" w:lineRule="auto"/>
              <w:jc w:val="left"/>
              <w:rPr>
                <w:sz w:val="24"/>
                <w:lang w:val="en-CA"/>
              </w:rPr>
            </w:pPr>
            <w:r w:rsidRPr="00BC081A">
              <w:rPr>
                <w:sz w:val="24"/>
                <w:lang w:val="en-CA"/>
              </w:rPr>
              <w:t>SAP ERP</w:t>
            </w:r>
          </w:p>
        </w:tc>
        <w:tc>
          <w:tcPr>
            <w:tcW w:w="6069" w:type="dxa"/>
          </w:tcPr>
          <w:p w14:paraId="0C4EF9BE" w14:textId="15BABF2C" w:rsidR="007E7AFA" w:rsidRPr="00BC081A" w:rsidRDefault="001C6132" w:rsidP="001C6132">
            <w:pPr>
              <w:pStyle w:val="TableContext"/>
              <w:spacing w:line="480" w:lineRule="auto"/>
              <w:jc w:val="left"/>
              <w:rPr>
                <w:sz w:val="24"/>
                <w:lang w:val="en-CA"/>
              </w:rPr>
            </w:pPr>
            <w:r w:rsidRPr="00BC081A">
              <w:rPr>
                <w:sz w:val="24"/>
                <w:lang w:val="en-CA"/>
              </w:rPr>
              <w:t>The biggest ERP solution in the market, and the main solution of SAP AG.</w:t>
            </w:r>
          </w:p>
        </w:tc>
      </w:tr>
      <w:tr w:rsidR="00127005" w:rsidRPr="00BC081A" w14:paraId="63DCF04D" w14:textId="77777777" w:rsidTr="00127005">
        <w:tc>
          <w:tcPr>
            <w:tcW w:w="2943" w:type="dxa"/>
          </w:tcPr>
          <w:p w14:paraId="5885F726" w14:textId="77777777" w:rsidR="00127005" w:rsidRPr="00BC081A" w:rsidRDefault="00127005" w:rsidP="00127005">
            <w:pPr>
              <w:pStyle w:val="TableContext"/>
              <w:spacing w:line="480" w:lineRule="auto"/>
              <w:jc w:val="left"/>
              <w:rPr>
                <w:sz w:val="24"/>
                <w:lang w:val="en-CA"/>
              </w:rPr>
            </w:pPr>
            <w:r w:rsidRPr="00BC081A">
              <w:rPr>
                <w:sz w:val="24"/>
                <w:lang w:val="en-CA"/>
              </w:rPr>
              <w:t>Serious Games</w:t>
            </w:r>
          </w:p>
        </w:tc>
        <w:tc>
          <w:tcPr>
            <w:tcW w:w="6069" w:type="dxa"/>
          </w:tcPr>
          <w:p w14:paraId="26674C0A" w14:textId="77777777" w:rsidR="00127005" w:rsidRPr="00BC081A" w:rsidRDefault="00127005" w:rsidP="00127005">
            <w:pPr>
              <w:pStyle w:val="TableContext"/>
              <w:spacing w:line="480" w:lineRule="auto"/>
              <w:jc w:val="left"/>
              <w:rPr>
                <w:sz w:val="24"/>
                <w:lang w:val="en-CA"/>
              </w:rPr>
            </w:pPr>
            <w:r w:rsidRPr="00BC081A">
              <w:rPr>
                <w:sz w:val="24"/>
                <w:lang w:val="en-CA"/>
              </w:rPr>
              <w:t>Any game that is designed for a purpose that is not pure entertainment.</w:t>
            </w:r>
          </w:p>
        </w:tc>
      </w:tr>
    </w:tbl>
    <w:p w14:paraId="21397DC3" w14:textId="4657BF9B" w:rsidR="00B72D9B" w:rsidRPr="00BC081A" w:rsidRDefault="00B72D9B">
      <w:pPr>
        <w:spacing w:line="240" w:lineRule="auto"/>
        <w:ind w:firstLine="0"/>
        <w:rPr>
          <w:rFonts w:asciiTheme="majorHAnsi" w:eastAsiaTheme="majorEastAsia" w:hAnsiTheme="majorHAnsi" w:cstheme="majorBidi"/>
          <w:b/>
          <w:bCs/>
          <w:caps/>
          <w:color w:val="345A8A" w:themeColor="accent1" w:themeShade="B5"/>
          <w:sz w:val="30"/>
          <w:szCs w:val="32"/>
        </w:rPr>
      </w:pPr>
      <w:r w:rsidRPr="00BC081A">
        <w:br w:type="page"/>
      </w:r>
    </w:p>
    <w:p w14:paraId="00446563" w14:textId="77777777" w:rsidR="002C2DD2" w:rsidRPr="00BC081A" w:rsidRDefault="002C2DD2" w:rsidP="00473DDA">
      <w:pPr>
        <w:pStyle w:val="Heading1"/>
        <w:sectPr w:rsidR="002C2DD2" w:rsidRPr="00BC081A" w:rsidSect="002761DD">
          <w:headerReference w:type="default" r:id="rId9"/>
          <w:footerReference w:type="even" r:id="rId10"/>
          <w:footerReference w:type="default" r:id="rId11"/>
          <w:pgSz w:w="12240" w:h="15840"/>
          <w:pgMar w:top="2155" w:right="1418" w:bottom="1418" w:left="2155" w:header="708" w:footer="818" w:gutter="0"/>
          <w:pgNumType w:fmt="lowerRoman"/>
          <w:cols w:space="708"/>
          <w:titlePg/>
          <w:docGrid w:linePitch="360"/>
        </w:sectPr>
      </w:pPr>
    </w:p>
    <w:p w14:paraId="2C66546D" w14:textId="23D011B7" w:rsidR="009503F5" w:rsidRPr="00BC081A" w:rsidRDefault="009503F5" w:rsidP="00473DDA">
      <w:pPr>
        <w:pStyle w:val="Heading1"/>
      </w:pPr>
      <w:bookmarkStart w:id="22" w:name="_Toc275209809"/>
      <w:r w:rsidRPr="00BC081A">
        <w:lastRenderedPageBreak/>
        <w:t>Introduction</w:t>
      </w:r>
      <w:bookmarkEnd w:id="22"/>
    </w:p>
    <w:p w14:paraId="6CC1A5DF" w14:textId="17648E60" w:rsidR="009503F5" w:rsidRPr="00BC081A" w:rsidRDefault="00174BF8" w:rsidP="009503F5">
      <w:pPr>
        <w:rPr>
          <w:highlight w:val="lightGray"/>
        </w:rPr>
      </w:pPr>
      <w:r w:rsidRPr="00BC081A">
        <w:t>S</w:t>
      </w:r>
      <w:r w:rsidR="009503F5" w:rsidRPr="00BC081A">
        <w:t xml:space="preserve">ince the 1980s, video games have expanded rapidly and established a massive and growing industry </w:t>
      </w:r>
      <w:r w:rsidR="009503F5" w:rsidRPr="00BC081A">
        <w:fldChar w:fldCharType="begin" w:fldLock="1"/>
      </w:r>
      <w:r w:rsidR="00AC1F7D">
        <w:instrText>ADDIN CSL_CITATION { "citationItems" : [ { "id" : "ITEM-1", "itemData" : { "author" : [ { "dropping-particle" : "", "family" : "Cucuel", "given" : "Quentin", "non-dropping-particle" : "", "parse-names" : false, "suffix" : "" } ], "container-title" : "Otago Management Graduate Review", "id" : "ITEM-1", "issued" : { "date-parts" : [ [ "2011" ] ] }, "page" : "1-23", "title" : "The Video Game Industry : Explaining the Emergence of New Markets", "type" : "article-journal", "volume" : "9" }, "uris" : [ "http://www.mendeley.com/documents/?uuid=a5a5b4a6-7ce3-4cc7-b096-fa762ee8535c" ] }, { "id" : "ITEM-2", "itemData" : { "author" : [ { "dropping-particle" : "", "family" : "McGonigal", "given" : "J", "non-dropping-particle" : "", "parse-names" : false, "suffix" : "" } ], "id" : "ITEM-2", "issued" : { "date-parts" : [ [ "2011" ] ] }, "publisher" : "Penguin Pr", "title" : "Reality is broken: Why games make us better and how they can change the world", "type" : "book" }, "uris" : [ "http://www.mendeley.com/documents/?uuid=0cb0f2fc-c482-43ae-a083-19c4c82d7f94" ] } ], "mendeley" : { "previouslyFormattedCitation" : "(Cucuel, 2011; McGonigal, 2011)" }, "properties" : { "noteIndex" : 0 }, "schema" : "https://github.com/citation-style-language/schema/raw/master/csl-citation.json" }</w:instrText>
      </w:r>
      <w:r w:rsidR="009503F5" w:rsidRPr="00BC081A">
        <w:fldChar w:fldCharType="separate"/>
      </w:r>
      <w:r w:rsidR="009503F5" w:rsidRPr="00BC081A">
        <w:rPr>
          <w:noProof/>
        </w:rPr>
        <w:t>(Cucuel, 2011; McGonigal, 2011)</w:t>
      </w:r>
      <w:r w:rsidR="009503F5" w:rsidRPr="00BC081A">
        <w:fldChar w:fldCharType="end"/>
      </w:r>
      <w:r w:rsidR="009503F5" w:rsidRPr="00BC081A">
        <w:t xml:space="preserve">. Some authors believe that the video games industry is one of the fastest growing in this era </w:t>
      </w:r>
      <w:r w:rsidR="009503F5" w:rsidRPr="00BC081A">
        <w:fldChar w:fldCharType="begin" w:fldLock="1"/>
      </w:r>
      <w:r w:rsidR="00AC1F7D">
        <w:instrText>ADDIN CSL_CITATION { "citationItems" : [ { "id" : "ITEM-1", "itemData" : { "author" : [ { "dropping-particle" : "", "family" : "Arnseth", "given" : "HC", "non-dropping-particle" : "", "parse-names" : false, "suffix" : "" } ], "container-title" : "Game Studies", "id" : "ITEM-1", "issued" : { "date-parts" : [ [ "2006" ] ] }, "title" : "Learning to Play or Playing to Learn. A Critical Account of the Models of Communication Informing Educational Research on Computer Gameplay", "type" : "article-journal" }, "uris" : [ "http://www.mendeley.com/documents/?uuid=83b50543-eeea-43f1-8e22-7549419d041c" ] } ], "mendeley" : { "previouslyFormattedCitation" : "(Arnseth, 2006)" }, "properties" : { "noteIndex" : 0 }, "schema" : "https://github.com/citation-style-language/schema/raw/master/csl-citation.json" }</w:instrText>
      </w:r>
      <w:r w:rsidR="009503F5" w:rsidRPr="00BC081A">
        <w:fldChar w:fldCharType="separate"/>
      </w:r>
      <w:r w:rsidR="009503F5" w:rsidRPr="00BC081A">
        <w:rPr>
          <w:noProof/>
        </w:rPr>
        <w:t>(Arnseth, 2006)</w:t>
      </w:r>
      <w:r w:rsidR="009503F5" w:rsidRPr="00BC081A">
        <w:fldChar w:fldCharType="end"/>
      </w:r>
      <w:r w:rsidR="009503F5" w:rsidRPr="00BC081A">
        <w:t xml:space="preserve">. Video games are pervasive in today’s society with reports showing that 67% of Americans play video games </w:t>
      </w:r>
      <w:r w:rsidR="009503F5" w:rsidRPr="00BC081A">
        <w:fldChar w:fldCharType="begin" w:fldLock="1"/>
      </w:r>
      <w:r w:rsidR="00AC1F7D">
        <w:instrText>ADDIN CSL_CITATION { "citationItems" : [ { "id" : "ITEM-1", "itemData" : { "author" : [ { "dropping-particle" : "", "family" : "Entertainment Software Association", "given" : "", "non-dropping-particle" : "", "parse-names" : false, "suffix" : "" } ], "id" : "ITEM-1", "issued" : { "date-parts" : [ [ "2010" ] ] }, "title" : "Essential Facts About the Computer and Video Game Industry: 2010 Sales, Demographic and Usage Data.", "type" : "report" }, "uris" : [ "http://www.mendeley.com/documents/?uuid=1141e673-c60e-4fe6-a22f-c389738a7e99" ] } ], "mendeley" : { "previouslyFormattedCitation" : "(Entertainment Software Association, 2010)" }, "properties" : { "noteIndex" : 0 }, "schema" : "https://github.com/citation-style-language/schema/raw/master/csl-citation.json" }</w:instrText>
      </w:r>
      <w:r w:rsidR="009503F5" w:rsidRPr="00BC081A">
        <w:fldChar w:fldCharType="separate"/>
      </w:r>
      <w:r w:rsidR="009503F5" w:rsidRPr="00BC081A">
        <w:rPr>
          <w:noProof/>
        </w:rPr>
        <w:t>(Entertainment Software Association, 2010)</w:t>
      </w:r>
      <w:r w:rsidR="009503F5" w:rsidRPr="00BC081A">
        <w:fldChar w:fldCharType="end"/>
      </w:r>
      <w:r w:rsidR="009503F5" w:rsidRPr="00BC081A">
        <w:t xml:space="preserve">. This phenomenon is not restricted to children and teenagers. Statistics show that the average age of video </w:t>
      </w:r>
      <w:proofErr w:type="spellStart"/>
      <w:r w:rsidR="00547B98">
        <w:t>gameplay</w:t>
      </w:r>
      <w:r w:rsidR="009503F5" w:rsidRPr="00BC081A">
        <w:t>ers</w:t>
      </w:r>
      <w:proofErr w:type="spellEnd"/>
      <w:r w:rsidR="009503F5" w:rsidRPr="00BC081A">
        <w:t xml:space="preserve"> is above 30 years old and these adults are expected to play video games for the rest of their lives </w:t>
      </w:r>
      <w:r w:rsidR="009503F5" w:rsidRPr="00BC081A">
        <w:fldChar w:fldCharType="begin" w:fldLock="1"/>
      </w:r>
      <w:r w:rsidR="00AC1F7D">
        <w:instrText>ADDIN CSL_CITATION { "citationItems" : [ { "id" : "ITEM-1", "itemData" : { "author" : [ { "dropping-particle" : "", "family" : "Entertainment Software Association", "given" : "", "non-dropping-particle" : "", "parse-names" : false, "suffix" : "" } ], "id" : "ITEM-1", "issued" : { "date-parts" : [ [ "2010" ] ] }, "title" : "Essential Facts About the Computer and Video Game Industry: 2010 Sales, Demographic and Usage Data.", "type" : "report" }, "uris" : [ "http://www.mendeley.com/documents/?uuid=1141e673-c60e-4fe6-a22f-c389738a7e99" ] }, { "id" : "ITEM-2", "itemData" : { "DOI" : "10.1111/j.1083-6101.2008.00428.x", "ISSN" : "10836101", "author" : [ { "dropping-particle" : "", "family" : "Williams", "given" : "Dmitri", "non-dropping-particle" : "", "parse-names" : false, "suffix" : "" }, { "dropping-particle" : "", "family" : "Yee", "given" : "Nick", "non-dropping-particle" : "", "parse-names" : false, "suffix" : "" }, { "dropping-particle" : "", "family" : "Caplan", "given" : "Scott E.", "non-dropping-particle" : "", "parse-names" : false, "suffix" : "" } ], "container-title" : "Journal of Computer-Mediated Communication", "id" : "ITEM-2", "issue" : "4", "issued" : { "date-parts" : [ [ "2008", "7" ] ] }, "page" : "993-1018", "title" : "Who plays, how much, and why? Debunking the stereotypical gamer profile", "type" : "article-journal", "volume" : "13" }, "uris" : [ "http://www.mendeley.com/documents/?uuid=69dced29-761d-41b7-97de-999f7c5dc42b" ] } ], "mendeley" : { "previouslyFormattedCitation" : "(Entertainment Software Association, 2010; Williams, Yee, &amp; Caplan, 2008)" }, "properties" : { "noteIndex" : 0 }, "schema" : "https://github.com/citation-style-language/schema/raw/master/csl-citation.json" }</w:instrText>
      </w:r>
      <w:r w:rsidR="009503F5" w:rsidRPr="00BC081A">
        <w:fldChar w:fldCharType="separate"/>
      </w:r>
      <w:r w:rsidR="009503F5" w:rsidRPr="00BC081A">
        <w:rPr>
          <w:noProof/>
        </w:rPr>
        <w:t>(Entertainment Software Association, 2010; Williams, Yee, &amp; Caplan, 2008)</w:t>
      </w:r>
      <w:r w:rsidR="009503F5" w:rsidRPr="00BC081A">
        <w:fldChar w:fldCharType="end"/>
      </w:r>
      <w:r w:rsidR="009503F5" w:rsidRPr="00BC081A">
        <w:t>.</w:t>
      </w:r>
    </w:p>
    <w:p w14:paraId="5C0558C4" w14:textId="764E3BAE" w:rsidR="009503F5" w:rsidRPr="00BC081A" w:rsidRDefault="009503F5" w:rsidP="009503F5">
      <w:r w:rsidRPr="00BC081A">
        <w:t>As Millennials</w:t>
      </w:r>
      <w:r w:rsidR="00174BF8" w:rsidRPr="00BC081A">
        <w:rPr>
          <w:rStyle w:val="FootnoteReference"/>
        </w:rPr>
        <w:footnoteReference w:id="1"/>
      </w:r>
      <w:r w:rsidRPr="00BC081A">
        <w:t xml:space="preserve"> –</w:t>
      </w:r>
      <w:r w:rsidR="00174BF8" w:rsidRPr="00BC081A">
        <w:t>the demographic cohort with birth years from the early 1980s to the early 2000s</w:t>
      </w:r>
      <w:r w:rsidRPr="00BC081A">
        <w:t xml:space="preserve"> – enter the workforce, their mindsets and behaviours in regards to their working </w:t>
      </w:r>
      <w:proofErr w:type="gramStart"/>
      <w:r w:rsidRPr="00BC081A">
        <w:t>environment</w:t>
      </w:r>
      <w:proofErr w:type="gramEnd"/>
      <w:r w:rsidRPr="00BC081A">
        <w:t xml:space="preserve"> have become important areas of study. Dr. Jean M. </w:t>
      </w:r>
      <w:proofErr w:type="spellStart"/>
      <w:r w:rsidRPr="00BC081A">
        <w:t>Twenge</w:t>
      </w:r>
      <w:proofErr w:type="spellEnd"/>
      <w:r w:rsidRPr="00BC081A">
        <w:t xml:space="preserve"> names this generation, “Generation Me,” due to its individualistic attitude and lack of interest in social problems </w:t>
      </w:r>
      <w:r w:rsidRPr="00BC081A">
        <w:fldChar w:fldCharType="begin" w:fldLock="1"/>
      </w:r>
      <w:r w:rsidR="00AC1F7D">
        <w:instrText>ADDIN CSL_CITATION { "citationItems" : [ { "id" : "ITEM-1", "itemData" : { "author" : [ { "dropping-particle" : "", "family" : "Twenge", "given" : "Jean M", "non-dropping-particle" : "", "parse-names" : false, "suffix" : "" } ], "editor" : [ { "dropping-particle" : "", "family" : "Simon and Schuster", "given" : "", "non-dropping-particle" : "", "parse-names" : false, "suffix" : "" } ], "id" : "ITEM-1", "issued" : { "date-parts" : [ [ "2006" ] ] }, "publisher" : "Free Press", "title" : "Generation me: Why today's young Americans are more confident, assertive, entitled--and more miserable than ever before", "type" : "book" }, "uris" : [ "http://www.mendeley.com/documents/?uuid=77b502ff-81d2-47a4-be61-a682bc3c0492" ] } ], "mendeley" : { "previouslyFormattedCitation" : "(Twenge, 2006)" }, "properties" : { "noteIndex" : 0 }, "schema" : "https://github.com/citation-style-language/schema/raw/master/csl-citation.json" }</w:instrText>
      </w:r>
      <w:r w:rsidRPr="00BC081A">
        <w:fldChar w:fldCharType="separate"/>
      </w:r>
      <w:r w:rsidRPr="00BC081A">
        <w:rPr>
          <w:noProof/>
        </w:rPr>
        <w:t>(Twenge, 2006)</w:t>
      </w:r>
      <w:r w:rsidRPr="00BC081A">
        <w:fldChar w:fldCharType="end"/>
      </w:r>
      <w:r w:rsidRPr="00BC081A">
        <w:t>. Millennials, when compared to their predecessors, appreciate extrinsic values more (e.g., money, image, fame) and intrinsic values less (e.g., self-acceptance, affiliation, community), particularly when compared to Generation X</w:t>
      </w:r>
      <w:r w:rsidR="006C23FD" w:rsidRPr="00BC081A">
        <w:rPr>
          <w:rStyle w:val="FootnoteReference"/>
        </w:rPr>
        <w:footnoteReference w:id="2"/>
      </w:r>
      <w:r w:rsidRPr="00BC081A">
        <w:t xml:space="preserve"> </w:t>
      </w:r>
      <w:r w:rsidRPr="00BC081A">
        <w:fldChar w:fldCharType="begin" w:fldLock="1"/>
      </w:r>
      <w:r w:rsidR="00AC1F7D">
        <w:instrText>ADDIN CSL_CITATION { "citationItems" : [ { "id" : "ITEM-1", "itemData" : { "DOI" : "10.1037/a0027408", "ISSN" : "1939-1315", "PMID" : "22390226", "abstract" : "Three studies examined generational differences in life goals, concern for others, and civic orientation among American high school seniors (Monitoring the Future; N = 463,753, 1976-2008) and entering college students (The American Freshman; N = 8.7 million, 1966-2009). Compared to Baby Boomers (born 1946-1961) at the same age, GenX'ers (born 1962-1981) and Millennials (born after 1982) considered goals related to extrinsic values (money, image, fame) more important and those related to intrinsic values (self-acceptance, affiliation, community) less important. Concern for others (e.g., empathy for outgroups, charity donations, the importance of having a job worthwhile to society) declined slightly. Community service rose but was also increasingly required for high school graduation over the same time period. Civic orientation (e.g., interest in social problems, political participation, trust in government, taking action to help the environment and save energy) declined an average of d = -.34, with about half the decline occurring between GenX and the Millennials. Some of the largest declines appeared in taking action to help the environment. In most cases, Millennials slowed, though did not reverse, trends toward reduced community feeling begun by GenX. The results generally support the \"Generation Me\" view of generational differences rather than the \"Generation We\" or no change views.", "author" : [ { "dropping-particle" : "", "family" : "Twenge", "given" : "Jean M", "non-dropping-particle" : "", "parse-names" : false, "suffix" : "" }, { "dropping-particle" : "", "family" : "Campbell", "given" : "W Keith", "non-dropping-particle" : "", "parse-names" : false, "suffix" : "" }, { "dropping-particle" : "", "family" : "Freeman", "given" : "Elise C", "non-dropping-particle" : "", "parse-names" : false, "suffix" : "" } ], "container-title" : "Journal of personality and social psychology", "id" : "ITEM-1", "issue" : "5", "issued" : { "date-parts" : [ [ "2012", "5" ] ] }, "page" : "1045-62", "title" : "Generational differences in young adults' life goals, concern for others, and civic orientation, 1966-2009.", "type" : "article-journal", "volume" : "102" }, "uris" : [ "http://www.mendeley.com/documents/?uuid=6589e5f6-64f1-40be-a59a-b20dc5240820" ] } ], "mendeley" : { "previouslyFormattedCitation" : "(Twenge, Campbell, &amp; Freeman, 2012)" }, "properties" : { "noteIndex" : 0 }, "schema" : "https://github.com/citation-style-language/schema/raw/master/csl-citation.json" }</w:instrText>
      </w:r>
      <w:r w:rsidRPr="00BC081A">
        <w:fldChar w:fldCharType="separate"/>
      </w:r>
      <w:r w:rsidRPr="00BC081A">
        <w:rPr>
          <w:noProof/>
        </w:rPr>
        <w:t>(Twenge, Campbell, &amp; Freeman, 2012)</w:t>
      </w:r>
      <w:r w:rsidRPr="00BC081A">
        <w:fldChar w:fldCharType="end"/>
      </w:r>
      <w:r w:rsidRPr="00BC081A">
        <w:t xml:space="preserve">. It is essential for higher education institutions and employers to understand the differences and mindsets of young students/employees </w:t>
      </w:r>
      <w:r w:rsidRPr="00BC081A">
        <w:fldChar w:fldCharType="begin" w:fldLock="1"/>
      </w:r>
      <w:r w:rsidR="00AC1F7D">
        <w:instrText>ADDIN CSL_CITATION { "citationItems" : [ { "id" : "ITEM-1", "itemData" : { "author" : [ { "dropping-particle" : "", "family" : "Twenge", "given" : "Jean M", "non-dropping-particle" : "", "parse-names" : false, "suffix" : "" } ], "editor" : [ { "dropping-particle" : "", "family" : "Simon and Schuster", "given" : "", "non-dropping-particle" : "", "parse-names" : false, "suffix" : "" } ], "id" : "ITEM-1", "issued" : { "date-parts" : [ [ "2006" ] ] }, "publisher" : "Free Press", "title" : "Generation me: Why today's young Americans are more confident, assertive, entitled--and more miserable than ever before", "type" : "book" }, "uris" : [ "http://www.mendeley.com/documents/?uuid=77b502ff-81d2-47a4-be61-a682bc3c0492" ] } ], "mendeley" : { "previouslyFormattedCitation" : "(Twenge, 2006)" }, "properties" : { "noteIndex" : 0 }, "schema" : "https://github.com/citation-style-language/schema/raw/master/csl-citation.json" }</w:instrText>
      </w:r>
      <w:r w:rsidRPr="00BC081A">
        <w:fldChar w:fldCharType="separate"/>
      </w:r>
      <w:r w:rsidRPr="00BC081A">
        <w:rPr>
          <w:noProof/>
        </w:rPr>
        <w:t>(Twenge, 2006)</w:t>
      </w:r>
      <w:r w:rsidRPr="00BC081A">
        <w:fldChar w:fldCharType="end"/>
      </w:r>
      <w:r w:rsidRPr="00BC081A">
        <w:t xml:space="preserve">. A significant characteristic of </w:t>
      </w:r>
      <w:r w:rsidR="00DE6058" w:rsidRPr="00BC081A">
        <w:t xml:space="preserve">Millennials </w:t>
      </w:r>
      <w:r w:rsidRPr="00BC081A">
        <w:t xml:space="preserve">is the fact that they learn by doing and traditional learning/working environments are boring for them </w:t>
      </w:r>
      <w:r w:rsidRPr="00BC081A">
        <w:fldChar w:fldCharType="begin" w:fldLock="1"/>
      </w:r>
      <w:r w:rsidR="00AC1F7D">
        <w:instrText>ADDIN CSL_CITATION { "citationItems" : [ { "id" : "ITEM-1", "itemData" : { "author" : [ { "dropping-particle" : "", "family" : "Twenge", "given" : "Jean M", "non-dropping-particle" : "", "parse-names" : false, "suffix" : "" } ], "editor" : [ { "dropping-particle" : "", "family" : "Simon and Schuster", "given" : "", "non-dropping-particle" : "", "parse-names" : false, "suffix" : "" } ], "id" : "ITEM-1", "issued" : { "date-parts" : [ [ "2006" ] ] }, "publisher" : "Free Press", "title" : "Generation me: Why today's young Americans are more confident, assertive, entitled--and more miserable than ever before", "type" : "book" }, "uris" : [ "http://www.mendeley.com/documents/?uuid=77b502ff-81d2-47a4-be61-a682bc3c0492" ] } ], "mendeley" : { "previouslyFormattedCitation" : "(Twenge, 2006)" }, "properties" : { "noteIndex" : 0 }, "schema" : "https://github.com/citation-style-language/schema/raw/master/csl-citation.json" }</w:instrText>
      </w:r>
      <w:r w:rsidRPr="00BC081A">
        <w:fldChar w:fldCharType="separate"/>
      </w:r>
      <w:r w:rsidRPr="00BC081A">
        <w:rPr>
          <w:noProof/>
        </w:rPr>
        <w:t>(Twenge, 2006)</w:t>
      </w:r>
      <w:r w:rsidRPr="00BC081A">
        <w:fldChar w:fldCharType="end"/>
      </w:r>
      <w:r w:rsidRPr="00BC081A">
        <w:t xml:space="preserve">. For this generation, video games are an inseparable communication and learning medium </w:t>
      </w:r>
      <w:r w:rsidRPr="00BC081A">
        <w:rPr>
          <w:noProof/>
        </w:rPr>
        <w:fldChar w:fldCharType="begin" w:fldLock="1"/>
      </w:r>
      <w:r w:rsidR="00AC1F7D">
        <w:rPr>
          <w:noProof/>
        </w:rPr>
        <w:instrText>ADDIN CSL_CITATION { "citationItems" : [ { "id" : "ITEM-1", "itemData" : { "author" : [ { "dropping-particle" : "", "family" : "Edery", "given" : "D", "non-dropping-particle" : "", "parse-names" : false, "suffix" : "" }, { "dropping-particle" : "", "family" : "Mollick", "given" : "E", "non-dropping-particle" : "", "parse-names" : false, "suffix" : "" } ], "id" : "ITEM-1", "issued" : { "date-parts" : [ [ "2009" ] ] }, "publisher" : "Ft Pr", "title" : "Changing the game: How video games are transforming the future of business", "type" : "book" }, "uris" : [ "http://www.mendeley.com/documents/?uuid=5405af63-b5f5-4edd-8da9-57bfc7c28093" ] } ], "mendeley" : { "previouslyFormattedCitation" : "(Edery &amp; Mollick, 2009)" }, "properties" : { "noteIndex" : 0 }, "schema" : "https://github.com/citation-style-language/schema/raw/master/csl-citation.json" }</w:instrText>
      </w:r>
      <w:r w:rsidRPr="00BC081A">
        <w:rPr>
          <w:noProof/>
        </w:rPr>
        <w:fldChar w:fldCharType="separate"/>
      </w:r>
      <w:r w:rsidRPr="00BC081A">
        <w:rPr>
          <w:noProof/>
        </w:rPr>
        <w:t>(Edery &amp; Mollick, 2009)</w:t>
      </w:r>
      <w:r w:rsidRPr="00BC081A">
        <w:rPr>
          <w:noProof/>
        </w:rPr>
        <w:fldChar w:fldCharType="end"/>
      </w:r>
      <w:r w:rsidRPr="00BC081A">
        <w:t xml:space="preserve">. </w:t>
      </w:r>
    </w:p>
    <w:p w14:paraId="542B41AD" w14:textId="7C0E3A8C" w:rsidR="009503F5" w:rsidRPr="00BC081A" w:rsidRDefault="009503F5" w:rsidP="009503F5">
      <w:r w:rsidRPr="00BC081A">
        <w:lastRenderedPageBreak/>
        <w:t xml:space="preserve">As </w:t>
      </w:r>
      <w:r w:rsidRPr="00BC081A">
        <w:rPr>
          <w:noProof/>
        </w:rPr>
        <w:t>Arnseth (2006)</w:t>
      </w:r>
      <w:r w:rsidRPr="00BC081A">
        <w:t xml:space="preserve"> explains, “one striking feature of gameplay that seems to be particularly relevant for education is the fact that children and adolescents seem to invest a considerable amount of time and effort in accomplishing tasks that are often very difficult and time consuming.” Williams et al. (2008) found that in their sample of 7,000 massively multiplayer online (MMO) </w:t>
      </w:r>
      <w:proofErr w:type="spellStart"/>
      <w:r w:rsidR="00547B98">
        <w:t>gameplay</w:t>
      </w:r>
      <w:r w:rsidRPr="00BC081A">
        <w:t>ers</w:t>
      </w:r>
      <w:proofErr w:type="spellEnd"/>
      <w:r w:rsidRPr="00BC081A">
        <w:t>, users spend on average</w:t>
      </w:r>
      <w:r w:rsidR="00584809" w:rsidRPr="00E6173A">
        <w:t xml:space="preserve"> of</w:t>
      </w:r>
      <w:r w:rsidRPr="00BC081A">
        <w:t xml:space="preserve"> close to 30 hours a week playing video games, </w:t>
      </w:r>
      <w:proofErr w:type="gramStart"/>
      <w:r w:rsidRPr="00BC081A">
        <w:t>which is comparable to the amount of time</w:t>
      </w:r>
      <w:proofErr w:type="gramEnd"/>
      <w:r w:rsidRPr="00BC081A">
        <w:t xml:space="preserve"> a full-time employee spends at his or her job. Qualitative and quantitative research has shown that time loss among video </w:t>
      </w:r>
      <w:proofErr w:type="spellStart"/>
      <w:r w:rsidR="00547B98">
        <w:t>gameplay</w:t>
      </w:r>
      <w:r w:rsidRPr="00BC081A">
        <w:t>ers</w:t>
      </w:r>
      <w:proofErr w:type="spellEnd"/>
      <w:r w:rsidRPr="00BC081A">
        <w:t xml:space="preserve"> is independent of gender or age </w:t>
      </w:r>
      <w:r w:rsidRPr="00BC081A">
        <w:fldChar w:fldCharType="begin" w:fldLock="1"/>
      </w:r>
      <w:r w:rsidR="00AC1F7D">
        <w:instrText>ADDIN CSL_CITATION { "citationItems" : [ { "id" : "ITEM-1", "itemData" : { "DOI" : "10.1089/cpb.2006.9994", "ISSN" : "1094-9313", "PMID" : "17305447", "abstract" : "Playing videogames is now a major leisure pursuit, yet research in the area is comparatively sparse. Previous correlational evidence suggests that subjective time loss occurs during playing videogames. This study examined experiences of time loss among a relatively large group of gamers (n = 280). Quantitative and qualitative data were collected through an online survey. Results showed that time loss occurred irrespective of gender, age, or frequency of play, but was associated with particular structural characteristics of games such as their complexity, the presence of multi-levels, missions and/or high scores, multiplayer interactions, and plot. Results also demonstrated that time loss could have both positive and negative outcomes for players. Positive aspects of time loss included helping players to relax and temporarily escape from reality. Negative aspects included the sacrificing of other things in their lives, guilty feelings about wasted time, and social conflict. It is concluded that for many gamers, losing track of time is a positive experience and is one of the main reasons for playing videogames.", "author" : [ { "dropping-particle" : "", "family" : "Wood", "given" : "Richard T a", "non-dropping-particle" : "", "parse-names" : false, "suffix" : "" }, { "dropping-particle" : "", "family" : "Griffiths", "given" : "Mark D", "non-dropping-particle" : "", "parse-names" : false, "suffix" : "" }, { "dropping-particle" : "", "family" : "Parke", "given" : "Adrian", "non-dropping-particle" : "", "parse-names" : false, "suffix" : "" } ], "container-title" : "Cyberpsychology &amp; behavior : the impact of the Internet, multimedia and virtual reality on behavior and society", "id" : "ITEM-1", "issue" : "1", "issued" : { "date-parts" : [ [ "2007", "2" ] ] }, "page" : "38-44", "title" : "Experiences of time loss among videogame players: an empirical study.", "type" : "article-journal", "volume" : "10" }, "uris" : [ "http://www.mendeley.com/documents/?uuid=c1a73e6d-30b2-4e11-816d-ee1c61c73456" ] } ], "mendeley" : { "previouslyFormattedCitation" : "(Wood, Griffiths, &amp; Parke, 2007)" }, "properties" : { "noteIndex" : 0 }, "schema" : "https://github.com/citation-style-language/schema/raw/master/csl-citation.json" }</w:instrText>
      </w:r>
      <w:r w:rsidRPr="00BC081A">
        <w:fldChar w:fldCharType="separate"/>
      </w:r>
      <w:r w:rsidRPr="00BC081A">
        <w:rPr>
          <w:noProof/>
        </w:rPr>
        <w:t>(Wood, Griffiths, &amp; Parke, 2007)</w:t>
      </w:r>
      <w:r w:rsidRPr="00BC081A">
        <w:fldChar w:fldCharType="end"/>
      </w:r>
      <w:r w:rsidRPr="00BC081A">
        <w:t>.</w:t>
      </w:r>
    </w:p>
    <w:p w14:paraId="1A8367F6" w14:textId="4637DFF0" w:rsidR="009503F5" w:rsidRPr="00BC081A" w:rsidRDefault="009503F5" w:rsidP="009503F5">
      <w:r w:rsidRPr="00BC081A">
        <w:t xml:space="preserve">As a consequence of the recent surge of interest in gameplay, schools and workplaces face new challenges to adapt themselves to the gamer generation with its new behaviours and culture </w:t>
      </w:r>
      <w:r w:rsidRPr="00BC081A">
        <w:rPr>
          <w:noProof/>
        </w:rPr>
        <w:fldChar w:fldCharType="begin" w:fldLock="1"/>
      </w:r>
      <w:r w:rsidR="00AC1F7D">
        <w:rPr>
          <w:noProof/>
        </w:rPr>
        <w:instrText>ADDIN CSL_CITATION { "citationItems" : [ { "id" : "ITEM-1", "itemData" : { "author" : [ { "dropping-particle" : "", "family" : "Beck", "given" : "J C", "non-dropping-particle" : "", "parse-names" : false, "suffix" : "" }, { "dropping-particle" : "", "family" : "Wade", "given" : "M", "non-dropping-particle" : "", "parse-names" : false, "suffix" : "" } ], "id" : "ITEM-1", "issued" : { "date-parts" : [ [ "2004" ] ] }, "publisher" : "Harvard Business Press", "title" : "Got game: How the gamer generation is reshaping business forever", "type" : "book" }, "uris" : [ "http://www.mendeley.com/documents/?uuid=311a0fc3-16ed-4601-bdbc-ce4f5dfa1f5a" ] } ], "mendeley" : { "previouslyFormattedCitation" : "(Beck &amp; Wade, 2004)" }, "properties" : { "noteIndex" : 0 }, "schema" : "https://github.com/citation-style-language/schema/raw/master/csl-citation.json" }</w:instrText>
      </w:r>
      <w:r w:rsidRPr="00BC081A">
        <w:rPr>
          <w:noProof/>
        </w:rPr>
        <w:fldChar w:fldCharType="separate"/>
      </w:r>
      <w:r w:rsidRPr="00BC081A">
        <w:rPr>
          <w:noProof/>
        </w:rPr>
        <w:t>(Beck &amp; Wade, 2004)</w:t>
      </w:r>
      <w:r w:rsidRPr="00BC081A">
        <w:rPr>
          <w:noProof/>
        </w:rPr>
        <w:fldChar w:fldCharType="end"/>
      </w:r>
      <w:r w:rsidRPr="00BC081A">
        <w:t xml:space="preserve">. From a learning perspective, instructors are challenged in finding ways to keep students engaged, attentive, involved and motivated during distinct learning processes at diverse educational levels </w:t>
      </w:r>
      <w:r w:rsidRPr="00BC081A">
        <w:rPr>
          <w:noProof/>
        </w:rPr>
        <w:fldChar w:fldCharType="begin" w:fldLock="1"/>
      </w:r>
      <w:r w:rsidR="00AC1F7D">
        <w:rPr>
          <w:noProof/>
        </w:rPr>
        <w:instrText>ADDIN CSL_CITATION { "citationItems" : [ { "id" : "ITEM-1", "itemData" : { "DOI" : "10.1108/00400910810901782", "ISBN" : "0040091081090", "ISSN" : "0040-0912", "author" : [ { "dropping-particle" : "", "family" : "Feiertag", "given" : "Jeff", "non-dropping-particle" : "", "parse-names" : false, "suffix" : "" }, { "dropping-particle" : "", "family" : "Berge", "given" : "Zane L.", "non-dropping-particle" : "", "parse-names" : false, "suffix" : "" } ], "container-title" : "Education + Training", "id" : "ITEM-1", "issue" : "6", "issued" : { "date-parts" : [ [ "2008" ] ] }, "page" : "457-464", "title" : "Training Generation N: how educators should approach the Net Generation", "type" : "article-journal", "volume" : "50" }, "uris" : [ "http://www.mendeley.com/documents/?uuid=809a0b94-f028-4d81-8b16-59fe6ab205eb" ] } ], "mendeley" : { "previouslyFormattedCitation" : "(Feiertag &amp; Berge, 2008)" }, "properties" : { "noteIndex" : 0 }, "schema" : "https://github.com/citation-style-language/schema/raw/master/csl-citation.json" }</w:instrText>
      </w:r>
      <w:r w:rsidRPr="00BC081A">
        <w:rPr>
          <w:noProof/>
        </w:rPr>
        <w:fldChar w:fldCharType="separate"/>
      </w:r>
      <w:r w:rsidRPr="00BC081A">
        <w:rPr>
          <w:noProof/>
        </w:rPr>
        <w:t>(Feiertag &amp; Berge, 2008)</w:t>
      </w:r>
      <w:r w:rsidRPr="00BC081A">
        <w:rPr>
          <w:noProof/>
        </w:rPr>
        <w:fldChar w:fldCharType="end"/>
      </w:r>
      <w:r w:rsidRPr="00BC081A">
        <w:rPr>
          <w:noProof/>
        </w:rPr>
        <w:t xml:space="preserve">. </w:t>
      </w:r>
      <w:r w:rsidRPr="00BC081A">
        <w:t xml:space="preserve">These challenges arise due to the fact that Millennials may find traditional school and work environments boring compared to the world they immerse in through playing video games </w:t>
      </w:r>
      <w:r w:rsidRPr="00BC081A">
        <w:rPr>
          <w:noProof/>
        </w:rPr>
        <w:fldChar w:fldCharType="begin" w:fldLock="1"/>
      </w:r>
      <w:r w:rsidR="00AC1F7D">
        <w:rPr>
          <w:noProof/>
        </w:rPr>
        <w:instrText>ADDIN CSL_CITATION { "citationItems" : [ { "id" : "ITEM-1", "itemData" : { "author" : [ { "dropping-particle" : "", "family" : "Collins", "given" : "A", "non-dropping-particle" : "", "parse-names" : false, "suffix" : "" }, { "dropping-particle" : "", "family" : "Halverson", "given" : "R", "non-dropping-particle" : "", "parse-names" : false, "suffix" : "" } ], "container-title" : "New York: Teachers College", "id" : "ITEM-1", "issued" : { "date-parts" : [ [ "2009" ] ] }, "title" : "Rethinking education in the age of technology: The digital revolution and the schools", "type" : "article-journal" }, "uris" : [ "http://www.mendeley.com/documents/?uuid=32ea8a42-d629-4de1-b56c-11763112c887" ] } ], "mendeley" : { "previouslyFormattedCitation" : "(Collins &amp; Halverson, 2009)" }, "properties" : { "noteIndex" : 0 }, "schema" : "https://github.com/citation-style-language/schema/raw/master/csl-citation.json" }</w:instrText>
      </w:r>
      <w:r w:rsidRPr="00BC081A">
        <w:rPr>
          <w:noProof/>
        </w:rPr>
        <w:fldChar w:fldCharType="separate"/>
      </w:r>
      <w:r w:rsidRPr="00BC081A">
        <w:rPr>
          <w:noProof/>
        </w:rPr>
        <w:t>(Collins &amp; Halverson, 2009)</w:t>
      </w:r>
      <w:r w:rsidRPr="00BC081A">
        <w:rPr>
          <w:noProof/>
        </w:rPr>
        <w:fldChar w:fldCharType="end"/>
      </w:r>
      <w:r w:rsidRPr="00BC081A">
        <w:t xml:space="preserve">. </w:t>
      </w:r>
      <w:r w:rsidRPr="00BC081A">
        <w:rPr>
          <w:noProof/>
        </w:rPr>
        <w:t xml:space="preserve">Gee </w:t>
      </w:r>
      <w:r w:rsidRPr="00BC081A">
        <w:rPr>
          <w:noProof/>
        </w:rPr>
        <w:fldChar w:fldCharType="begin" w:fldLock="1"/>
      </w:r>
      <w:r w:rsidR="00AC1F7D">
        <w:rPr>
          <w:noProof/>
        </w:rPr>
        <w:instrText>ADDIN CSL_CITATION { "citationItems" : [ { "id" : "ITEM-1", "itemData" : { "DOI" : "10.1145/950566.950595", "ISSN" : "15443574", "author" : [ { "dropping-particle" : "", "family" : "Gee", "given" : "James Paul", "non-dropping-particle" : "", "parse-names" : false, "suffix" : "" } ], "container-title" : "Computers in Entertainment", "id" : "ITEM-1", "issue" : "1", "issued" : { "date-parts" : [ [ "2003", "10", "1" ] ] }, "page" : "20", "title" : "What video games have to teach us about learning and literacy", "type" : "article-journal", "volume" : "1" }, "suppress-author" : 1, "uris" : [ "http://www.mendeley.com/documents/?uuid=72675beb-3382-419d-9fd3-0b2b651a9c60" ] } ], "mendeley" : { "previouslyFormattedCitation" : "(2003)" }, "properties" : { "noteIndex" : 0 }, "schema" : "https://github.com/citation-style-language/schema/raw/master/csl-citation.json" }</w:instrText>
      </w:r>
      <w:r w:rsidRPr="00BC081A">
        <w:rPr>
          <w:noProof/>
        </w:rPr>
        <w:fldChar w:fldCharType="separate"/>
      </w:r>
      <w:r w:rsidRPr="00BC081A">
        <w:rPr>
          <w:noProof/>
        </w:rPr>
        <w:t>(2003)</w:t>
      </w:r>
      <w:r w:rsidRPr="00BC081A">
        <w:rPr>
          <w:noProof/>
        </w:rPr>
        <w:fldChar w:fldCharType="end"/>
      </w:r>
      <w:r w:rsidRPr="00BC081A">
        <w:rPr>
          <w:noProof/>
        </w:rPr>
        <w:t xml:space="preserve"> </w:t>
      </w:r>
      <w:r w:rsidRPr="00BC081A">
        <w:t xml:space="preserve">believes that “schools, workplaces, and families can use games and game technologies to enhance learning” (p. 1). </w:t>
      </w:r>
    </w:p>
    <w:p w14:paraId="3E38013D" w14:textId="77777777" w:rsidR="009503F5" w:rsidRPr="00BC081A" w:rsidRDefault="009503F5" w:rsidP="009503F5">
      <w:pPr>
        <w:pStyle w:val="Heading2"/>
      </w:pPr>
      <w:bookmarkStart w:id="23" w:name="_Toc275209810"/>
      <w:r w:rsidRPr="00BC081A">
        <w:t>Motivation and Research Objectives</w:t>
      </w:r>
      <w:bookmarkEnd w:id="23"/>
    </w:p>
    <w:p w14:paraId="059455D5" w14:textId="309415D1" w:rsidR="009503F5" w:rsidRPr="00BC081A" w:rsidRDefault="009503F5" w:rsidP="009503F5">
      <w:r w:rsidRPr="00BC081A">
        <w:t xml:space="preserve">Some scholars have compared the learning performance of individuals in competitive versus cooperative situations. They tend to agree that cooperative tasks are more effective than competitive tasks, in particular for problem solving </w:t>
      </w:r>
      <w:r w:rsidRPr="00BC081A">
        <w:fldChar w:fldCharType="begin" w:fldLock="1"/>
      </w:r>
      <w:r w:rsidR="00AC1F7D">
        <w:instrText>ADDIN CSL_CITATION { "citationItems" : [ { "id" : "ITEM-1", "itemData" : { "DOI" : "10.2307/1170710", "ISSN" : "00346543", "author" : [ { "dropping-particle" : "", "family" : "Qin", "given" : "Zhining", "non-dropping-particle" : "", "parse-names" : false, "suffix" : "" }, { "dropping-particle" : "", "family" : "Johnson", "given" : "David W.", "non-dropping-particle" : "", "parse-names" : false, "suffix" : "" }, { "dropping-particle" : "", "family" : "Johnson", "given" : "Roger T.", "non-dropping-particle" : "", "parse-names" : false, "suffix" : "" } ], "container-title" : "Review of Educational Research", "id" : "ITEM-1", "issue" : "2", "issued" : { "date-parts" : [ [ "1995" ] ] }, "page" : "129", "title" : "Cooperative versus Competitive Efforts and Problem Solving", "type" : "article-journal", "volume" : "65" }, "uris" : [ "http://www.mendeley.com/documents/?uuid=1df69595-4238-4fa2-8294-587197d2af10" ] } ], "mendeley" : { "previouslyFormattedCitation" : "(Qin, Johnson, &amp; Johnson, 1995)" }, "properties" : { "noteIndex" : 0 }, "schema" : "https://github.com/citation-style-language/schema/raw/master/csl-citation.json" }</w:instrText>
      </w:r>
      <w:r w:rsidRPr="00BC081A">
        <w:fldChar w:fldCharType="separate"/>
      </w:r>
      <w:r w:rsidRPr="00BC081A">
        <w:rPr>
          <w:noProof/>
        </w:rPr>
        <w:t>(Qin, Johnson, &amp; Johnson, 1995)</w:t>
      </w:r>
      <w:r w:rsidRPr="00BC081A">
        <w:fldChar w:fldCharType="end"/>
      </w:r>
      <w:r w:rsidRPr="00BC081A">
        <w:t xml:space="preserve">. However, it should be noted that competition is not the opposite of cooperation </w:t>
      </w:r>
      <w:r w:rsidRPr="00BC081A">
        <w:fldChar w:fldCharType="begin" w:fldLock="1"/>
      </w:r>
      <w:r w:rsidR="00AC1F7D">
        <w:instrText>ADDIN CSL_CITATION { "citationItems" : [ { "id" : "ITEM-1", "itemData" : { "DOI" : "10.1080/02783190009554040", "ISSN" : "0278-3193", "author" : [ { "dropping-particle" : "", "family" : "Udvari", "given" : "Stephen", "non-dropping-particle" : "", "parse-names" : false, "suffix" : "" }, { "dropping-particle" : "", "family" : "Schneider", "given" : "Barry", "non-dropping-particle" : "", "parse-names" : false, "suffix" : "" } ], "container-title" : "Roeper Review", "id" : "ITEM-1", "issue" : "4", "issued" : { "date-parts" : [ [ "2000", "6" ] ] }, "page" : "212-216", "title" : "Competition and the adjustment of gifted children: A matter of motivation", "type" : "article-journal", "volume" : "22" }, "uris" : [ "http://www.mendeley.com/documents/?uuid=0530dd5f-39a2-4078-9970-9ce5a89a909b" ] } ], "mendeley" : { "previouslyFormattedCitation" : "(Udvari &amp; Schneider, 2000)" }, "properties" : { "noteIndex" : 0 }, "schema" : "https://github.com/citation-style-language/schema/raw/master/csl-citation.json" }</w:instrText>
      </w:r>
      <w:r w:rsidRPr="00BC081A">
        <w:fldChar w:fldCharType="separate"/>
      </w:r>
      <w:r w:rsidRPr="00BC081A">
        <w:rPr>
          <w:noProof/>
        </w:rPr>
        <w:t>(Udvari &amp; Schneider, 2000)</w:t>
      </w:r>
      <w:r w:rsidRPr="00BC081A">
        <w:fldChar w:fldCharType="end"/>
      </w:r>
      <w:r w:rsidRPr="00BC081A">
        <w:t xml:space="preserve">, but it is an omnipresent phenomenon in human life, which can motivate students to </w:t>
      </w:r>
      <w:r w:rsidRPr="00BC081A">
        <w:lastRenderedPageBreak/>
        <w:t xml:space="preserve">engage deeply in the learning process. An ideal learning atmosphere should have an appropriate level of competition alongside a cooperative environment </w:t>
      </w:r>
      <w:r w:rsidRPr="00BC081A">
        <w:fldChar w:fldCharType="begin" w:fldLock="1"/>
      </w:r>
      <w:r w:rsidR="00AC1F7D">
        <w:instrText>ADDIN CSL_CITATION { "citationItems" : [ { "id" : "ITEM-1", "itemData" : { "DOI" : "10.1037/0022-3514.86.6.849", "ISSN" : "0022-3514", "PMID" : "15149259", "abstract" : "The authors examined the effects of competition and cooperation on intrinsic motivation and performance in 4 studies. Across 3 behavioral studies that involved shooting a basketball, no differences were observed between competition and cooperation on task enjoyment or performance. However, the combination of competition and cooperation (intergroup competition) consistently led to higher levels of intrinsic motivation, and in 2 of the 3 studies, performance. In a questionnaire study, the authors replicated the positive effects of intergroup competition on enjoyment and examined process measures that might account for these effects. These findings suggest that competition and cooperation both have positive aspects and that structuring recreational activities to include both can facilitate high levels of both intrinsic motivation and performance.", "author" : [ { "dropping-particle" : "", "family" : "Tauer", "given" : "John M", "non-dropping-particle" : "", "parse-names" : false, "suffix" : "" }, { "dropping-particle" : "", "family" : "Harackiewicz", "given" : "Judith M", "non-dropping-particle" : "", "parse-names" : false, "suffix" : "" } ], "container-title" : "Journal of personality and social psychology", "id" : "ITEM-1", "issue" : "6", "issued" : { "date-parts" : [ [ "2004", "6" ] ] }, "page" : "849-61", "title" : "The effects of cooperation and competition on intrinsic motivation and performance.", "type" : "article-journal", "volume" : "86" }, "uris" : [ "http://www.mendeley.com/documents/?uuid=4bc29812-4b8b-4b3f-a8ca-bae3556421c6" ] } ], "mendeley" : { "previouslyFormattedCitation" : "(Tauer &amp; Harackiewicz, 2004)" }, "properties" : { "noteIndex" : 0 }, "schema" : "https://github.com/citation-style-language/schema/raw/master/csl-citation.json" }</w:instrText>
      </w:r>
      <w:r w:rsidRPr="00BC081A">
        <w:fldChar w:fldCharType="separate"/>
      </w:r>
      <w:r w:rsidR="00AC1F7D" w:rsidRPr="00AC1F7D">
        <w:rPr>
          <w:noProof/>
        </w:rPr>
        <w:t>(Tauer &amp; Harackiewicz, 2004)</w:t>
      </w:r>
      <w:r w:rsidRPr="00BC081A">
        <w:fldChar w:fldCharType="end"/>
      </w:r>
      <w:r w:rsidRPr="00BC081A">
        <w:t>.</w:t>
      </w:r>
    </w:p>
    <w:p w14:paraId="26AD8999" w14:textId="1305EA52" w:rsidR="009503F5" w:rsidRPr="00BC081A" w:rsidRDefault="009503F5" w:rsidP="009503F5">
      <w:r w:rsidRPr="00BC081A">
        <w:t>Competition</w:t>
      </w:r>
      <w:r w:rsidR="00B648E0" w:rsidRPr="00BC081A">
        <w:t>, “the desire to challenge and compete with others” (Yee, 2006, p</w:t>
      </w:r>
      <w:r w:rsidR="00FB49E8" w:rsidRPr="00BC081A">
        <w:t>. 773</w:t>
      </w:r>
      <w:r w:rsidR="00B648E0" w:rsidRPr="00BC081A">
        <w:t>),</w:t>
      </w:r>
      <w:r w:rsidR="00F846E5" w:rsidRPr="00BC081A">
        <w:t xml:space="preserve"> </w:t>
      </w:r>
      <w:r w:rsidRPr="00BC081A">
        <w:t xml:space="preserve">is an element that is shared among most existing games. Competition has been shown to be a major motivational factor for playing online video games </w:t>
      </w:r>
      <w:r w:rsidRPr="00BC081A">
        <w:rPr>
          <w:noProof/>
        </w:rPr>
        <w:fldChar w:fldCharType="begin" w:fldLock="1"/>
      </w:r>
      <w:r w:rsidR="00AC1F7D">
        <w:rPr>
          <w:noProof/>
        </w:rPr>
        <w:instrText>ADDIN CSL_CITATION { "citationItems" : [ { "id" : "ITEM-1", "itemData" : { "DOI" : "10.1089/cpb.2006.9.772", "ISSN" : "1094-9313", "PMID" : "17201605", "abstract" : "An empirical model of player motivations in online games provides the foundation to understand and assess how players differ from one another and how motivations of play relate to age, gender, usage patterns, and in-game behaviors. In the current study, a factor analytic approach was used to create an empirical model of player motivations. The analysis revealed 10 motivation subcomponents that grouped into three overarching components (achievement, social, and immersion). Relationships between motivations and demographic variables (age, gender, and usage patterns) are also presented.", "author" : [ { "dropping-particle" : "", "family" : "Yee", "given" : "Nick", "non-dropping-particle" : "", "parse-names" : false, "suffix" : "" } ], "container-title" : "Cyberpsychology &amp; behavior : the impact of the Internet, multimedia and virtual reality on behavior and society", "id" : "ITEM-1", "issue" : "6", "issued" : { "date-parts" : [ [ "2006", "12" ] ] }, "page" : "772-5", "title" : "Motivations for play in online games.", "type" : "article-journal", "volume" : "9" }, "uris" : [ "http://www.mendeley.com/documents/?uuid=b991bfd4-e630-412c-a2e0-05e4f914fc93" ] } ], "mendeley" : { "previouslyFormattedCitation" : "(Yee, 2006)" }, "properties" : { "noteIndex" : 0 }, "schema" : "https://github.com/citation-style-language/schema/raw/master/csl-citation.json" }</w:instrText>
      </w:r>
      <w:r w:rsidRPr="00BC081A">
        <w:rPr>
          <w:noProof/>
        </w:rPr>
        <w:fldChar w:fldCharType="separate"/>
      </w:r>
      <w:r w:rsidRPr="00BC081A">
        <w:rPr>
          <w:noProof/>
        </w:rPr>
        <w:t>(Yee, 2006)</w:t>
      </w:r>
      <w:r w:rsidRPr="00BC081A">
        <w:rPr>
          <w:noProof/>
        </w:rPr>
        <w:fldChar w:fldCharType="end"/>
      </w:r>
      <w:r w:rsidRPr="00BC081A">
        <w:t xml:space="preserve">. Reeves and Read </w:t>
      </w:r>
      <w:r w:rsidRPr="00BC081A">
        <w:fldChar w:fldCharType="begin" w:fldLock="1"/>
      </w:r>
      <w:r w:rsidR="00AC1F7D">
        <w:instrText>ADDIN CSL_CITATION { "citationItems" : [ { "id" : "ITEM-1", "itemData" : { "author" : [ { "dropping-particle" : "", "family" : "Reeves", "given" : "B", "non-dropping-particle" : "", "parse-names" : false, "suffix" : "" }, { "dropping-particle" : "", "family" : "Read", "given" : "J L", "non-dropping-particle" : "", "parse-names" : false, "suffix" : "" } ], "id" : "ITEM-1", "issued" : { "date-parts" : [ [ "2009" ] ] }, "publisher" : "Harvard Business School Press", "title" : "Total engagement: using games and virtual worlds to change the way people work and businesses compete", "type" : "book" }, "suppress-author" : 1, "uris" : [ "http://www.mendeley.com/documents/?uuid=ddd589d0-d8d1-4f17-9aae-0993e4a33d42" ] } ], "mendeley" : { "previouslyFormattedCitation" : "(2009)" }, "properties" : { "noteIndex" : 0 }, "schema" : "https://github.com/citation-style-language/schema/raw/master/csl-citation.json" }</w:instrText>
      </w:r>
      <w:r w:rsidRPr="00BC081A">
        <w:fldChar w:fldCharType="separate"/>
      </w:r>
      <w:r w:rsidRPr="00BC081A">
        <w:rPr>
          <w:noProof/>
        </w:rPr>
        <w:t>(2009)</w:t>
      </w:r>
      <w:r w:rsidRPr="00BC081A">
        <w:fldChar w:fldCharType="end"/>
      </w:r>
      <w:r w:rsidRPr="00BC081A">
        <w:t xml:space="preserve"> have identified 10 main elements that every great game entails, and among them is “competition under rules that are explicit and enforced” (p. 80), meaning that for competition to be valued by </w:t>
      </w:r>
      <w:proofErr w:type="spellStart"/>
      <w:r w:rsidR="00547B98">
        <w:t>gameplay</w:t>
      </w:r>
      <w:r w:rsidRPr="00BC081A">
        <w:t>ers</w:t>
      </w:r>
      <w:proofErr w:type="spellEnd"/>
      <w:r w:rsidRPr="00BC081A">
        <w:t xml:space="preserve">, it should be based on predefined rules that players could perceive and follow to see the result of their actions. Otherwise, if the results of a competitive game were random, players would not perceive the consequence of their actions and would not have any measure to improve their skills, which would discourage people from continuing to play. A game’s scoring system, which is a simple reward system, enables gamers and learners to compare their performance to their own previous scores and/or to compare </w:t>
      </w:r>
      <w:r w:rsidR="00584809">
        <w:t xml:space="preserve">it </w:t>
      </w:r>
      <w:r w:rsidRPr="00BC081A">
        <w:t xml:space="preserve">with their peers when the game is in a group, which creates competition </w:t>
      </w:r>
      <w:r w:rsidRPr="00BC081A">
        <w:rPr>
          <w:noProof/>
        </w:rPr>
        <w:fldChar w:fldCharType="begin" w:fldLock="1"/>
      </w:r>
      <w:r w:rsidR="00AC1F7D">
        <w:rPr>
          <w:noProof/>
        </w:rPr>
        <w:instrText>ADDIN CSL_CITATION { "citationItems" : [ { "id" : "ITEM-1", "itemData" : { "author" : [ { "dropping-particle" : "", "family" : "Kelle", "given" : "Sebastian", "non-dropping-particle" : "", "parse-names" : false, "suffix" : "" }, { "dropping-particle" : "", "family" : "Sigur\u00f0arson", "given" : "S.", "non-dropping-particle" : "", "parse-names" : false, "suffix" : "" }, { "dropping-particle" : "", "family" : "Westera", "given" : "Wim", "non-dropping-particle" : "", "parse-names" : false, "suffix" : "" }, { "dropping-particle" : "", "family" : "Specht", "given" : "Marcus", "non-dropping-particle" : "", "parse-names" : false, "suffix" : "" } ], "container-title" : "E-Infrastructures and Technologies for Lifelong Learning: Next Generation Environments", "id" : "ITEM-1", "issued" : { "date-parts" : [ [ "2010" ] ] }, "publisher" : "IGI Global", "title" : "Game-Based Life-Long Learning", "type" : "chapter" }, "uris" : [ "http://www.mendeley.com/documents/?uuid=8f436b7a-3c63-4862-bb2b-a0b1c93b41ab" ] } ], "mendeley" : { "previouslyFormattedCitation" : "(Kelle, Sigur\u00f0arson, Westera, &amp; Specht, 2010)" }, "properties" : { "noteIndex" : 0 }, "schema" : "https://github.com/citation-style-language/schema/raw/master/csl-citation.json" }</w:instrText>
      </w:r>
      <w:r w:rsidRPr="00BC081A">
        <w:rPr>
          <w:noProof/>
        </w:rPr>
        <w:fldChar w:fldCharType="separate"/>
      </w:r>
      <w:r w:rsidRPr="00BC081A">
        <w:rPr>
          <w:noProof/>
        </w:rPr>
        <w:t>(Kelle, Sigurðarson, Westera, &amp; Specht, 2010)</w:t>
      </w:r>
      <w:r w:rsidRPr="00BC081A">
        <w:rPr>
          <w:noProof/>
        </w:rPr>
        <w:fldChar w:fldCharType="end"/>
      </w:r>
      <w:r w:rsidRPr="00BC081A">
        <w:t xml:space="preserve">. In other words, “good learning in games is a capitalist-driven Darwinian process of selection of the fittest” </w:t>
      </w:r>
      <w:r w:rsidRPr="00BC081A">
        <w:rPr>
          <w:noProof/>
        </w:rPr>
        <w:fldChar w:fldCharType="begin" w:fldLock="1"/>
      </w:r>
      <w:r w:rsidR="00AC1F7D">
        <w:rPr>
          <w:noProof/>
        </w:rPr>
        <w:instrText>ADDIN CSL_CITATION { "citationItems" : [ { "id" : "ITEM-1", "itemData" : { "DOI" : "10.1145/950566.950595", "ISSN" : "15443574", "author" : [ { "dropping-particle" : "", "family" : "Gee", "given" : "James Paul", "non-dropping-particle" : "", "parse-names" : false, "suffix" : "" } ], "container-title" : "Computers in Entertainment", "id" : "ITEM-1", "issue" : "1", "issued" : { "date-parts" : [ [ "2003", "10", "1" ] ] }, "page" : "20", "title" : "What video games have to teach us about learning and literacy", "type" : "article-journal", "volume" : "1" }, "locator" : "1", "uris" : [ "http://www.mendeley.com/documents/?uuid=72675beb-3382-419d-9fd3-0b2b651a9c60" ] } ], "mendeley" : { "previouslyFormattedCitation" : "(Gee, 2003, p. 1)" }, "properties" : { "noteIndex" : 0 }, "schema" : "https://github.com/citation-style-language/schema/raw/master/csl-citation.json" }</w:instrText>
      </w:r>
      <w:r w:rsidRPr="00BC081A">
        <w:rPr>
          <w:noProof/>
        </w:rPr>
        <w:fldChar w:fldCharType="separate"/>
      </w:r>
      <w:r w:rsidR="00261C19" w:rsidRPr="00261C19">
        <w:rPr>
          <w:noProof/>
        </w:rPr>
        <w:t>(Gee, 2003, p. 1)</w:t>
      </w:r>
      <w:r w:rsidRPr="00BC081A">
        <w:rPr>
          <w:noProof/>
        </w:rPr>
        <w:fldChar w:fldCharType="end"/>
      </w:r>
      <w:r w:rsidRPr="00BC081A">
        <w:t xml:space="preserve">. This can also be seen in the perspectives of frequent gamers who believe that “competition is the law of nature” </w:t>
      </w:r>
      <w:r w:rsidRPr="00BC081A">
        <w:rPr>
          <w:noProof/>
        </w:rPr>
        <w:fldChar w:fldCharType="begin" w:fldLock="1"/>
      </w:r>
      <w:r w:rsidR="00AC1F7D">
        <w:rPr>
          <w:noProof/>
        </w:rPr>
        <w:instrText>ADDIN CSL_CITATION { "citationItems" : [ { "id" : "ITEM-1", "itemData" : { "author" : [ { "dropping-particle" : "", "family" : "Beck", "given" : "J C", "non-dropping-particle" : "", "parse-names" : false, "suffix" : "" }, { "dropping-particle" : "", "family" : "Wade", "given" : "M", "non-dropping-particle" : "", "parse-names" : false, "suffix" : "" } ], "id" : "ITEM-1", "issued" : { "date-parts" : [ [ "2006" ] ] }, "publisher" : "Harvard Business Press", "title" : "The kids are alright: How the gamer generation is changing the workplace", "type" : "book" }, "locator" : "81", "uris" : [ "http://www.mendeley.com/documents/?uuid=7f7bfc96-ffad-4483-8e7c-e4a9871a73af" ] } ], "mendeley" : { "previouslyFormattedCitation" : "(Beck &amp; Wade, 2006, p. 81)" }, "properties" : { "noteIndex" : 0 }, "schema" : "https://github.com/citation-style-language/schema/raw/master/csl-citation.json" }</w:instrText>
      </w:r>
      <w:r w:rsidRPr="00BC081A">
        <w:rPr>
          <w:noProof/>
        </w:rPr>
        <w:fldChar w:fldCharType="separate"/>
      </w:r>
      <w:r w:rsidRPr="00BC081A">
        <w:rPr>
          <w:noProof/>
        </w:rPr>
        <w:t>(Beck &amp; Wade, 2006, p. 81)</w:t>
      </w:r>
      <w:r w:rsidRPr="00BC081A">
        <w:rPr>
          <w:noProof/>
        </w:rPr>
        <w:fldChar w:fldCharType="end"/>
      </w:r>
      <w:r w:rsidRPr="00BC081A">
        <w:rPr>
          <w:noProof/>
        </w:rPr>
        <w:t xml:space="preserve"> </w:t>
      </w:r>
      <w:r w:rsidRPr="00BC081A">
        <w:t>more than non-frequent gamers.</w:t>
      </w:r>
    </w:p>
    <w:p w14:paraId="6A84756A" w14:textId="1122E84B" w:rsidR="009503F5" w:rsidRPr="00BC081A" w:rsidRDefault="009503F5" w:rsidP="009503F5">
      <w:r w:rsidRPr="00BC081A">
        <w:t xml:space="preserve">Recently, various disciplines—in particular operations management and information systems—have employed and studied video games for different purposes, including education </w:t>
      </w:r>
      <w:r w:rsidRPr="00BC081A">
        <w:fldChar w:fldCharType="begin" w:fldLock="1"/>
      </w:r>
      <w:r w:rsidR="00AC1F7D">
        <w:instrText>ADDIN CSL_CITATION { "citationItems" : [ { "id" : "ITEM-1", "itemData" : { "DOI" : "10.1016/j.dss.2012.03.006", "ISSN" : "01679236", "author" : [ { "dropping-particle" : "", "family" : "Zee", "given" : "Durk-Jouke", "non-dropping-particle" : "van der", "parse-names" : false, "suffix" : "" }, { "dropping-particle" : "", "family" : "Holkenborg", "given" : "Bart", "non-dropping-particle" : "", "parse-names" : false, "suffix" : "" }, { "dropping-particle" : "", "family" : "Robinson", "given" : "Stewart", "non-dropping-particle" : "", "parse-names" : false, "suffix" : "" } ], "container-title" : "Decision Support Systems", "id" : "ITEM-1", "issued" : { "date-parts" : [ [ "2012", "3" ] ] }, "publisher" : "Elsevier B.V.", "title" : "Conceptual modeling for simulation-based serious gaming", "type" : "article-journal" }, "uris" : [ "http://www.mendeley.com/documents/?uuid=f0f61974-4d8d-45bf-92a0-2d47c89c34bd" ] } ], "mendeley" : { "previouslyFormattedCitation" : "(van der Zee, Holkenborg, &amp; Robinson, 2012)" }, "properties" : { "noteIndex" : 0 }, "schema" : "https://github.com/citation-style-language/schema/raw/master/csl-citation.json" }</w:instrText>
      </w:r>
      <w:r w:rsidRPr="00BC081A">
        <w:fldChar w:fldCharType="separate"/>
      </w:r>
      <w:r w:rsidRPr="00BC081A">
        <w:rPr>
          <w:noProof/>
        </w:rPr>
        <w:t>(van der Zee, Holkenborg, &amp; Robinson, 2012)</w:t>
      </w:r>
      <w:r w:rsidRPr="00BC081A">
        <w:fldChar w:fldCharType="end"/>
      </w:r>
      <w:r w:rsidRPr="00BC081A">
        <w:t xml:space="preserve">. For example, some scholars have studied the motivational factors behind playing video games </w:t>
      </w:r>
      <w:r w:rsidRPr="00BC081A">
        <w:rPr>
          <w:noProof/>
        </w:rPr>
        <w:fldChar w:fldCharType="begin" w:fldLock="1"/>
      </w:r>
      <w:r w:rsidR="00AC1F7D">
        <w:rPr>
          <w:noProof/>
        </w:rPr>
        <w:instrText>ADDIN CSL_CITATION { "citationItems" : [ { "id" : "ITEM-1", "itemData" : { "DOI" : "10.1016/j.chb.2008.01.001", "ISSN" : "07475632", "author" : [ { "dropping-particle" : "", "family" : "Chang", "given" : "H", "non-dropping-particle" : "", "parse-names" : false, "suffix" : "" }, { "dropping-particle" : "", "family" : "Wang", "given" : "I", "non-dropping-particle" : "", "parse-names" : false, "suffix" : "" } ], "container-title" : "Computers in Human Behavior", "id" : "ITEM-1", "issue" : "5", "issued" : { "date-parts" : [ [ "2008", "9" ] ] }, "page" : "2336-2356", "title" : "An investigation of user communication behavior in computer mediated environments", "type" : "article-journal", "volume" : "24" }, "uris" : [ "http://www.mendeley.com/documents/?uuid=852c14c5-2381-4674-83a7-30f8b9c0452c" ] }, { "id" : "ITEM-2", "itemData" : { "author" : [ { "dropping-particle" : "", "family" : "Wu", "given" : "J.H.", "non-dropping-particle" : "", "parse-names" : false, "suffix" : "" }, { "dropping-particle" : "", "family" : "Wang", "given" : "S.C.", "non-dropping-particle" : "", "parse-names" : false, "suffix" : "" }, { "dropping-particle" : "", "family" : "Tsai", "given" : "H.H.", "non-dropping-particle" : "", "parse-names" : false, "suffix" : "" } ], "container-title" : "AMERICAS CONFERENCE ON INFORMATION SYSTEMS (AMCIS)", "id" : "ITEM-2", "issued" : { "date-parts" : [ [ "2009" ] ] }, "title" : "Why Do Players Stick to a Specific Online Game? The Users and Gratifications Perspective", "type" : "paper-conference" }, "uris" : [ "http://www.mendeley.com/documents/?uuid=11fdbb77-443c-4c0f-a13f-c11891a3f933" ] } ], "mendeley" : { "previouslyFormattedCitation" : "(H. Chang &amp; Wang, 2008; Wu, Wang, &amp; Tsai, 2009)" }, "properties" : { "noteIndex" : 0 }, "schema" : "https://github.com/citation-style-language/schema/raw/master/csl-citation.json" }</w:instrText>
      </w:r>
      <w:r w:rsidRPr="00BC081A">
        <w:rPr>
          <w:noProof/>
        </w:rPr>
        <w:fldChar w:fldCharType="separate"/>
      </w:r>
      <w:r w:rsidR="00FC3905" w:rsidRPr="00BC081A">
        <w:rPr>
          <w:noProof/>
        </w:rPr>
        <w:t>(H. Chang &amp; Wang, 2008; Wu, Wang, &amp; Tsai, 2009)</w:t>
      </w:r>
      <w:r w:rsidRPr="00BC081A">
        <w:rPr>
          <w:noProof/>
        </w:rPr>
        <w:fldChar w:fldCharType="end"/>
      </w:r>
      <w:r w:rsidRPr="00BC081A">
        <w:t xml:space="preserve">, and some have used simulation games for learning </w:t>
      </w:r>
      <w:r w:rsidRPr="00BC081A">
        <w:rPr>
          <w:noProof/>
        </w:rPr>
        <w:t>(Lewis and Maylor 2007, Léger 2006)</w:t>
      </w:r>
      <w:r w:rsidRPr="00BC081A">
        <w:t xml:space="preserve">. However, a review of extant literature shows that previous research studies have not rigorously </w:t>
      </w:r>
      <w:r w:rsidRPr="00BC081A">
        <w:lastRenderedPageBreak/>
        <w:t>examined the sense of competitiveness as a motivational factor. In particular, what engenders this sense of competitiveness in a gaming environment, and what is the outcome of this perception?</w:t>
      </w:r>
      <w:r w:rsidR="00104871" w:rsidRPr="00BC081A">
        <w:t xml:space="preserve"> </w:t>
      </w:r>
      <w:r w:rsidR="00313EA3">
        <w:t>P</w:t>
      </w:r>
      <w:r w:rsidR="00815840" w:rsidRPr="00BC081A">
        <w:t xml:space="preserve">revious studies </w:t>
      </w:r>
      <w:r w:rsidR="00992211" w:rsidRPr="00BC081A">
        <w:t xml:space="preserve">on video games have mainly focused on either the game design aspects or the psychosocial antecedents of Flow in video gameplay. </w:t>
      </w:r>
      <w:r w:rsidR="00C71BCF" w:rsidRPr="00BC081A">
        <w:rPr>
          <w:rFonts w:ascii="Times New Roman" w:eastAsia="Times New Roman" w:hAnsi="Times New Roman" w:cs="Times New Roman"/>
          <w:color w:val="000000"/>
        </w:rPr>
        <w:t xml:space="preserve">Flow is a state of optimal experience where one is completely absorbed and immersed in an activity. Flow is an important phenomenon for studying and designing games due to its strength in explaining the state of deep engagement of </w:t>
      </w:r>
      <w:proofErr w:type="spellStart"/>
      <w:r w:rsidR="00547B98">
        <w:rPr>
          <w:rFonts w:ascii="Times New Roman" w:eastAsia="Times New Roman" w:hAnsi="Times New Roman" w:cs="Times New Roman"/>
          <w:color w:val="000000"/>
        </w:rPr>
        <w:t>gameplay</w:t>
      </w:r>
      <w:r w:rsidR="00C71BCF" w:rsidRPr="00BC081A">
        <w:rPr>
          <w:rFonts w:ascii="Times New Roman" w:eastAsia="Times New Roman" w:hAnsi="Times New Roman" w:cs="Times New Roman"/>
          <w:color w:val="000000"/>
        </w:rPr>
        <w:t>ers</w:t>
      </w:r>
      <w:proofErr w:type="spellEnd"/>
      <w:r w:rsidR="00C71BCF" w:rsidRPr="00BC081A">
        <w:rPr>
          <w:rFonts w:ascii="Times New Roman" w:eastAsia="Times New Roman" w:hAnsi="Times New Roman" w:cs="Times New Roman"/>
          <w:color w:val="000000"/>
        </w:rPr>
        <w:t xml:space="preserve">. </w:t>
      </w:r>
      <w:r w:rsidR="0093446E" w:rsidRPr="00BC081A">
        <w:t xml:space="preserve">Based on the literature review discussed in the next chapter, it can be concluded that there is a gap in existing research in understanding the relationship between competition and Flow of video </w:t>
      </w:r>
      <w:proofErr w:type="spellStart"/>
      <w:r w:rsidR="00547B98">
        <w:t>gameplay</w:t>
      </w:r>
      <w:r w:rsidR="0093446E" w:rsidRPr="00BC081A">
        <w:t>ers</w:t>
      </w:r>
      <w:proofErr w:type="spellEnd"/>
      <w:r w:rsidR="0093446E" w:rsidRPr="00BC081A">
        <w:t>.</w:t>
      </w:r>
    </w:p>
    <w:p w14:paraId="70869F58" w14:textId="4854628E" w:rsidR="00B071F1" w:rsidRPr="00BC081A" w:rsidRDefault="0093446E" w:rsidP="009503F5">
      <w:r w:rsidRPr="00BC081A">
        <w:t>In sum</w:t>
      </w:r>
      <w:r w:rsidR="009503F5" w:rsidRPr="00BC081A">
        <w:t>, this research seeks to examine the concept of competition in video games in order to understand how competition can be used to engage</w:t>
      </w:r>
      <w:r w:rsidR="00A11E15">
        <w:t xml:space="preserve"> and satisfy</w:t>
      </w:r>
      <w:r w:rsidR="009503F5" w:rsidRPr="00BC081A">
        <w:t xml:space="preserve"> students, the psychological state that is greatly desirable for learning</w:t>
      </w:r>
      <w:r w:rsidR="009503F5" w:rsidRPr="00BC081A">
        <w:rPr>
          <w:rStyle w:val="FootnoteReference"/>
        </w:rPr>
        <w:footnoteReference w:id="3"/>
      </w:r>
      <w:r w:rsidR="00B071F1" w:rsidRPr="00BC081A">
        <w:t>. Specifically, t</w:t>
      </w:r>
      <w:r w:rsidR="009503F5" w:rsidRPr="00BC081A">
        <w:t xml:space="preserve">he objectives of this research are: </w:t>
      </w:r>
    </w:p>
    <w:p w14:paraId="229B64B3" w14:textId="03A9565C" w:rsidR="00B071F1" w:rsidRPr="00BC081A" w:rsidRDefault="00B071F1" w:rsidP="00B87D53">
      <w:pPr>
        <w:pStyle w:val="ListParagraph"/>
      </w:pPr>
      <w:r w:rsidRPr="00BC081A">
        <w:t>T</w:t>
      </w:r>
      <w:r w:rsidR="009503F5" w:rsidRPr="00BC081A">
        <w:t xml:space="preserve">o investigate how </w:t>
      </w:r>
      <w:r w:rsidR="005624B9" w:rsidRPr="00BC081A">
        <w:t>situational</w:t>
      </w:r>
      <w:r w:rsidR="009503F5" w:rsidRPr="00BC081A">
        <w:t xml:space="preserve"> competitiveness of video games </w:t>
      </w:r>
      <w:r w:rsidR="006B27F0" w:rsidRPr="00BC081A">
        <w:t xml:space="preserve">impacts antecedents to </w:t>
      </w:r>
      <w:r w:rsidR="004020C8">
        <w:t>f</w:t>
      </w:r>
      <w:r w:rsidR="004020C8" w:rsidRPr="00BC081A">
        <w:t>low</w:t>
      </w:r>
      <w:r w:rsidR="004020C8">
        <w:t xml:space="preserve"> </w:t>
      </w:r>
      <w:r w:rsidR="00A11E15">
        <w:t>and satisfaction</w:t>
      </w:r>
      <w:r w:rsidR="009503F5" w:rsidRPr="00BC081A">
        <w:t xml:space="preserve">; </w:t>
      </w:r>
    </w:p>
    <w:p w14:paraId="64A8D99D" w14:textId="03E3D3F9" w:rsidR="00B071F1" w:rsidRPr="00BC081A" w:rsidRDefault="00B071F1" w:rsidP="00B87D53">
      <w:pPr>
        <w:pStyle w:val="ListParagraph"/>
      </w:pPr>
      <w:r w:rsidRPr="00BC081A">
        <w:t>T</w:t>
      </w:r>
      <w:r w:rsidR="009503F5" w:rsidRPr="00BC081A">
        <w:t>o study how different modes of competition affect players’ perception</w:t>
      </w:r>
      <w:r w:rsidR="004020C8">
        <w:t>s</w:t>
      </w:r>
      <w:r w:rsidR="009503F5" w:rsidRPr="00BC081A">
        <w:t xml:space="preserve"> of competitiveness and social presence in video games; and </w:t>
      </w:r>
    </w:p>
    <w:p w14:paraId="75B58D3C" w14:textId="7F63782F" w:rsidR="009503F5" w:rsidRPr="00BC081A" w:rsidRDefault="00B071F1" w:rsidP="00B87D53">
      <w:pPr>
        <w:pStyle w:val="ListParagraph"/>
      </w:pPr>
      <w:r w:rsidRPr="00BC081A">
        <w:t>T</w:t>
      </w:r>
      <w:r w:rsidR="009503F5" w:rsidRPr="00BC081A">
        <w:t xml:space="preserve">o explore the effect of the personality traits of </w:t>
      </w:r>
      <w:proofErr w:type="spellStart"/>
      <w:r w:rsidR="00547B98">
        <w:t>gameplay</w:t>
      </w:r>
      <w:r w:rsidR="009503F5" w:rsidRPr="00BC081A">
        <w:t>ers</w:t>
      </w:r>
      <w:proofErr w:type="spellEnd"/>
      <w:r w:rsidR="009503F5" w:rsidRPr="00BC081A">
        <w:t xml:space="preserve"> on their perception of competitiveness of video games. </w:t>
      </w:r>
    </w:p>
    <w:p w14:paraId="50F82B9C" w14:textId="77777777" w:rsidR="009503F5" w:rsidRPr="00BC081A" w:rsidRDefault="009503F5" w:rsidP="009503F5">
      <w:pPr>
        <w:pStyle w:val="Heading2"/>
      </w:pPr>
      <w:bookmarkStart w:id="24" w:name="_Toc275209811"/>
      <w:r w:rsidRPr="00BC081A">
        <w:t>Research Outline</w:t>
      </w:r>
      <w:bookmarkEnd w:id="24"/>
    </w:p>
    <w:p w14:paraId="5BADE067" w14:textId="77777777" w:rsidR="009503F5" w:rsidRPr="00BC081A" w:rsidRDefault="009503F5" w:rsidP="009503F5">
      <w:r w:rsidRPr="00BC081A">
        <w:t>The next chapters of this dissertation are organized as follow:</w:t>
      </w:r>
    </w:p>
    <w:p w14:paraId="23F519AC" w14:textId="1262B176" w:rsidR="009503F5" w:rsidRPr="00BC081A" w:rsidRDefault="009503F5" w:rsidP="009503F5">
      <w:r w:rsidRPr="00BC081A">
        <w:lastRenderedPageBreak/>
        <w:t>Chapter 2 provides a more detailed literature review on games</w:t>
      </w:r>
      <w:r w:rsidR="00BE23D3" w:rsidRPr="00BC081A">
        <w:t xml:space="preserve"> and their various modes.</w:t>
      </w:r>
      <w:r w:rsidRPr="00BC081A">
        <w:t xml:space="preserve"> Chapter 3 includes the theoretical framework and research model development. The foundational theories, Flow Theory and Self-Determination Theory, which are used </w:t>
      </w:r>
      <w:r w:rsidR="00AA10A8" w:rsidRPr="00BC081A">
        <w:t>to support</w:t>
      </w:r>
      <w:r w:rsidRPr="00BC081A">
        <w:t xml:space="preserve"> the proposed research model of Competitive Video Gameplay, </w:t>
      </w:r>
      <w:r w:rsidR="00AA10A8" w:rsidRPr="00BC081A">
        <w:t>are explained in detail.</w:t>
      </w:r>
      <w:r w:rsidRPr="00BC081A">
        <w:t xml:space="preserve"> </w:t>
      </w:r>
      <w:r w:rsidR="00AA10A8" w:rsidRPr="00BC081A">
        <w:t xml:space="preserve">This leads to the development of </w:t>
      </w:r>
      <w:r w:rsidR="004020C8">
        <w:t>a</w:t>
      </w:r>
      <w:r w:rsidR="004020C8" w:rsidRPr="00BC081A">
        <w:t xml:space="preserve"> </w:t>
      </w:r>
      <w:r w:rsidR="00AA10A8" w:rsidRPr="00BC081A">
        <w:t xml:space="preserve">research model and support for its </w:t>
      </w:r>
      <w:r w:rsidRPr="00BC081A">
        <w:t xml:space="preserve">hypothesized relationships </w:t>
      </w:r>
    </w:p>
    <w:p w14:paraId="0CE6A5D1" w14:textId="3535C60D" w:rsidR="009503F5" w:rsidRPr="00BC081A" w:rsidRDefault="009503F5" w:rsidP="009503F5">
      <w:r w:rsidRPr="00BC081A">
        <w:t xml:space="preserve">Chapter 4 </w:t>
      </w:r>
      <w:r w:rsidR="00377D3D" w:rsidRPr="00BC081A">
        <w:t>outlines</w:t>
      </w:r>
      <w:r w:rsidRPr="00BC081A">
        <w:t xml:space="preserve"> the research methodology that </w:t>
      </w:r>
      <w:r w:rsidR="00377D3D" w:rsidRPr="00BC081A">
        <w:t xml:space="preserve">is utilized </w:t>
      </w:r>
      <w:r w:rsidRPr="00BC081A">
        <w:t xml:space="preserve">for testing the proposed research model of Competitive Video Gameplay. </w:t>
      </w:r>
    </w:p>
    <w:p w14:paraId="0773FD99" w14:textId="299FF4F7" w:rsidR="009503F5" w:rsidRPr="00BC081A" w:rsidRDefault="009503F5" w:rsidP="009503F5">
      <w:r w:rsidRPr="00BC081A">
        <w:t xml:space="preserve">Chapter 5 describes the results of the analysis for both studies. </w:t>
      </w:r>
      <w:r w:rsidR="00377D3D" w:rsidRPr="00BC081A">
        <w:t>T</w:t>
      </w:r>
      <w:r w:rsidRPr="00BC081A">
        <w:t xml:space="preserve">he proposed model of Competitive Video Gameplay </w:t>
      </w:r>
      <w:r w:rsidR="00377D3D" w:rsidRPr="00BC081A">
        <w:t xml:space="preserve">is </w:t>
      </w:r>
      <w:r w:rsidRPr="00BC081A">
        <w:t>validated</w:t>
      </w:r>
      <w:r w:rsidR="00377D3D" w:rsidRPr="00BC081A">
        <w:t xml:space="preserve"> and </w:t>
      </w:r>
      <w:r w:rsidRPr="00BC081A">
        <w:t xml:space="preserve">post-hoc analyses </w:t>
      </w:r>
      <w:r w:rsidR="00377D3D" w:rsidRPr="00BC081A">
        <w:t>are presented to provide further insights into the results.</w:t>
      </w:r>
    </w:p>
    <w:p w14:paraId="07D492AE" w14:textId="6F3EAB85" w:rsidR="009503F5" w:rsidRPr="00BC081A" w:rsidRDefault="009503F5" w:rsidP="009503F5">
      <w:r w:rsidRPr="00BC081A">
        <w:t xml:space="preserve">Lastly, the discussion, conclusion, and limitations of </w:t>
      </w:r>
      <w:r w:rsidR="004020C8">
        <w:t>this research</w:t>
      </w:r>
      <w:r w:rsidRPr="00BC081A">
        <w:t xml:space="preserve"> </w:t>
      </w:r>
      <w:r w:rsidR="00975C2B" w:rsidRPr="00BC081A">
        <w:t>are</w:t>
      </w:r>
      <w:r w:rsidRPr="00BC081A">
        <w:t xml:space="preserve"> provided in Chapter 6. </w:t>
      </w:r>
      <w:r w:rsidR="00975C2B" w:rsidRPr="00BC081A">
        <w:t>C</w:t>
      </w:r>
      <w:r w:rsidRPr="00BC081A">
        <w:t xml:space="preserve">ontributions of this research to theory and practice </w:t>
      </w:r>
      <w:r w:rsidR="00975C2B" w:rsidRPr="00BC081A">
        <w:t xml:space="preserve">as well as suggestions for </w:t>
      </w:r>
      <w:r w:rsidRPr="00BC081A">
        <w:t xml:space="preserve">future research </w:t>
      </w:r>
      <w:r w:rsidR="00975C2B" w:rsidRPr="00BC081A">
        <w:t xml:space="preserve">are </w:t>
      </w:r>
      <w:r w:rsidR="004020C8">
        <w:t xml:space="preserve">also </w:t>
      </w:r>
      <w:r w:rsidR="00975C2B" w:rsidRPr="00BC081A">
        <w:t>presented</w:t>
      </w:r>
      <w:r w:rsidRPr="00BC081A">
        <w:t xml:space="preserve">. </w:t>
      </w:r>
    </w:p>
    <w:p w14:paraId="010BC441" w14:textId="77777777" w:rsidR="009503F5" w:rsidRPr="00BC081A" w:rsidRDefault="009503F5" w:rsidP="009503F5">
      <w:pPr>
        <w:spacing w:line="240" w:lineRule="auto"/>
        <w:ind w:firstLine="0"/>
      </w:pPr>
      <w:r w:rsidRPr="00BC081A">
        <w:br w:type="page"/>
      </w:r>
    </w:p>
    <w:p w14:paraId="3B749714" w14:textId="2189E251" w:rsidR="009503F5" w:rsidRPr="00BC081A" w:rsidRDefault="00B9576C" w:rsidP="009503F5">
      <w:pPr>
        <w:pStyle w:val="Heading1"/>
      </w:pPr>
      <w:bookmarkStart w:id="25" w:name="_Toc275209812"/>
      <w:r w:rsidRPr="00BC081A">
        <w:lastRenderedPageBreak/>
        <w:t>Literature Review</w:t>
      </w:r>
      <w:bookmarkEnd w:id="25"/>
    </w:p>
    <w:p w14:paraId="2FF135F2" w14:textId="5713DEAC" w:rsidR="00207754" w:rsidRPr="00BC081A" w:rsidRDefault="00B73E36" w:rsidP="00207754">
      <w:r w:rsidRPr="00BC081A">
        <w:t xml:space="preserve">This chapter </w:t>
      </w:r>
      <w:r w:rsidR="00313EA3">
        <w:t>first examines various types of video games and their impacts on today’s society.</w:t>
      </w:r>
      <w:r w:rsidRPr="00BC081A">
        <w:t xml:space="preserve"> Next, </w:t>
      </w:r>
      <w:r w:rsidR="00822B70" w:rsidRPr="00BC081A">
        <w:t>an overarching review of extant research on video game experience</w:t>
      </w:r>
      <w:r w:rsidR="00313EA3">
        <w:t>s</w:t>
      </w:r>
      <w:r w:rsidR="00822B70" w:rsidRPr="00BC081A">
        <w:t xml:space="preserve"> is provided in order to illustrate the gap in literature, which this research aims to address.</w:t>
      </w:r>
    </w:p>
    <w:p w14:paraId="422946F1" w14:textId="449362B1" w:rsidR="00B9576C" w:rsidRPr="00BC081A" w:rsidRDefault="00B9576C" w:rsidP="00B9576C">
      <w:pPr>
        <w:pStyle w:val="Heading2"/>
      </w:pPr>
      <w:bookmarkStart w:id="26" w:name="_Toc275209813"/>
      <w:r w:rsidRPr="00BC081A">
        <w:t>Video Games</w:t>
      </w:r>
      <w:bookmarkEnd w:id="26"/>
    </w:p>
    <w:p w14:paraId="02D4AD37" w14:textId="78BA4DD8" w:rsidR="009503F5" w:rsidRPr="00BC081A" w:rsidRDefault="009503F5" w:rsidP="009503F5">
      <w:r w:rsidRPr="00BC081A">
        <w:t xml:space="preserve">Having outlined the significance of video games in the lifestyle of Millennials and its potential impact for educators and employers, it is necessary to frame the general categories of video games that are related to the workplace and educational environments. In this </w:t>
      </w:r>
      <w:r w:rsidR="00207754" w:rsidRPr="00BC081A">
        <w:t>section</w:t>
      </w:r>
      <w:r w:rsidRPr="00BC081A">
        <w:t>, an overview of the main categories of video games that have educational and motivational role</w:t>
      </w:r>
      <w:r w:rsidR="00207754" w:rsidRPr="00BC081A">
        <w:t>s</w:t>
      </w:r>
      <w:r w:rsidRPr="00BC081A">
        <w:t xml:space="preserve"> for schools and work environments will be presented. </w:t>
      </w:r>
      <w:r w:rsidR="00231FB9" w:rsidRPr="00BC081A">
        <w:t xml:space="preserve">These types of games are referred to as </w:t>
      </w:r>
      <w:r w:rsidRPr="00BC081A">
        <w:t xml:space="preserve">Serious Games, Educational Games, </w:t>
      </w:r>
      <w:r w:rsidR="00231FB9" w:rsidRPr="00BC081A">
        <w:t>or Gamification</w:t>
      </w:r>
      <w:r w:rsidRPr="00BC081A">
        <w:t xml:space="preserve">. As mentioned in the previous chapter, some individuals spend a significant amount of time every week playing video games. This might raise the concern of negative effects of video games on students and employees performance. </w:t>
      </w:r>
      <w:r w:rsidR="00334A50">
        <w:t>Thus, b</w:t>
      </w:r>
      <w:r w:rsidR="00334A50" w:rsidRPr="00BC081A">
        <w:t xml:space="preserve">efore </w:t>
      </w:r>
      <w:r w:rsidRPr="00BC081A">
        <w:t>starting the</w:t>
      </w:r>
      <w:r w:rsidR="00261C19">
        <w:t xml:space="preserve"> </w:t>
      </w:r>
      <w:r w:rsidR="00334A50">
        <w:t>discussion</w:t>
      </w:r>
      <w:r w:rsidRPr="00BC081A">
        <w:t xml:space="preserve"> on the use of video game</w:t>
      </w:r>
      <w:r w:rsidR="00231FB9" w:rsidRPr="00BC081A">
        <w:t>s to gain positive outcomes, it is important to ask</w:t>
      </w:r>
      <w:r w:rsidRPr="00BC081A">
        <w:t xml:space="preserve">: Does the highly engaging aspect of video games make them addictive and result in problematic behaviour? </w:t>
      </w:r>
    </w:p>
    <w:p w14:paraId="3405D8D8" w14:textId="60370884" w:rsidR="009503F5" w:rsidRPr="00BC081A" w:rsidRDefault="009503F5" w:rsidP="009503F5">
      <w:r w:rsidRPr="00BC081A">
        <w:t xml:space="preserve">The fact that people spend a considerable amount of time playing video games does not indicate that it will have a negative effect on their lives. In fact, time spent playing video games does not have a direct correlation with addiction to video games or poor scholastic performance </w:t>
      </w:r>
      <w:r w:rsidRPr="00BC081A">
        <w:fldChar w:fldCharType="begin" w:fldLock="1"/>
      </w:r>
      <w:r w:rsidR="00AC1F7D">
        <w:instrText>ADDIN CSL_CITATION { "citationItems" : [ { "id" : "ITEM-1", "itemData" : { "DOI" : "10.1089/cpb.2009.0079", "ISSN" : "1557-8364", "PMID" : "19624263", "abstract" : "The aim of this study is to assess the relationship between video gaming habits and elementary school students' academic performance. More specifically, we seek to examine the usefulness of a distinction between addiction and high engagement and assess the predictive validity of these concepts in the context of scholastic achievement. Three hundred thirty-three children ages 8 to 12 years from two primary schools in Singapore were selected to participate in this study. A survey utilizing Danforth's Engagement-Addiction (II) scale and questions from DSM-IV was used to collect information from the schoolchildren, while their grades were obtained directly from their teachers. The findings indicate that addiction tendencies are consistently negatively related to scholastic performance, while no such relationship is found for either time spent playing games or for video game engagement. The implications of these findings are discussed.", "author" : [ { "dropping-particle" : "", "family" : "Skoric", "given" : "Marko M", "non-dropping-particle" : "", "parse-names" : false, "suffix" : "" }, { "dropping-particle" : "", "family" : "Teo", "given" : "Linda Lay Ching", "non-dropping-particle" : "", "parse-names" : false, "suffix" : "" }, { "dropping-particle" : "", "family" : "Neo", "given" : "Rachel Lijie", "non-dropping-particle" : "", "parse-names" : false, "suffix" : "" } ], "container-title" : "Cyberpsychology &amp; behavior : the impact of the Internet, multimedia and virtual reality on behavior and society", "id" : "ITEM-1", "issue" : "5", "issued" : { "date-parts" : [ [ "2009", "10" ] ] }, "page" : "567-72", "title" : "Children and video games: addiction, engagement, and scholastic achievement.", "type" : "article-journal", "volume" : "12" }, "uris" : [ "http://www.mendeley.com/documents/?uuid=1d263250-1c90-4d1f-8220-2728e48ab8f8" ] } ], "mendeley" : { "previouslyFormattedCitation" : "(Skoric, Teo, &amp; Neo, 2009)" }, "properties" : { "noteIndex" : 0 }, "schema" : "https://github.com/citation-style-language/schema/raw/master/csl-citation.json" }</w:instrText>
      </w:r>
      <w:r w:rsidRPr="00BC081A">
        <w:fldChar w:fldCharType="separate"/>
      </w:r>
      <w:r w:rsidRPr="00BC081A">
        <w:rPr>
          <w:noProof/>
        </w:rPr>
        <w:t>(Skoric, Teo, &amp; Neo, 2009)</w:t>
      </w:r>
      <w:r w:rsidRPr="00BC081A">
        <w:fldChar w:fldCharType="end"/>
      </w:r>
      <w:r w:rsidRPr="00BC081A">
        <w:t xml:space="preserve">. In contrast, time loss associated with playing video games can have positive outcomes such as relaxation and escaping from reality </w:t>
      </w:r>
      <w:r w:rsidRPr="00BC081A">
        <w:fldChar w:fldCharType="begin" w:fldLock="1"/>
      </w:r>
      <w:r w:rsidR="00AC1F7D">
        <w:instrText>ADDIN CSL_CITATION { "citationItems" : [ { "id" : "ITEM-1", "itemData" : { "DOI" : "10.1089/cpb.2006.9994", "ISSN" : "1094-9313", "PMID" : "17305447", "abstract" : "Playing videogames is now a major leisure pursuit, yet research in the area is comparatively sparse. Previous correlational evidence suggests that subjective time loss occurs during playing videogames. This study examined experiences of time loss among a relatively large group of gamers (n = 280). Quantitative and qualitative data were collected through an online survey. Results showed that time loss occurred irrespective of gender, age, or frequency of play, but was associated with particular structural characteristics of games such as their complexity, the presence of multi-levels, missions and/or high scores, multiplayer interactions, and plot. Results also demonstrated that time loss could have both positive and negative outcomes for players. Positive aspects of time loss included helping players to relax and temporarily escape from reality. Negative aspects included the sacrificing of other things in their lives, guilty feelings about wasted time, and social conflict. It is concluded that for many gamers, losing track of time is a positive experience and is one of the main reasons for playing videogames.", "author" : [ { "dropping-particle" : "", "family" : "Wood", "given" : "Richard T a", "non-dropping-particle" : "", "parse-names" : false, "suffix" : "" }, { "dropping-particle" : "", "family" : "Griffiths", "given" : "Mark D", "non-dropping-particle" : "", "parse-names" : false, "suffix" : "" }, { "dropping-particle" : "", "family" : "Parke", "given" : "Adrian", "non-dropping-particle" : "", "parse-names" : false, "suffix" : "" } ], "container-title" : "Cyberpsychology &amp; behavior : the impact of the Internet, multimedia and virtual reality on behavior and society", "id" : "ITEM-1", "issue" : "1", "issued" : { "date-parts" : [ [ "2007", "2" ] ] }, "page" : "38-44", "title" : "Experiences of time loss among videogame players: an empirical study.", "type" : "article-journal", "volume" : "10" }, "uris" : [ "http://www.mendeley.com/documents/?uuid=c1a73e6d-30b2-4e11-816d-ee1c61c73456" ] } ], "mendeley" : { "previouslyFormattedCitation" : "(Wood et al., 2007)" }, "properties" : { "noteIndex" : 0 }, "schema" : "https://github.com/citation-style-language/schema/raw/master/csl-citation.json" }</w:instrText>
      </w:r>
      <w:r w:rsidRPr="00BC081A">
        <w:fldChar w:fldCharType="separate"/>
      </w:r>
      <w:r w:rsidRPr="00BC081A">
        <w:rPr>
          <w:noProof/>
        </w:rPr>
        <w:t>(Wood et al., 2007)</w:t>
      </w:r>
      <w:r w:rsidRPr="00BC081A">
        <w:fldChar w:fldCharType="end"/>
      </w:r>
      <w:r w:rsidRPr="00BC081A">
        <w:t xml:space="preserve">. Some scholars advocate the use of video games in educational and work-related environments to take advantage of their highly engaging characteristics </w:t>
      </w:r>
      <w:r w:rsidRPr="00BC081A">
        <w:fldChar w:fldCharType="begin" w:fldLock="1"/>
      </w:r>
      <w:r w:rsidR="00AC1F7D">
        <w:instrText>ADDIN CSL_CITATION { "citationItems" : [ { "id" : "ITEM-1", "itemData" : { "author" : [ { "dropping-particle" : "", "family" : "McGonigal", "given" : "J", "non-dropping-particle" : "", "parse-names" : false, "suffix" : "" } ], "id" : "ITEM-1", "issued" : { "date-parts" : [ [ "2011" ] ] }, "publisher" : "Penguin Pr", "title" : "Reality is broken: Why games make us better and how they can change the world", "type" : "book" }, "uris" : [ "http://www.mendeley.com/documents/?uuid=0cb0f2fc-c482-43ae-a083-19c4c82d7f94" ] }, { "id" : "ITEM-2", "itemData" : { "DOI" : "10.1016/j.compedu.2011.04.012", "ISSN" : "03601315", "author" : [ { "dropping-particle" : "", "family" : "S\u00e1nchez", "given" : "Jaime", "non-dropping-particle" : "", "parse-names" : false, "suffix" : "" }, { "dropping-particle" : "", "family" : "Olivares", "given" : "Ruby", "non-dropping-particle" : "", "parse-names" : false, "suffix" : "" } ], "container-title" : "Computers &amp; Education", "id" : "ITEM-2", "issue" : "3", "issued" : { "date-parts" : [ [ "2011", "11" ] ] }, "page" : "1943-1952", "title" : "Problem solving and collaboration using mobile serious games", "type" : "article-journal", "volume" : "57" }, "uris" : [ "http://www.mendeley.com/documents/?uuid=a2ae7827-9a87-498d-98fe-728d70241f05" ] }, { "id" : "ITEM-3", "itemData" : { "author" : [ { "dropping-particle" : "", "family" : "Sepehr", "given" : "Sepandar", "non-dropping-particle" : "", "parse-names" : false, "suffix" : "" }, { "dropping-particle" : "", "family" : "Head", "given" : "Milena", "non-dropping-particle" : "", "parse-names" : false, "suffix" : "" } ], "container-title" : "the 10th Pre-ICIS Annual Workshop on HCI Research in MIS", "id" : "ITEM-3", "issued" : { "date-parts" : [ [ "2011" ] ] }, "title" : "The Role of Competitiveness in the Cognitive Absorption of Video Games", "type" : "article-journal" }, "uris" : [ "http://www.mendeley.com/documents/?uuid=3d46d846-8b27-4e6d-90e4-c9ca3b6697c5" ] } ], "mendeley" : { "previouslyFormattedCitation" : "(McGonigal, 2011; S\u00e1nchez &amp; Olivares, 2011; Sepehr &amp; Head, 2011)" }, "properties" : { "noteIndex" : 0 }, "schema" : "https://github.com/citation-style-language/schema/raw/master/csl-citation.json" }</w:instrText>
      </w:r>
      <w:r w:rsidRPr="00BC081A">
        <w:fldChar w:fldCharType="separate"/>
      </w:r>
      <w:r w:rsidRPr="00BC081A">
        <w:rPr>
          <w:noProof/>
        </w:rPr>
        <w:t xml:space="preserve">(McGonigal, 2011; Sánchez &amp; Olivares, 2011; </w:t>
      </w:r>
      <w:r w:rsidRPr="00BC081A">
        <w:rPr>
          <w:noProof/>
        </w:rPr>
        <w:lastRenderedPageBreak/>
        <w:t>Sepehr &amp; Head, 2011)</w:t>
      </w:r>
      <w:r w:rsidRPr="00BC081A">
        <w:fldChar w:fldCharType="end"/>
      </w:r>
      <w:r w:rsidRPr="00BC081A">
        <w:t xml:space="preserve">. These </w:t>
      </w:r>
      <w:r w:rsidR="00231FB9" w:rsidRPr="00BC081A">
        <w:t>Serious Games</w:t>
      </w:r>
      <w:r w:rsidRPr="00BC081A">
        <w:t xml:space="preserve"> have received attention from both academics and video game practitioners alike </w:t>
      </w:r>
      <w:r w:rsidRPr="00BC081A">
        <w:fldChar w:fldCharType="begin" w:fldLock="1"/>
      </w:r>
      <w:r w:rsidR="00AC1F7D">
        <w:instrText>ADDIN CSL_CITATION { "citationItems" : [ { "id" : "ITEM-1", "itemData" : { "DOI" : "10.1177/1046878110390784", "ISSN" : "1046-8781", "author" : [ { "dropping-particle" : "", "family" : "Crookall", "given" : "D.", "non-dropping-particle" : "", "parse-names" : false, "suffix" : "" } ], "container-title" : "Simulation &amp; Gaming", "id" : "ITEM-1", "issue" : "6", "issued" : { "date-parts" : [ [ "2011", "1", "6" ] ] }, "page" : "898-920", "title" : "Serious Games, Debriefing, and Simulation/Gaming as a Discipline", "type" : "article-journal", "volume" : "41" }, "uris" : [ "http://www.mendeley.com/documents/?uuid=42fee401-ee6d-4227-a824-091a3acb739a" ] } ], "mendeley" : { "previouslyFormattedCitation" : "(Crookall, 2011)" }, "properties" : { "noteIndex" : 0 }, "schema" : "https://github.com/citation-style-language/schema/raw/master/csl-citation.json" }</w:instrText>
      </w:r>
      <w:r w:rsidRPr="00BC081A">
        <w:fldChar w:fldCharType="separate"/>
      </w:r>
      <w:r w:rsidRPr="00BC081A">
        <w:rPr>
          <w:noProof/>
        </w:rPr>
        <w:t>(Crookall, 2011)</w:t>
      </w:r>
      <w:r w:rsidRPr="00BC081A">
        <w:fldChar w:fldCharType="end"/>
      </w:r>
      <w:r w:rsidRPr="00BC081A">
        <w:t xml:space="preserve">. Consequently, video games can be used for diverse positive outcomes, such as for educational and work-related benefits </w:t>
      </w:r>
      <w:r w:rsidRPr="00BC081A">
        <w:fldChar w:fldCharType="begin" w:fldLock="1"/>
      </w:r>
      <w:r w:rsidR="00AC1F7D">
        <w:instrText>ADDIN CSL_CITATION { "citationItems" : [ { "id" : "ITEM-1", "itemData" : { "DOI" : "10.1016/j.chb.2008.03.012", "ISSN" : "07475632", "author" : [ { "dropping-particle" : "", "family" : "Moreno-Ger", "given" : "P", "non-dropping-particle" : "", "parse-names" : false, "suffix" : "" }, { "dropping-particle" : "", "family" : "Burgos", "given" : "D", "non-dropping-particle" : "", "parse-names" : false, "suffix" : "" }, { "dropping-particle" : "", "family" : "Mart\u00ednez-Ortiz", "given" : "I", "non-dropping-particle" : "", "parse-names" : false, "suffix" : "" }, { "dropping-particle" : "", "family" : "Sierra", "given" : "J L", "non-dropping-particle" : "", "parse-names" : false, "suffix" : "" }, { "dropping-particle" : "", "family" : "Fern\u00e1ndez-Manj\u00f3n", "given" : "B", "non-dropping-particle" : "", "parse-names" : false, "suffix" : "" } ], "container-title" : "Computers in Human Behavior", "id" : "ITEM-1", "issue" : "6", "issued" : { "date-parts" : [ [ "2008", "9", "17" ] ] }, "note" : "\n        From Duplicate 2 ( \n        \n        \n          Educational game design for online education\n        \n        \n         - Moreno-Ger, P; Burgos, D; , I )\n\n        \n        \n\n        \n\n        \n\n      ", "page" : "2530-2540", "publisher" : "Elsevier", "title" : "Educational game design for online education", "type" : "article-journal", "volume" : "24" }, "uris" : [ "http://www.mendeley.com/documents/?uuid=bfb2c8b4-d48d-4ed8-bb3b-ceee7c0a946a" ] } ], "mendeley" : { "previouslyFormattedCitation" : "(Moreno-Ger, Burgos, Mart\u00ednez-Ortiz, Sierra, &amp; Fern\u00e1ndez-Manj\u00f3n, 2008)" }, "properties" : { "noteIndex" : 0 }, "schema" : "https://github.com/citation-style-language/schema/raw/master/csl-citation.json" }</w:instrText>
      </w:r>
      <w:r w:rsidRPr="00BC081A">
        <w:fldChar w:fldCharType="separate"/>
      </w:r>
      <w:r w:rsidRPr="00BC081A">
        <w:rPr>
          <w:noProof/>
        </w:rPr>
        <w:t>(Moreno-Ger, Burgos, Martínez-Ortiz, Sierra, &amp; Fernández-Manjón, 2008)</w:t>
      </w:r>
      <w:r w:rsidRPr="00BC081A">
        <w:fldChar w:fldCharType="end"/>
      </w:r>
    </w:p>
    <w:p w14:paraId="5F5CA359" w14:textId="5FB2B5AB" w:rsidR="009503F5" w:rsidRPr="00BC081A" w:rsidRDefault="009F001B" w:rsidP="009503F5">
      <w:r w:rsidRPr="00BC081A">
        <w:t xml:space="preserve">Many scholars have analyzed the deep involvement of computer users in video games and during Internet use from the addiction standpoint </w:t>
      </w:r>
      <w:r w:rsidRPr="00BC081A">
        <w:fldChar w:fldCharType="begin" w:fldLock="1"/>
      </w:r>
      <w:r w:rsidR="00AC1F7D">
        <w:instrText>ADDIN CSL_CITATION { "citationItems" : [ { "id" : "ITEM-1", "itemData" : { "DOI" : "10.1016/j.compedu.2010.11.016", "ISSN" : "03601315", "author" : [ { "dropping-particle" : "", "family" : "Acier", "given" : "Didier", "non-dropping-particle" : "", "parse-names" : false, "suffix" : "" }, { "dropping-particle" : "", "family" : "Kern", "given" : "Laurence", "non-dropping-particle" : "", "parse-names" : false, "suffix" : "" } ], "container-title" : "Computers &amp; Education", "id" : "ITEM-1", "issue" : "4", "issued" : { "date-parts" : [ [ "2011", "5" ] ] }, "page" : "983-989", "title" : "Problematic Internet use: Perceptions of addiction counsellors", "type" : "article-journal", "volume" : "56" }, "uris" : [ "http://www.mendeley.com/documents/?uuid=508fbaf4-8fef-4593-af41-15f6ce749be3" ] }, { "id" : "ITEM-2", "itemData" : { "author" : [ { "dropping-particle" : "", "family" : "Fisher", "given" : "S", "non-dropping-particle" : "", "parse-names" : false, "suffix" : "" } ], "container-title" : "Addictive behaviors", "id" : "ITEM-2", "issue" : "5", "issued" : { "date-parts" : [ [ "1994" ] ] }, "page" : "545-553", "title" : "Identifying video game addiction in children and adolescents", "type" : "article-journal", "volume" : "4603" }, "uris" : [ "http://www.mendeley.com/documents/?uuid=a448d1ce-2c46-4f81-ba01-8ddacd7451d0" ] }, { "id" : "ITEM-3", "itemData" : { "DOI" : "10.1089/cpb.2006.9956", "ISSN" : "1094-9313", "PMID" : "17474848", "abstract" : "Computer games have become an ever-increasing part of many adolescents' day-to-day lives. Coupled with this phenomenon, reports of excessive gaming (computer game playing) denominated as \"computer/video game addiction\" have been discussed in the popular press as well as in recent scientific research. The aim of the present study was the investigation of the addictive potential of gaming as well as the relationship between excessive gaming and aggressive attitudes and behavior. A sample comprising of 7069 gamers answered two questionnaires online. Data revealed that 11.9% of participants (840 gamers) fulfilled diagnostic criteria of addiction concerning their gaming behavior, while there is only weak evidence for the assumption that aggressive behavior is interrelated with excessive gaming in general. Results of this study contribute to the assumption that also playing games without monetary reward meets criteria of addiction. Hence, an addictive potential of gaming should be taken into consideration regarding prevention and intervention.", "author" : [ { "dropping-particle" : "", "family" : "Gr\u00fcsser", "given" : "S M", "non-dropping-particle" : "", "parse-names" : false, "suffix" : "" }, { "dropping-particle" : "", "family" : "Thalemann", "given" : "R", "non-dropping-particle" : "", "parse-names" : false, "suffix" : "" }, { "dropping-particle" : "", "family" : "Griffiths", "given" : "M D", "non-dropping-particle" : "", "parse-names" : false, "suffix" : "" } ], "container-title" : "Cyberpsychology &amp; behavior : the impact of the Internet, multimedia and virtual reality on behavior and society", "id" : "ITEM-3", "issue" : "2", "issued" : { "date-parts" : [ [ "2007", "4" ] ] }, "page" : "290-2", "title" : "Excessive computer game playing: evidence for addiction and aggression?", "type" : "article-journal", "volume" : "10" }, "uris" : [ "http://www.mendeley.com/documents/?uuid=d6fc24b2-a9d9-4a99-878e-1f3ae4c01d2a" ] }, { "id" : "ITEM-4", "itemData" : { "author" : [ { "dropping-particle" : "", "family" : "Turel", "given" : "Ofir", "non-dropping-particle" : "", "parse-names" : false, "suffix" : "" }, { "dropping-particle" : "", "family" : "Serenko", "given" : "A.", "non-dropping-particle" : "", "parse-names" : false, "suffix" : "" }, { "dropping-particle" : "", "family" : "Giles", "given" : "P.", "non-dropping-particle" : "", "parse-names" : false, "suffix" : "" } ], "container-title" : "MIS Quarterly", "id" : "ITEM-4", "issued" : { "date-parts" : [ [ "2011" ] ] }, "title" : "Integrating Technology Addiction and Use: An Empirical Investigation of Online Auction Websites", "type" : "article-journal" }, "uris" : [ "http://www.mendeley.com/documents/?uuid=857a2212-7b7e-45af-bee4-f9227860a926" ] } ], "mendeley" : { "previouslyFormattedCitation" : "(Acier &amp; Kern, 2011; Fisher, 1994; Gr\u00fcsser, Thalemann, &amp; Griffiths, 2007; Turel, Serenko, &amp; Giles, 2011)" }, "properties" : { "noteIndex" : 0 }, "schema" : "https://github.com/citation-style-language/schema/raw/master/csl-citation.json" }</w:instrText>
      </w:r>
      <w:r w:rsidRPr="00BC081A">
        <w:fldChar w:fldCharType="separate"/>
      </w:r>
      <w:r w:rsidRPr="00BC081A">
        <w:rPr>
          <w:noProof/>
        </w:rPr>
        <w:t>(Acier &amp; Kern, 2011; Fisher, 1994; Grüsser, Thalemann, &amp; Griffiths, 2007; Turel, Serenko, &amp; Giles, 2011)</w:t>
      </w:r>
      <w:r w:rsidRPr="00BC081A">
        <w:fldChar w:fldCharType="end"/>
      </w:r>
      <w:r w:rsidRPr="00BC081A">
        <w:t xml:space="preserve">. However, we need to be very cautious using terms like ‘addiction’ </w:t>
      </w:r>
      <w:r w:rsidR="00334A50">
        <w:t xml:space="preserve">when </w:t>
      </w:r>
      <w:r w:rsidRPr="00BC081A">
        <w:t xml:space="preserve">referring to high engagement states. One should be cognizant of the difference between </w:t>
      </w:r>
      <w:r w:rsidR="00334A50">
        <w:t>a</w:t>
      </w:r>
      <w:r w:rsidR="00334A50" w:rsidRPr="00BC081A">
        <w:t xml:space="preserve">ddiction </w:t>
      </w:r>
      <w:r w:rsidRPr="00BC081A">
        <w:t>and high engagement in a certain task.</w:t>
      </w:r>
      <w:r w:rsidR="00D100DF">
        <w:t xml:space="preserve"> Charlton and</w:t>
      </w:r>
      <w:r w:rsidR="00D100DF" w:rsidRPr="00D100DF">
        <w:t xml:space="preserve"> Danforth</w:t>
      </w:r>
      <w:r w:rsidRPr="00BC081A">
        <w:t xml:space="preserve"> </w:t>
      </w:r>
      <w:r w:rsidR="00D100DF" w:rsidRPr="00BC081A">
        <w:fldChar w:fldCharType="begin" w:fldLock="1"/>
      </w:r>
      <w:r w:rsidR="00AC1F7D">
        <w:instrText>ADDIN CSL_CITATION { "citationItems" : [ { "id" : "ITEM-1", "itemData" : { "DOI" : "10.1016/j.chb.2005.07.002", "ISSN" : "07475632", "author" : [ { "dropping-particle" : "", "family" : "Charlton", "given" : "J", "non-dropping-particle" : "", "parse-names" : false, "suffix" : "" }, { "dropping-particle" : "", "family" : "Danforth", "given" : "I", "non-dropping-particle" : "", "parse-names" : false, "suffix" : "" } ], "container-title" : "Computers in Human Behavior", "id" : "ITEM-1", "issue" : "3", "issued" : { "date-parts" : [ [ "2007", "5" ] ] }, "page" : "1531-1548", "title" : "Distinguishing addiction and high engagement in the context of online game playing", "type" : "article-journal", "volume" : "23" }, "suppress-author" : 1, "uris" : [ "http://www.mendeley.com/documents/?uuid=9317d1d5-77bc-43cd-9b55-e639b4439f28" ] } ], "mendeley" : { "previouslyFormattedCitation" : "(2007)" }, "properties" : { "noteIndex" : 0 }, "schema" : "https://github.com/citation-style-language/schema/raw/master/csl-citation.json" }</w:instrText>
      </w:r>
      <w:r w:rsidR="00D100DF" w:rsidRPr="00BC081A">
        <w:fldChar w:fldCharType="separate"/>
      </w:r>
      <w:r w:rsidR="00D100DF" w:rsidRPr="00D100DF">
        <w:rPr>
          <w:noProof/>
        </w:rPr>
        <w:t>(2007)</w:t>
      </w:r>
      <w:r w:rsidR="00D100DF" w:rsidRPr="00BC081A">
        <w:fldChar w:fldCharType="end"/>
      </w:r>
      <w:r w:rsidR="00D100DF">
        <w:t xml:space="preserve"> </w:t>
      </w:r>
      <w:r w:rsidR="009503F5" w:rsidRPr="00BC081A">
        <w:t xml:space="preserve">have shown that people who experience high engagement in online video games do not share the same behaviour as addicted online </w:t>
      </w:r>
      <w:proofErr w:type="spellStart"/>
      <w:r w:rsidR="00547B98">
        <w:t>gameplay</w:t>
      </w:r>
      <w:r w:rsidR="009503F5" w:rsidRPr="00BC081A">
        <w:t>ers</w:t>
      </w:r>
      <w:proofErr w:type="spellEnd"/>
      <w:r w:rsidR="009503F5" w:rsidRPr="00BC081A">
        <w:t xml:space="preserve">. High engagement and addiction share some criteria, but addiction goes beyond high engagement and includes elements of conflict and withdrawal symptoms. The addiction criteria </w:t>
      </w:r>
      <w:r w:rsidR="00261C19">
        <w:fldChar w:fldCharType="begin" w:fldLock="1"/>
      </w:r>
      <w:r w:rsidR="00AC1F7D">
        <w:instrText>ADDIN CSL_CITATION { "citationItems" : [ { "id" : "ITEM-1", "itemData" : { "DOI" : "10.1016/j.chb.2005.07.002", "ISSN" : "07475632", "author" : [ { "dropping-particle" : "", "family" : "Charlton", "given" : "J", "non-dropping-particle" : "", "parse-names" : false, "suffix" : "" }, { "dropping-particle" : "", "family" : "Danforth", "given" : "I", "non-dropping-particle" : "", "parse-names" : false, "suffix" : "" } ], "container-title" : "Computers in Human Behavior", "id" : "ITEM-1", "issue" : "3", "issued" : { "date-parts" : [ [ "2007", "5" ] ] }, "page" : "1531-1548", "title" : "Distinguishing addiction and high engagement in the context of online game playing", "type" : "article-journal", "volume" : "23" }, "uris" : [ "http://www.mendeley.com/documents/?uuid=9317d1d5-77bc-43cd-9b55-e639b4439f28" ] } ], "mendeley" : { "previouslyFormattedCitation" : "(Charlton &amp; Danforth, 2007)" }, "properties" : { "noteIndex" : 0 }, "schema" : "https://github.com/citation-style-language/schema/raw/master/csl-citation.json" }</w:instrText>
      </w:r>
      <w:r w:rsidR="00261C19">
        <w:fldChar w:fldCharType="separate"/>
      </w:r>
      <w:r w:rsidR="00261C19" w:rsidRPr="00261C19">
        <w:rPr>
          <w:noProof/>
        </w:rPr>
        <w:t>(Charlton &amp; Danforth, 2007)</w:t>
      </w:r>
      <w:r w:rsidR="00261C19">
        <w:fldChar w:fldCharType="end"/>
      </w:r>
      <w:r w:rsidR="00261C19">
        <w:t xml:space="preserve"> </w:t>
      </w:r>
      <w:r w:rsidR="009503F5" w:rsidRPr="00BC081A">
        <w:t xml:space="preserve">are as follow: </w:t>
      </w:r>
    </w:p>
    <w:p w14:paraId="7FF365BE" w14:textId="77777777" w:rsidR="009503F5" w:rsidRPr="00BC081A" w:rsidRDefault="009503F5" w:rsidP="00536F6A">
      <w:pPr>
        <w:pStyle w:val="ListParagraph"/>
        <w:numPr>
          <w:ilvl w:val="0"/>
          <w:numId w:val="12"/>
        </w:numPr>
      </w:pPr>
      <w:r w:rsidRPr="00BC081A">
        <w:t xml:space="preserve">Behavioural Salience: the extent to which the activity dominates one’s behaviour. </w:t>
      </w:r>
    </w:p>
    <w:p w14:paraId="3793371D" w14:textId="77777777" w:rsidR="009503F5" w:rsidRPr="00BC081A" w:rsidRDefault="009503F5" w:rsidP="00536F6A">
      <w:pPr>
        <w:pStyle w:val="ListParagraph"/>
        <w:numPr>
          <w:ilvl w:val="0"/>
          <w:numId w:val="12"/>
        </w:numPr>
      </w:pPr>
      <w:r w:rsidRPr="00BC081A">
        <w:t xml:space="preserve">Relapse and reinstatement: despite trying to quit, continuing the activity the same as before. </w:t>
      </w:r>
    </w:p>
    <w:p w14:paraId="25B62E93" w14:textId="77777777" w:rsidR="009503F5" w:rsidRPr="00BC081A" w:rsidRDefault="009503F5" w:rsidP="00536F6A">
      <w:pPr>
        <w:pStyle w:val="ListParagraph"/>
        <w:numPr>
          <w:ilvl w:val="0"/>
          <w:numId w:val="12"/>
        </w:numPr>
      </w:pPr>
      <w:r w:rsidRPr="00BC081A">
        <w:t xml:space="preserve">Withdrawal symptoms: having negative emotions and physical effects while not doing the activity. </w:t>
      </w:r>
    </w:p>
    <w:p w14:paraId="59258B7A" w14:textId="77777777" w:rsidR="009503F5" w:rsidRPr="00BC081A" w:rsidRDefault="009503F5" w:rsidP="00536F6A">
      <w:pPr>
        <w:pStyle w:val="ListParagraph"/>
        <w:numPr>
          <w:ilvl w:val="0"/>
          <w:numId w:val="12"/>
        </w:numPr>
      </w:pPr>
      <w:r w:rsidRPr="00BC081A">
        <w:t xml:space="preserve">Conflict: the extent to which the activity results in conflict with the person’s normal life including social relationships and his/her other activities. </w:t>
      </w:r>
    </w:p>
    <w:p w14:paraId="1064AB81" w14:textId="73454726" w:rsidR="009503F5" w:rsidRPr="00BC081A" w:rsidRDefault="009503F5" w:rsidP="009503F5">
      <w:pPr>
        <w:ind w:firstLine="0"/>
      </w:pPr>
      <w:r w:rsidRPr="00BC081A">
        <w:t>Engagement, on the other hand, entails the following criteria</w:t>
      </w:r>
      <w:r w:rsidR="00261C19">
        <w:t xml:space="preserve"> </w:t>
      </w:r>
      <w:r w:rsidR="00261C19">
        <w:fldChar w:fldCharType="begin" w:fldLock="1"/>
      </w:r>
      <w:r w:rsidR="00AC1F7D">
        <w:instrText>ADDIN CSL_CITATION { "citationItems" : [ { "id" : "ITEM-1", "itemData" : { "DOI" : "10.1016/j.chb.2005.07.002", "ISSN" : "07475632", "author" : [ { "dropping-particle" : "", "family" : "Charlton", "given" : "J", "non-dropping-particle" : "", "parse-names" : false, "suffix" : "" }, { "dropping-particle" : "", "family" : "Danforth", "given" : "I", "non-dropping-particle" : "", "parse-names" : false, "suffix" : "" } ], "container-title" : "Computers in Human Behavior", "id" : "ITEM-1", "issue" : "3", "issued" : { "date-parts" : [ [ "2007", "5" ] ] }, "page" : "1531-1548", "title" : "Distinguishing addiction and high engagement in the context of online game playing", "type" : "article-journal", "volume" : "23" }, "uris" : [ "http://www.mendeley.com/documents/?uuid=9317d1d5-77bc-43cd-9b55-e639b4439f28" ] } ], "mendeley" : { "previouslyFormattedCitation" : "(Charlton &amp; Danforth, 2007)" }, "properties" : { "noteIndex" : 0 }, "schema" : "https://github.com/citation-style-language/schema/raw/master/csl-citation.json" }</w:instrText>
      </w:r>
      <w:r w:rsidR="00261C19">
        <w:fldChar w:fldCharType="separate"/>
      </w:r>
      <w:r w:rsidR="00261C19" w:rsidRPr="00261C19">
        <w:rPr>
          <w:noProof/>
        </w:rPr>
        <w:t>(Charlton &amp; Danforth, 2007)</w:t>
      </w:r>
      <w:r w:rsidR="00261C19">
        <w:fldChar w:fldCharType="end"/>
      </w:r>
      <w:r w:rsidRPr="00BC081A">
        <w:t>:</w:t>
      </w:r>
    </w:p>
    <w:p w14:paraId="011421B9" w14:textId="2997F14D" w:rsidR="009503F5" w:rsidRPr="00BC081A" w:rsidRDefault="009503F5" w:rsidP="00536F6A">
      <w:pPr>
        <w:pStyle w:val="ListParagraph"/>
        <w:numPr>
          <w:ilvl w:val="0"/>
          <w:numId w:val="12"/>
        </w:numPr>
      </w:pPr>
      <w:r w:rsidRPr="00BC081A">
        <w:lastRenderedPageBreak/>
        <w:t xml:space="preserve">Cognitive Salience: the extent to which the activity dominates one’s mental </w:t>
      </w:r>
      <w:r w:rsidR="00261C19">
        <w:t>state in life</w:t>
      </w:r>
      <w:r w:rsidRPr="00BC081A">
        <w:t xml:space="preserve"> (the person keeps thinking about the activity). </w:t>
      </w:r>
    </w:p>
    <w:p w14:paraId="7C5E6FF9" w14:textId="77777777" w:rsidR="009503F5" w:rsidRPr="00BC081A" w:rsidRDefault="009503F5" w:rsidP="00536F6A">
      <w:pPr>
        <w:pStyle w:val="ListParagraph"/>
        <w:numPr>
          <w:ilvl w:val="0"/>
          <w:numId w:val="12"/>
        </w:numPr>
      </w:pPr>
      <w:r w:rsidRPr="00BC081A">
        <w:t xml:space="preserve">Euphoria: feeling a ‘buzz’ or a ‘high’ from doing the activity. </w:t>
      </w:r>
    </w:p>
    <w:p w14:paraId="4DFAA562" w14:textId="77777777" w:rsidR="009503F5" w:rsidRPr="00BC081A" w:rsidRDefault="009503F5" w:rsidP="00536F6A">
      <w:pPr>
        <w:pStyle w:val="ListParagraph"/>
        <w:numPr>
          <w:ilvl w:val="0"/>
          <w:numId w:val="12"/>
        </w:numPr>
      </w:pPr>
      <w:r w:rsidRPr="00BC081A">
        <w:t xml:space="preserve">Tolerance: having to engage in the activity progressively longer to gain the same ‘buzz’. </w:t>
      </w:r>
    </w:p>
    <w:p w14:paraId="23A784A2" w14:textId="635468E8" w:rsidR="009503F5" w:rsidRPr="00BC081A" w:rsidRDefault="009503F5" w:rsidP="009503F5">
      <w:r w:rsidRPr="00BC081A">
        <w:t xml:space="preserve">There is evidence in literature that shows the role of </w:t>
      </w:r>
      <w:r w:rsidR="00014857">
        <w:t>dispositional</w:t>
      </w:r>
      <w:r w:rsidRPr="00BC081A">
        <w:t xml:space="preserve"> and situational factors </w:t>
      </w:r>
      <w:r w:rsidR="00F25CC9" w:rsidRPr="00BC081A">
        <w:t xml:space="preserve">that can push </w:t>
      </w:r>
      <w:r w:rsidRPr="00BC081A">
        <w:t>a high</w:t>
      </w:r>
      <w:r w:rsidR="00F25CC9" w:rsidRPr="00BC081A">
        <w:t>ly</w:t>
      </w:r>
      <w:r w:rsidRPr="00BC081A">
        <w:t xml:space="preserve"> engaging task to become addictive, in particular in relation with video games </w:t>
      </w:r>
      <w:r w:rsidRPr="00BC081A">
        <w:fldChar w:fldCharType="begin" w:fldLock="1"/>
      </w:r>
      <w:r w:rsidR="00AC1F7D">
        <w:instrText>ADDIN CSL_CITATION { "citationItems" : [ { "id" : "ITEM-1", "itemData" : { "author" : [ { "dropping-particle" : "", "family" : "Sepehr", "given" : "Sepandar", "non-dropping-particle" : "", "parse-names" : false, "suffix" : "" }, { "dropping-particle" : "", "family" : "Head", "given" : "Milena", "non-dropping-particle" : "", "parse-names" : false, "suffix" : "" } ], "container-title" : "the 11th Pre-ICIS Annual Workshop on HCI Research in MIS", "id" : "ITEM-1", "issued" : { "date-parts" : [ [ "2012" ] ] }, "publisher-place" : "Orlando, Florida, USA, December 16, 2012", "title" : "Dualistic Model of Passionate Video Gameplay: Addiction or Flow?", "type" : "paper-conference" }, "uris" : [ "http://www.mendeley.com/documents/?uuid=60ac241b-91ee-4132-b09c-04b891ddc019" ] } ], "mendeley" : { "previouslyFormattedCitation" : "(Sepehr &amp; Head, 2012b)" }, "properties" : { "noteIndex" : 0 }, "schema" : "https://github.com/citation-style-language/schema/raw/master/csl-citation.json" }</w:instrText>
      </w:r>
      <w:r w:rsidRPr="00BC081A">
        <w:fldChar w:fldCharType="separate"/>
      </w:r>
      <w:r w:rsidR="00FC3905" w:rsidRPr="00BC081A">
        <w:rPr>
          <w:noProof/>
        </w:rPr>
        <w:t>(Sepehr &amp; Head, 2012b)</w:t>
      </w:r>
      <w:r w:rsidRPr="00BC081A">
        <w:fldChar w:fldCharType="end"/>
      </w:r>
      <w:r w:rsidRPr="00BC081A">
        <w:t xml:space="preserve">. Moreover, prevalence of video game addiction can be affiliated with less than 10% of the </w:t>
      </w:r>
      <w:proofErr w:type="spellStart"/>
      <w:r w:rsidR="00547B98">
        <w:t>gameplay</w:t>
      </w:r>
      <w:r w:rsidRPr="00BC081A">
        <w:t>ers</w:t>
      </w:r>
      <w:proofErr w:type="spellEnd"/>
      <w:r w:rsidRPr="00BC081A">
        <w:t xml:space="preserve"> </w:t>
      </w:r>
      <w:r w:rsidRPr="00BC081A">
        <w:fldChar w:fldCharType="begin" w:fldLock="1"/>
      </w:r>
      <w:r w:rsidR="00AC1F7D">
        <w:instrText>ADDIN CSL_CITATION { "citationItems" : [ { "id" : "ITEM-1", "itemData" : { "author" : [ { "dropping-particle" : "", "family" : "Sepehr", "given" : "Sepandar", "non-dropping-particle" : "", "parse-names" : false, "suffix" : "" }, { "dropping-particle" : "", "family" : "Head", "given" : "Milena", "non-dropping-particle" : "", "parse-names" : false, "suffix" : "" } ], "container-title" : "the Nineteenth Americas Conference on Information Systems,", "id" : "ITEM-1", "issued" : { "date-parts" : [ [ "2013" ] ] }, "page" : "1-11", "publisher-place" : "Chicago, Illinois", "title" : "Online Video Game Addiction: A Review and an Information Systems Research Agenda", "type" : "paper-conference" }, "uris" : [ "http://www.mendeley.com/documents/?uuid=b862bf10-597e-491d-803e-b524b757d9be" ] } ], "mendeley" : { "previouslyFormattedCitation" : "(Sepehr &amp; Head, 2013b)" }, "properties" : { "noteIndex" : 0 }, "schema" : "https://github.com/citation-style-language/schema/raw/master/csl-citation.json" }</w:instrText>
      </w:r>
      <w:r w:rsidRPr="00BC081A">
        <w:fldChar w:fldCharType="separate"/>
      </w:r>
      <w:r w:rsidR="00FC3905" w:rsidRPr="00BC081A">
        <w:rPr>
          <w:noProof/>
        </w:rPr>
        <w:t>(Sepehr &amp; Head, 2013b)</w:t>
      </w:r>
      <w:r w:rsidRPr="00BC081A">
        <w:fldChar w:fldCharType="end"/>
      </w:r>
      <w:r w:rsidRPr="00BC081A">
        <w:t xml:space="preserve">, making it much less common than </w:t>
      </w:r>
      <w:r w:rsidR="009D5A0E" w:rsidRPr="00BC081A">
        <w:t xml:space="preserve">pure </w:t>
      </w:r>
      <w:r w:rsidRPr="00BC081A">
        <w:t>engagement experience</w:t>
      </w:r>
      <w:r w:rsidR="009D5A0E" w:rsidRPr="00BC081A">
        <w:t>s</w:t>
      </w:r>
      <w:r w:rsidRPr="00BC081A">
        <w:t xml:space="preserve"> among </w:t>
      </w:r>
      <w:proofErr w:type="spellStart"/>
      <w:r w:rsidR="00547B98">
        <w:t>gameplay</w:t>
      </w:r>
      <w:r w:rsidRPr="00BC081A">
        <w:t>ers</w:t>
      </w:r>
      <w:proofErr w:type="spellEnd"/>
      <w:r w:rsidRPr="00BC081A">
        <w:t xml:space="preserve">. Empirical evidence shows that “for the vast majority of individuals, online gaming is an enjoyable and harmless activity” </w:t>
      </w:r>
      <w:r w:rsidRPr="00BC081A">
        <w:fldChar w:fldCharType="begin" w:fldLock="1"/>
      </w:r>
      <w:r w:rsidR="00AC1F7D">
        <w:instrText>ADDIN CSL_CITATION { "citationItems" : [ { "id" : "ITEM-1", "itemData" : { "DOI" : "10.1080/02667360903522769", "ISSN" : "0266-7363", "author" : [ { "dropping-particle" : "", "family" : "Griffiths", "given" : "Mark", "non-dropping-particle" : "", "parse-names" : false, "suffix" : "" } ], "container-title" : "Educational Psychology in Practice", "id" : "ITEM-1", "issue" : "1", "issued" : { "date-parts" : [ [ "2010", "3" ] ] }, "page" : "35-40", "title" : "Online video gaming: what should educational psychologists know?", "type" : "article-journal", "volume" : "26" }, "locator" : "39", "uris" : [ "http://www.mendeley.com/documents/?uuid=0fc1cd43-3fb3-49c4-bfe9-65ab966e0f0f" ] } ], "mendeley" : { "previouslyFormattedCitation" : "(Griffiths, 2010, p. 39)" }, "properties" : { "noteIndex" : 0 }, "schema" : "https://github.com/citation-style-language/schema/raw/master/csl-citation.json" }</w:instrText>
      </w:r>
      <w:r w:rsidRPr="00BC081A">
        <w:fldChar w:fldCharType="separate"/>
      </w:r>
      <w:r w:rsidRPr="00BC081A">
        <w:rPr>
          <w:noProof/>
        </w:rPr>
        <w:t>(Griffiths, 2010, p. 39)</w:t>
      </w:r>
      <w:r w:rsidRPr="00BC081A">
        <w:fldChar w:fldCharType="end"/>
      </w:r>
      <w:r w:rsidRPr="00BC081A">
        <w:t xml:space="preserve">. </w:t>
      </w:r>
    </w:p>
    <w:p w14:paraId="6C980122" w14:textId="7551F609" w:rsidR="009503F5" w:rsidRPr="00BC081A" w:rsidRDefault="009503F5" w:rsidP="009503F5">
      <w:r w:rsidRPr="00BC081A">
        <w:t xml:space="preserve">Overall, it should be clarified that engagement and addiction are separate concepts in video gameplaying. This study aims to investigate competition as an element of games that enables high engagement rather than addiction. Thus, the focus here will not be on </w:t>
      </w:r>
      <w:r w:rsidR="00334A50">
        <w:t xml:space="preserve">the </w:t>
      </w:r>
      <w:r w:rsidRPr="00BC081A">
        <w:t xml:space="preserve">addictive nature of video games. The engagement that is experienced through playing video games can be leveraged to increase the effectiveness of </w:t>
      </w:r>
      <w:r w:rsidR="0090695F" w:rsidRPr="00BC081A">
        <w:t>Information Technology (</w:t>
      </w:r>
      <w:r w:rsidRPr="00BC081A">
        <w:t>IT</w:t>
      </w:r>
      <w:r w:rsidR="0090695F" w:rsidRPr="00BC081A">
        <w:t>)</w:t>
      </w:r>
      <w:r w:rsidRPr="00BC081A">
        <w:t xml:space="preserve"> systems</w:t>
      </w:r>
      <w:r w:rsidR="002C724C" w:rsidRPr="00BC081A">
        <w:t xml:space="preserve"> and </w:t>
      </w:r>
      <w:r w:rsidR="00261C19">
        <w:t>other</w:t>
      </w:r>
      <w:r w:rsidR="002C724C" w:rsidRPr="00BC081A">
        <w:t xml:space="preserve"> </w:t>
      </w:r>
      <w:r w:rsidR="00261C19">
        <w:t xml:space="preserve">non-IT based </w:t>
      </w:r>
      <w:r w:rsidR="002C724C" w:rsidRPr="00BC081A">
        <w:t>systems</w:t>
      </w:r>
      <w:r w:rsidRPr="00BC081A">
        <w:t xml:space="preserve"> in various contexts, including that of education and the workplace. </w:t>
      </w:r>
    </w:p>
    <w:p w14:paraId="1E705DBB" w14:textId="77777777" w:rsidR="009503F5" w:rsidRPr="00BC081A" w:rsidRDefault="009503F5" w:rsidP="00F24816">
      <w:pPr>
        <w:pStyle w:val="Heading3"/>
      </w:pPr>
      <w:bookmarkStart w:id="27" w:name="_Toc275209814"/>
      <w:r w:rsidRPr="00BC081A">
        <w:t>Serious Games</w:t>
      </w:r>
      <w:bookmarkEnd w:id="27"/>
    </w:p>
    <w:p w14:paraId="57C88375" w14:textId="46904443" w:rsidR="009503F5" w:rsidRPr="00BC081A" w:rsidRDefault="009503F5" w:rsidP="009503F5">
      <w:pPr>
        <w:rPr>
          <w:bCs/>
        </w:rPr>
      </w:pPr>
      <w:r w:rsidRPr="00BC081A">
        <w:t xml:space="preserve">Since the early 1980s, </w:t>
      </w:r>
      <w:r w:rsidR="009E6203" w:rsidRPr="00BC081A">
        <w:t xml:space="preserve">which experienced a </w:t>
      </w:r>
      <w:r w:rsidRPr="00BC081A">
        <w:t xml:space="preserve">boom </w:t>
      </w:r>
      <w:r w:rsidR="00033D55">
        <w:t>in</w:t>
      </w:r>
      <w:r w:rsidR="00033D55" w:rsidRPr="00BC081A">
        <w:t xml:space="preserve"> </w:t>
      </w:r>
      <w:r w:rsidRPr="00BC081A">
        <w:t xml:space="preserve">computer games, there has been an interest in studying computer games </w:t>
      </w:r>
      <w:r w:rsidR="009E6203" w:rsidRPr="00BC081A">
        <w:t>to inform</w:t>
      </w:r>
      <w:r w:rsidRPr="00BC081A">
        <w:t xml:space="preserve"> Human-Computer Interaction (HCI) interface design. For example, in his seminal article, Malone </w:t>
      </w:r>
      <w:r w:rsidRPr="00BC081A">
        <w:fldChar w:fldCharType="begin" w:fldLock="1"/>
      </w:r>
      <w:r w:rsidR="00AC1F7D">
        <w:instrText>ADDIN CSL_CITATION { "citationItems" : [ { "id" : "ITEM-1", "itemData" : { "author" : [ { "dropping-particle" : "", "family" : "Malone", "given" : "T W", "non-dropping-particle" : "", "parse-names" : false, "suffix" : "" } ], "container-title" : "Cognitive science", "id" : "ITEM-1", "issue" : "4", "issued" : { "date-parts" : [ [ "1981" ] ] }, "page" : "333-369", "publisher" : "Elsevier", "title" : "Toward a theory of intrinsically motivating instruction", "type" : "article-journal", "volume" : "5" }, "suppress-author" : 1, "uris" : [ "http://www.mendeley.com/documents/?uuid=32e07c2f-6f65-4f76-b926-4c6b2f2f7427" ] } ], "mendeley" : { "previouslyFormattedCitation" : "(1981)" }, "properties" : { "noteIndex" : 0 }, "schema" : "https://github.com/citation-style-language/schema/raw/master/csl-citation.json" }</w:instrText>
      </w:r>
      <w:r w:rsidRPr="00BC081A">
        <w:fldChar w:fldCharType="separate"/>
      </w:r>
      <w:r w:rsidRPr="00BC081A">
        <w:rPr>
          <w:noProof/>
        </w:rPr>
        <w:t>(1981)</w:t>
      </w:r>
      <w:r w:rsidRPr="00BC081A">
        <w:fldChar w:fldCharType="end"/>
      </w:r>
      <w:r w:rsidRPr="00BC081A">
        <w:t xml:space="preserve"> analyzed different aspects of computer games in order to understand why computer games create intense engagement and how this engagement can be used for creating enjoyable learning experiences. Information Systems </w:t>
      </w:r>
      <w:r w:rsidRPr="00BC081A">
        <w:lastRenderedPageBreak/>
        <w:t xml:space="preserve">(IS) researchers have also explored such enjoyable experiences during IT use in the workplace and introduced </w:t>
      </w:r>
      <w:r w:rsidR="009E6203" w:rsidRPr="00BC081A">
        <w:t xml:space="preserve">a construct named </w:t>
      </w:r>
      <w:r w:rsidRPr="00BC081A">
        <w:t xml:space="preserve">“playfulness” </w:t>
      </w:r>
      <w:r w:rsidRPr="00BC081A">
        <w:fldChar w:fldCharType="begin" w:fldLock="1"/>
      </w:r>
      <w:r w:rsidR="00AC1F7D">
        <w:instrText>ADDIN CSL_CITATION { "citationItems" : [ { "id" : "ITEM-1", "itemData" : { "DOI" : "10.2307/249576", "ISSN" : "02767783", "author" : [ { "dropping-particle" : "", "family" : "Webster", "given" : "Jane", "non-dropping-particle" : "", "parse-names" : false, "suffix" : "" }, { "dropping-particle" : "", "family" : "Martocchio", "given" : "Joseph J.", "non-dropping-particle" : "", "parse-names" : false, "suffix" : "" } ], "container-title" : "MIS Quarterly", "id" : "ITEM-1", "issue" : "2", "issued" : { "date-parts" : [ [ "1992", "6" ] ] }, "page" : "201-226", "title" : "Microcomputer Playfulness: Development of a Measure with Workplace Implications", "type" : "article-journal", "volume" : "16" }, "uris" : [ "http://www.mendeley.com/documents/?uuid=12405fa2-7e69-4db1-9c71-f7a57b071b6f" ] } ], "mendeley" : { "previouslyFormattedCitation" : "(Webster &amp; Martocchio, 1992)" }, "properties" : { "noteIndex" : 0 }, "schema" : "https://github.com/citation-style-language/schema/raw/master/csl-citation.json" }</w:instrText>
      </w:r>
      <w:r w:rsidRPr="00BC081A">
        <w:fldChar w:fldCharType="separate"/>
      </w:r>
      <w:r w:rsidRPr="00BC081A">
        <w:rPr>
          <w:noProof/>
        </w:rPr>
        <w:t>(Webster &amp; Martocchio, 1992)</w:t>
      </w:r>
      <w:r w:rsidRPr="00BC081A">
        <w:fldChar w:fldCharType="end"/>
      </w:r>
      <w:r w:rsidRPr="00BC081A">
        <w:t xml:space="preserve">. </w:t>
      </w:r>
      <w:r w:rsidRPr="00BC081A">
        <w:rPr>
          <w:bCs/>
        </w:rPr>
        <w:t xml:space="preserve">The HCI community began taking video games as a domain of research more seriously in the 2000s. </w:t>
      </w:r>
      <w:proofErr w:type="spellStart"/>
      <w:r w:rsidRPr="00BC081A">
        <w:rPr>
          <w:bCs/>
        </w:rPr>
        <w:t>Sweetser</w:t>
      </w:r>
      <w:proofErr w:type="spellEnd"/>
      <w:r w:rsidRPr="00BC081A">
        <w:rPr>
          <w:bCs/>
        </w:rPr>
        <w:t xml:space="preserve"> and Wyeth’s </w:t>
      </w:r>
      <w:r w:rsidRPr="00BC081A">
        <w:rPr>
          <w:bCs/>
        </w:rPr>
        <w:fldChar w:fldCharType="begin" w:fldLock="1"/>
      </w:r>
      <w:r w:rsidR="00AC1F7D">
        <w:rPr>
          <w:bCs/>
        </w:rPr>
        <w:instrText>ADDIN CSL_CITATION { "citationItems" : [ { "id" : "ITEM-1", "itemData" : { "author" : [ { "dropping-particle" : "", "family" : "Sweetser", "given" : "Penelope", "non-dropping-particle" : "", "parse-names" : false, "suffix" : "" }, { "dropping-particle" : "", "family" : "Wyeth", "given" : "Peta", "non-dropping-particle" : "", "parse-names" : false, "suffix" : "" } ], "container-title" : "Computers in Entertainment (CIE)", "id" : "ITEM-1", "issue" : "3", "issued" : { "date-parts" : [ [ "2005" ] ] }, "page" : "1-24", "title" : "GameFlow: a model for evaluating player enjoyment in games", "type" : "article-journal", "volume" : "3" }, "suppress-author" : 1, "uris" : [ "http://www.mendeley.com/documents/?uuid=f386c270-c5d5-401b-a3f2-c633f04dc86c" ] } ], "mendeley" : { "previouslyFormattedCitation" : "(2005)" }, "properties" : { "noteIndex" : 0 }, "schema" : "https://github.com/citation-style-language/schema/raw/master/csl-citation.json" }</w:instrText>
      </w:r>
      <w:r w:rsidRPr="00BC081A">
        <w:rPr>
          <w:bCs/>
        </w:rPr>
        <w:fldChar w:fldCharType="separate"/>
      </w:r>
      <w:r w:rsidRPr="00BC081A">
        <w:rPr>
          <w:bCs/>
          <w:noProof/>
        </w:rPr>
        <w:t>(2005)</w:t>
      </w:r>
      <w:r w:rsidRPr="00BC081A">
        <w:rPr>
          <w:bCs/>
        </w:rPr>
        <w:fldChar w:fldCharType="end"/>
      </w:r>
      <w:r w:rsidRPr="00BC081A">
        <w:rPr>
          <w:bCs/>
        </w:rPr>
        <w:t xml:space="preserve"> article is one of many studies that put forward a model for evaluating the enjoyment in playing video games. </w:t>
      </w:r>
    </w:p>
    <w:p w14:paraId="42680602" w14:textId="2B429800" w:rsidR="009503F5" w:rsidRPr="00BC081A" w:rsidRDefault="009E6203" w:rsidP="009503F5">
      <w:pPr>
        <w:rPr>
          <w:bCs/>
        </w:rPr>
      </w:pPr>
      <w:r w:rsidRPr="00BC081A">
        <w:rPr>
          <w:bCs/>
        </w:rPr>
        <w:t>While r</w:t>
      </w:r>
      <w:r w:rsidR="009503F5" w:rsidRPr="00BC081A">
        <w:rPr>
          <w:bCs/>
        </w:rPr>
        <w:t>esearch on video games in the HCI field onl</w:t>
      </w:r>
      <w:r w:rsidRPr="00BC081A">
        <w:rPr>
          <w:bCs/>
        </w:rPr>
        <w:t>y dates back one or two decades,</w:t>
      </w:r>
      <w:r w:rsidR="009503F5" w:rsidRPr="00BC081A">
        <w:rPr>
          <w:bCs/>
        </w:rPr>
        <w:t xml:space="preserve"> </w:t>
      </w:r>
      <w:r w:rsidRPr="00BC081A">
        <w:rPr>
          <w:bCs/>
        </w:rPr>
        <w:t>g</w:t>
      </w:r>
      <w:r w:rsidR="009503F5" w:rsidRPr="00BC081A">
        <w:rPr>
          <w:bCs/>
        </w:rPr>
        <w:t>ames have been used for various purposes for several decades. Particularly, the military has used games</w:t>
      </w:r>
      <w:r w:rsidRPr="00BC081A">
        <w:rPr>
          <w:bCs/>
        </w:rPr>
        <w:t xml:space="preserve"> significantly</w:t>
      </w:r>
      <w:r w:rsidR="009503F5" w:rsidRPr="00BC081A">
        <w:rPr>
          <w:bCs/>
        </w:rPr>
        <w:t xml:space="preserve"> for training officers and soldiers </w:t>
      </w:r>
      <w:r w:rsidR="009503F5" w:rsidRPr="00BC081A">
        <w:rPr>
          <w:bCs/>
        </w:rPr>
        <w:fldChar w:fldCharType="begin" w:fldLock="1"/>
      </w:r>
      <w:r w:rsidR="00AC1F7D">
        <w:rPr>
          <w:bCs/>
        </w:rPr>
        <w:instrText>ADDIN CSL_CITATION { "citationItems" : [ { "id" : "ITEM-1", "itemData" : { "author" : [ { "dropping-particle" : "", "family" : "Prensky", "given" : "Marc", "non-dropping-particle" : "", "parse-names" : false, "suffix" : "" } ], "container-title" : "Learning Circuits", "id" : "ITEM-1", "issued" : { "date-parts" : [ [ "2001" ] ] }, "page" : "1-18", "title" : "True believers: Digital game-based learning in the military", "type" : "article-journal" }, "uris" : [ "http://www.mendeley.com/documents/?uuid=bbb60348-578f-4c7d-927f-734d2ef94f5b" ] } ], "mendeley" : { "previouslyFormattedCitation" : "(Prensky, 2001)" }, "properties" : { "noteIndex" : 0 }, "schema" : "https://github.com/citation-style-language/schema/raw/master/csl-citation.json" }</w:instrText>
      </w:r>
      <w:r w:rsidR="009503F5" w:rsidRPr="00BC081A">
        <w:rPr>
          <w:bCs/>
        </w:rPr>
        <w:fldChar w:fldCharType="separate"/>
      </w:r>
      <w:r w:rsidR="006220B2" w:rsidRPr="00BC081A">
        <w:rPr>
          <w:bCs/>
          <w:noProof/>
        </w:rPr>
        <w:t>(Prensky, 2001)</w:t>
      </w:r>
      <w:r w:rsidR="009503F5" w:rsidRPr="00BC081A">
        <w:rPr>
          <w:bCs/>
        </w:rPr>
        <w:fldChar w:fldCharType="end"/>
      </w:r>
      <w:r w:rsidR="009503F5" w:rsidRPr="00BC081A">
        <w:rPr>
          <w:bCs/>
        </w:rPr>
        <w:t xml:space="preserve">. In fact, the term “Serious Games” was first proposed in the 1980s prior to the pervasiveness of video games and </w:t>
      </w:r>
      <w:r w:rsidR="007B6A1C" w:rsidRPr="00BC081A">
        <w:rPr>
          <w:bCs/>
        </w:rPr>
        <w:t xml:space="preserve">the booming </w:t>
      </w:r>
      <w:r w:rsidR="009503F5" w:rsidRPr="00BC081A">
        <w:rPr>
          <w:bCs/>
        </w:rPr>
        <w:t xml:space="preserve">video game industry </w:t>
      </w:r>
      <w:r w:rsidR="009503F5" w:rsidRPr="00BC081A">
        <w:rPr>
          <w:bCs/>
        </w:rPr>
        <w:fldChar w:fldCharType="begin" w:fldLock="1"/>
      </w:r>
      <w:r w:rsidR="00AC1F7D">
        <w:rPr>
          <w:bCs/>
        </w:rPr>
        <w:instrText>ADDIN CSL_CITATION { "citationItems" : [ { "id" : "ITEM-1", "itemData" : { "author" : [ { "dropping-particle" : "", "family" : "Abt", "given" : "Clark C", "non-dropping-particle" : "", "parse-names" : false, "suffix" : "" } ], "id" : "ITEM-1", "issued" : { "date-parts" : [ [ "1987" ] ] }, "publisher" : "University Press of America", "title" : "Serious games", "type" : "book" }, "uris" : [ "http://www.mendeley.com/documents/?uuid=33ccc92a-c6b7-4b79-b98c-f435a105dc2a" ] } ], "mendeley" : { "previouslyFormattedCitation" : "(Abt, 1987)" }, "properties" : { "noteIndex" : 0 }, "schema" : "https://github.com/citation-style-language/schema/raw/master/csl-citation.json" }</w:instrText>
      </w:r>
      <w:r w:rsidR="009503F5" w:rsidRPr="00BC081A">
        <w:rPr>
          <w:bCs/>
        </w:rPr>
        <w:fldChar w:fldCharType="separate"/>
      </w:r>
      <w:r w:rsidR="009503F5" w:rsidRPr="00BC081A">
        <w:rPr>
          <w:bCs/>
          <w:noProof/>
        </w:rPr>
        <w:t>(Abt, 1987)</w:t>
      </w:r>
      <w:r w:rsidR="009503F5" w:rsidRPr="00BC081A">
        <w:rPr>
          <w:bCs/>
        </w:rPr>
        <w:fldChar w:fldCharType="end"/>
      </w:r>
      <w:r w:rsidR="009503F5" w:rsidRPr="00BC081A">
        <w:rPr>
          <w:bCs/>
        </w:rPr>
        <w:t>. However, as video game audiences and spectrum have expanded broadly since the end of the 20</w:t>
      </w:r>
      <w:r w:rsidR="009503F5" w:rsidRPr="00BC081A">
        <w:rPr>
          <w:bCs/>
          <w:vertAlign w:val="superscript"/>
        </w:rPr>
        <w:t>th</w:t>
      </w:r>
      <w:r w:rsidR="009503F5" w:rsidRPr="00BC081A">
        <w:rPr>
          <w:bCs/>
        </w:rPr>
        <w:t xml:space="preserve"> century, other industries began following the lead of the military to deploy video games to advance their agendas. Today, video games have </w:t>
      </w:r>
      <w:r w:rsidR="000E753B" w:rsidRPr="00BC081A">
        <w:rPr>
          <w:bCs/>
        </w:rPr>
        <w:t>been applied to</w:t>
      </w:r>
      <w:r w:rsidR="009503F5" w:rsidRPr="00BC081A">
        <w:rPr>
          <w:bCs/>
        </w:rPr>
        <w:t xml:space="preserve"> various applications in many sectors, such as government, education, corporations, healthcare, and as mentioned above, the military </w:t>
      </w:r>
      <w:r w:rsidR="009503F5" w:rsidRPr="00BC081A">
        <w:rPr>
          <w:bCs/>
        </w:rPr>
        <w:fldChar w:fldCharType="begin" w:fldLock="1"/>
      </w:r>
      <w:r w:rsidR="00AC1F7D">
        <w:rPr>
          <w:bCs/>
        </w:rPr>
        <w:instrText>ADDIN CSL_CITATION { "citationItems" : [ { "id" : "ITEM-1", "itemData" : { "author" : [ { "dropping-particle" : "", "family" : "Susi", "given" : "T", "non-dropping-particle" : "", "parse-names" : false, "suffix" : "" }, { "dropping-particle" : "", "family" : "Johannesson", "given" : "M", "non-dropping-particle" : "", "parse-names" : false, "suffix" : "" }, { "dropping-particle" : "", "family" : "Backlund", "given" : "P", "non-dropping-particle" : "", "parse-names" : false, "suffix" : "" } ], "container-title" : "Sk\u00f6vde: University of Sk\u00f6vde (Technical Report HS-IKI-TR-07-001)", "id" : "ITEM-1", "issued" : { "date-parts" : [ [ "2007" ] ] }, "title" : "Serious games--An overview", "type" : "article-journal" }, "uris" : [ "http://www.mendeley.com/documents/?uuid=3feb2367-fbcd-486f-bf05-fae513480574" ] } ], "mendeley" : { "previouslyFormattedCitation" : "(Susi, Johannesson, &amp; Backlund, 2007)" }, "properties" : { "noteIndex" : 0 }, "schema" : "https://github.com/citation-style-language/schema/raw/master/csl-citation.json" }</w:instrText>
      </w:r>
      <w:r w:rsidR="009503F5" w:rsidRPr="00BC081A">
        <w:rPr>
          <w:bCs/>
        </w:rPr>
        <w:fldChar w:fldCharType="separate"/>
      </w:r>
      <w:r w:rsidR="009503F5" w:rsidRPr="00BC081A">
        <w:rPr>
          <w:bCs/>
          <w:noProof/>
        </w:rPr>
        <w:t>(Susi, Johannesson, &amp; Backlund, 2007)</w:t>
      </w:r>
      <w:r w:rsidR="009503F5" w:rsidRPr="00BC081A">
        <w:rPr>
          <w:bCs/>
        </w:rPr>
        <w:fldChar w:fldCharType="end"/>
      </w:r>
      <w:r w:rsidR="009503F5" w:rsidRPr="00BC081A">
        <w:rPr>
          <w:bCs/>
        </w:rPr>
        <w:t xml:space="preserve">. </w:t>
      </w:r>
    </w:p>
    <w:p w14:paraId="2BBB40C9" w14:textId="0390EC77" w:rsidR="009503F5" w:rsidRPr="00BC081A" w:rsidRDefault="009503F5" w:rsidP="009503F5">
      <w:r w:rsidRPr="00BC081A">
        <w:t xml:space="preserve">As Sawyer and Smith </w:t>
      </w:r>
      <w:r w:rsidRPr="00BC081A">
        <w:fldChar w:fldCharType="begin" w:fldLock="1"/>
      </w:r>
      <w:r w:rsidR="00AC1F7D">
        <w:instrText>ADDIN CSL_CITATION { "citationItems" : [ { "id" : "ITEM-1", "itemData" : { "author" : [ { "dropping-particle" : "", "family" : "Sawyer", "given" : "B", "non-dropping-particle" : "", "parse-names" : false, "suffix" : "" }, { "dropping-particle" : "", "family" : "Smith", "given" : "P", "non-dropping-particle" : "", "parse-names" : false, "suffix" : "" } ], "container-title" : "Slides from the Serious Games Summit at the Game Developers Conference", "id" : "ITEM-1", "issued" : { "date-parts" : [ [ "2008" ] ] }, "title" : "Serious games taxonomy", "type" : "paper-conference" }, "suppress-author" : 1, "uris" : [ "http://www.mendeley.com/documents/?uuid=bbc7e70f-2a18-4d8a-9b9c-619aa9dbb4b2" ] } ], "mendeley" : { "previouslyFormattedCitation" : "(2008)" }, "properties" : { "noteIndex" : 0 }, "schema" : "https://github.com/citation-style-language/schema/raw/master/csl-citation.json" }</w:instrText>
      </w:r>
      <w:r w:rsidRPr="00BC081A">
        <w:fldChar w:fldCharType="separate"/>
      </w:r>
      <w:r w:rsidRPr="00BC081A">
        <w:rPr>
          <w:noProof/>
        </w:rPr>
        <w:t>(2008)</w:t>
      </w:r>
      <w:r w:rsidRPr="00BC081A">
        <w:fldChar w:fldCharType="end"/>
      </w:r>
      <w:r w:rsidRPr="00BC081A">
        <w:t xml:space="preserve"> have remarked, serious games go beyond games that are used only for learning or training. Even though the term “Serious Games” seems to be an oxymoron since games are, by their nature, developed for fun and not serious issues </w:t>
      </w:r>
      <w:r w:rsidRPr="00BC081A">
        <w:fldChar w:fldCharType="begin" w:fldLock="1"/>
      </w:r>
      <w:r w:rsidR="00AC1F7D">
        <w:instrText>ADDIN CSL_CITATION { "citationItems" : [ { "id" : "ITEM-1", "itemData" : { "author" : [ { "dropping-particle" : "", "family" : "Newman", "given" : "J", "non-dropping-particle" : "", "parse-names" : false, "suffix" : "" } ], "id" : "ITEM-1", "issued" : { "date-parts" : [ [ "2004" ] ] }, "publisher" : "Psychology Press", "title" : "Videogames", "type" : "book" }, "uris" : [ "http://www.mendeley.com/documents/?uuid=d700a33e-6b44-4009-9122-7bf0d789cf22" ] } ], "mendeley" : { "previouslyFormattedCitation" : "(Newman, 2004)" }, "properties" : { "noteIndex" : 0 }, "schema" : "https://github.com/citation-style-language/schema/raw/master/csl-citation.json" }</w:instrText>
      </w:r>
      <w:r w:rsidRPr="00BC081A">
        <w:fldChar w:fldCharType="separate"/>
      </w:r>
      <w:r w:rsidRPr="00BC081A">
        <w:rPr>
          <w:noProof/>
        </w:rPr>
        <w:t>(Newman, 2004)</w:t>
      </w:r>
      <w:r w:rsidRPr="00BC081A">
        <w:fldChar w:fldCharType="end"/>
      </w:r>
      <w:r w:rsidRPr="00BC081A">
        <w:t xml:space="preserve">, serious games is a term </w:t>
      </w:r>
      <w:r w:rsidR="00033D55">
        <w:t xml:space="preserve">that </w:t>
      </w:r>
      <w:r w:rsidR="00033D55" w:rsidRPr="00BC081A">
        <w:t>refers</w:t>
      </w:r>
      <w:r w:rsidR="00033D55">
        <w:t xml:space="preserve"> </w:t>
      </w:r>
      <w:r w:rsidRPr="00BC081A">
        <w:t xml:space="preserve">to games (mainly digital) </w:t>
      </w:r>
      <w:r w:rsidR="00033D55">
        <w:t xml:space="preserve">that are </w:t>
      </w:r>
      <w:r w:rsidRPr="00BC081A">
        <w:t xml:space="preserve">“used for purposes other than mere entertainment” </w:t>
      </w:r>
      <w:r w:rsidRPr="00BC081A">
        <w:fldChar w:fldCharType="begin" w:fldLock="1"/>
      </w:r>
      <w:r w:rsidR="00AC1F7D">
        <w:instrText>ADDIN CSL_CITATION { "citationItems" : [ { "id" : "ITEM-1", "itemData" : { "author" : [ { "dropping-particle" : "", "family" : "Susi", "given" : "T", "non-dropping-particle" : "", "parse-names" : false, "suffix" : "" }, { "dropping-particle" : "", "family" : "Johannesson", "given" : "M", "non-dropping-particle" : "", "parse-names" : false, "suffix" : "" }, { "dropping-particle" : "", "family" : "Backlund", "given" : "P", "non-dropping-particle" : "", "parse-names" : false, "suffix" : "" } ], "container-title" : "Sk\u00f6vde: University of Sk\u00f6vde (Technical Report HS-IKI-TR-07-001)", "id" : "ITEM-1", "issued" : { "date-parts" : [ [ "2007" ] ] }, "title" : "Serious games--An overview", "type" : "article-journal" }, "locator" : "1", "uris" : [ "http://www.mendeley.com/documents/?uuid=3feb2367-fbcd-486f-bf05-fae513480574" ] } ], "mendeley" : { "previouslyFormattedCitation" : "(Susi et al., 2007, p. 1)" }, "properties" : { "noteIndex" : 0 }, "schema" : "https://github.com/citation-style-language/schema/raw/master/csl-citation.json" }</w:instrText>
      </w:r>
      <w:r w:rsidRPr="00BC081A">
        <w:fldChar w:fldCharType="separate"/>
      </w:r>
      <w:r w:rsidRPr="00BC081A">
        <w:rPr>
          <w:noProof/>
        </w:rPr>
        <w:t>(Susi et al., 2007, p. 1)</w:t>
      </w:r>
      <w:r w:rsidRPr="00BC081A">
        <w:fldChar w:fldCharType="end"/>
      </w:r>
      <w:r w:rsidRPr="00BC081A">
        <w:t>. More precisely, serious games can be defined as:</w:t>
      </w:r>
    </w:p>
    <w:p w14:paraId="49B1327D" w14:textId="25AE1CCE" w:rsidR="009503F5" w:rsidRPr="00BC081A" w:rsidRDefault="009503F5" w:rsidP="009503F5">
      <w:pPr>
        <w:pStyle w:val="Quote"/>
      </w:pPr>
      <w:r w:rsidRPr="00BC081A">
        <w:lastRenderedPageBreak/>
        <w:t xml:space="preserve">“Any form of interactive computer-based game software for one or multiple players to be used on any platform and that has been developed with the intention to be more than entertainment” </w:t>
      </w:r>
      <w:r w:rsidRPr="00BC081A">
        <w:fldChar w:fldCharType="begin" w:fldLock="1"/>
      </w:r>
      <w:r w:rsidR="00AC1F7D">
        <w:instrText>ADDIN CSL_CITATION { "citationItems" : [ { "id" : "ITEM-1", "itemData" : { "author" : [ { "dropping-particle" : "", "family" : "Ritterfeld", "given" : "U", "non-dropping-particle" : "", "parse-names" : false, "suffix" : "" }, { "dropping-particle" : "", "family" : "Cody", "given" : "M J", "non-dropping-particle" : "", "parse-names" : false, "suffix" : "" }, { "dropping-particle" : "", "family" : "Vorderer", "given" : "P", "non-dropping-particle" : "", "parse-names" : false, "suffix" : "" } ], "id" : "ITEM-1", "issued" : { "date-parts" : [ [ "2009" ] ] }, "publisher" : "Taylor &amp; Francis", "title" : "Serious games: Mechanisms and effects", "type" : "book" }, "locator" : "6", "uris" : [ "http://www.mendeley.com/documents/?uuid=538d6b85-3c89-485b-baef-b7f837f8b6e1" ] } ], "mendeley" : { "previouslyFormattedCitation" : "(Ritterfeld, Cody, &amp; Vorderer, 2009, p. 6)" }, "properties" : { "noteIndex" : 0 }, "schema" : "https://github.com/citation-style-language/schema/raw/master/csl-citation.json" }</w:instrText>
      </w:r>
      <w:r w:rsidRPr="00BC081A">
        <w:fldChar w:fldCharType="separate"/>
      </w:r>
      <w:r w:rsidRPr="00BC081A">
        <w:rPr>
          <w:i w:val="0"/>
          <w:noProof/>
        </w:rPr>
        <w:t>(Ritterfeld, Cody, &amp; Vorderer, 2009, p. 6)</w:t>
      </w:r>
      <w:r w:rsidRPr="00BC081A">
        <w:fldChar w:fldCharType="end"/>
      </w:r>
      <w:r w:rsidRPr="00BC081A">
        <w:t xml:space="preserve">. </w:t>
      </w:r>
    </w:p>
    <w:p w14:paraId="13E7D6D9" w14:textId="10199E83" w:rsidR="00B724B3" w:rsidRPr="00BC081A" w:rsidRDefault="006220B2" w:rsidP="00B724B3">
      <w:pPr>
        <w:ind w:firstLine="0"/>
      </w:pPr>
      <w:r w:rsidRPr="00BC081A">
        <w:t xml:space="preserve">Based on Sawyer and Smith’s </w:t>
      </w:r>
      <w:r w:rsidRPr="00BC081A">
        <w:fldChar w:fldCharType="begin" w:fldLock="1"/>
      </w:r>
      <w:r w:rsidR="00AC1F7D">
        <w:instrText>ADDIN CSL_CITATION { "citationItems" : [ { "id" : "ITEM-1", "itemData" : { "author" : [ { "dropping-particle" : "", "family" : "Sawyer", "given" : "B", "non-dropping-particle" : "", "parse-names" : false, "suffix" : "" }, { "dropping-particle" : "", "family" : "Smith", "given" : "P", "non-dropping-particle" : "", "parse-names" : false, "suffix" : "" } ], "container-title" : "Slides from the Serious Games Summit at the Game Developers Conference", "id" : "ITEM-1", "issued" : { "date-parts" : [ [ "2008" ] ] }, "title" : "Serious games taxonomy", "type" : "paper-conference" }, "suppress-author" : 1, "uris" : [ "http://www.mendeley.com/documents/?uuid=bbc7e70f-2a18-4d8a-9b9c-619aa9dbb4b2" ] } ], "mendeley" : { "previouslyFormattedCitation" : "(2008)" }, "properties" : { "noteIndex" : 0 }, "schema" : "https://github.com/citation-style-language/schema/raw/master/csl-citation.json" }</w:instrText>
      </w:r>
      <w:r w:rsidRPr="00BC081A">
        <w:fldChar w:fldCharType="separate"/>
      </w:r>
      <w:r w:rsidRPr="00BC081A">
        <w:rPr>
          <w:noProof/>
        </w:rPr>
        <w:t>(2008)</w:t>
      </w:r>
      <w:r w:rsidRPr="00BC081A">
        <w:fldChar w:fldCharType="end"/>
      </w:r>
      <w:r w:rsidRPr="00BC081A">
        <w:t xml:space="preserve"> taxonomy, S</w:t>
      </w:r>
      <w:r w:rsidR="009503F5" w:rsidRPr="00BC081A">
        <w:t xml:space="preserve">erious </w:t>
      </w:r>
      <w:r w:rsidRPr="00BC081A">
        <w:t>G</w:t>
      </w:r>
      <w:r w:rsidR="009503F5" w:rsidRPr="00BC081A">
        <w:t xml:space="preserve">ames can be divided into, but not limited to, the following categories: </w:t>
      </w:r>
    </w:p>
    <w:p w14:paraId="7D0AA3AC" w14:textId="62198944" w:rsidR="00B724B3" w:rsidRPr="00BC081A" w:rsidRDefault="00B724B3" w:rsidP="00536F6A">
      <w:pPr>
        <w:pStyle w:val="ListParagraph"/>
        <w:numPr>
          <w:ilvl w:val="0"/>
          <w:numId w:val="28"/>
        </w:numPr>
      </w:pPr>
      <w:r w:rsidRPr="00BC081A">
        <w:t>Game-Based Simulation</w:t>
      </w:r>
      <w:r w:rsidR="00F078A9">
        <w:t>s</w:t>
      </w:r>
      <w:r w:rsidRPr="00BC081A">
        <w:t>:</w:t>
      </w:r>
      <w:r w:rsidR="002B1951" w:rsidRPr="00BC081A">
        <w:t xml:space="preserve"> </w:t>
      </w:r>
      <w:r w:rsidR="004A38CB" w:rsidRPr="00BC081A">
        <w:t>Also known as Game-Based Simulator</w:t>
      </w:r>
      <w:r w:rsidR="00F078A9">
        <w:t>s</w:t>
      </w:r>
      <w:r w:rsidR="004A38CB" w:rsidRPr="00BC081A">
        <w:t xml:space="preserve"> or Simulation Game</w:t>
      </w:r>
      <w:r w:rsidR="00F078A9">
        <w:t>s</w:t>
      </w:r>
      <w:r w:rsidR="004A38CB" w:rsidRPr="00BC081A">
        <w:t xml:space="preserve"> are s</w:t>
      </w:r>
      <w:r w:rsidR="003318C7" w:rsidRPr="00BC081A">
        <w:t xml:space="preserve">imulations that use video game environments for creating a more engaging environment, such as virtual universities. </w:t>
      </w:r>
    </w:p>
    <w:p w14:paraId="47B61D70" w14:textId="0862A82A" w:rsidR="00B724B3" w:rsidRPr="00BC081A" w:rsidRDefault="00B724B3" w:rsidP="00536F6A">
      <w:pPr>
        <w:pStyle w:val="ListParagraph"/>
        <w:numPr>
          <w:ilvl w:val="0"/>
          <w:numId w:val="28"/>
        </w:numPr>
      </w:pPr>
      <w:r w:rsidRPr="00BC081A">
        <w:t>Game-Based Model</w:t>
      </w:r>
      <w:r w:rsidR="00F078A9">
        <w:t>s</w:t>
      </w:r>
      <w:r w:rsidRPr="00BC081A">
        <w:t>:</w:t>
      </w:r>
      <w:r w:rsidR="009503F5" w:rsidRPr="00BC081A">
        <w:t xml:space="preserve"> </w:t>
      </w:r>
      <w:r w:rsidR="00F078A9">
        <w:t>G</w:t>
      </w:r>
      <w:r w:rsidR="00AC09A3" w:rsidRPr="00BC081A">
        <w:t>ames that use a simplified version of real-world models, such as building bridges as in Bridge Build</w:t>
      </w:r>
      <w:r w:rsidR="00261C19">
        <w:t>™</w:t>
      </w:r>
      <w:r w:rsidR="00AC09A3" w:rsidRPr="00BC081A">
        <w:t xml:space="preserve"> or real-world/life simulations as in The Sims.</w:t>
      </w:r>
    </w:p>
    <w:p w14:paraId="0E68A4D5" w14:textId="4BD9F859" w:rsidR="00B724B3" w:rsidRPr="00BC081A" w:rsidRDefault="00B724B3" w:rsidP="00536F6A">
      <w:pPr>
        <w:pStyle w:val="ListParagraph"/>
        <w:numPr>
          <w:ilvl w:val="0"/>
          <w:numId w:val="28"/>
        </w:numPr>
      </w:pPr>
      <w:r w:rsidRPr="00BC081A">
        <w:t>Game-Based Visualization</w:t>
      </w:r>
      <w:r w:rsidR="00F078A9">
        <w:t>s</w:t>
      </w:r>
      <w:r w:rsidRPr="00BC081A">
        <w:t>:</w:t>
      </w:r>
      <w:r w:rsidR="00AC09A3" w:rsidRPr="00BC081A">
        <w:t xml:space="preserve"> </w:t>
      </w:r>
      <w:r w:rsidR="004A38CB" w:rsidRPr="00BC081A">
        <w:t>Also known as Game Visualization</w:t>
      </w:r>
      <w:r w:rsidR="00F078A9">
        <w:t>s</w:t>
      </w:r>
      <w:r w:rsidR="004A38CB" w:rsidRPr="00BC081A">
        <w:t xml:space="preserve"> is the category of </w:t>
      </w:r>
      <w:r w:rsidR="006220B2" w:rsidRPr="00BC081A">
        <w:t>systems that use visual technologies and techniques from games to create new forms of visualization and more accessible versions of visualization. These systems allow for higher levels of interactive visualization where user actions might affect resulting visualization</w:t>
      </w:r>
      <w:r w:rsidR="002C0102">
        <w:t>, such as in the game of Holt Forestry</w:t>
      </w:r>
      <w:r w:rsidR="00261C19">
        <w:t>™</w:t>
      </w:r>
      <w:r w:rsidR="002C0102">
        <w:t xml:space="preserve">. </w:t>
      </w:r>
    </w:p>
    <w:p w14:paraId="0522426F" w14:textId="5871377A" w:rsidR="00F078A9" w:rsidRPr="00BC081A" w:rsidRDefault="00B724B3" w:rsidP="00536F6A">
      <w:pPr>
        <w:pStyle w:val="ListParagraph"/>
        <w:numPr>
          <w:ilvl w:val="0"/>
          <w:numId w:val="28"/>
        </w:numPr>
      </w:pPr>
      <w:r w:rsidRPr="00BC081A">
        <w:t>Game-Based Interface</w:t>
      </w:r>
      <w:r w:rsidR="00F078A9">
        <w:t>s</w:t>
      </w:r>
      <w:r w:rsidRPr="00BC081A">
        <w:t>:</w:t>
      </w:r>
      <w:r w:rsidR="009503F5" w:rsidRPr="00BC081A">
        <w:t xml:space="preserve"> </w:t>
      </w:r>
      <w:r w:rsidR="00684F6B" w:rsidRPr="00BC081A">
        <w:t>Also referred to as Game</w:t>
      </w:r>
      <w:r w:rsidR="00F078A9">
        <w:t>-</w:t>
      </w:r>
      <w:r w:rsidR="00684F6B" w:rsidRPr="00BC081A">
        <w:t>Like Interface</w:t>
      </w:r>
      <w:r w:rsidR="00F078A9">
        <w:t>s</w:t>
      </w:r>
      <w:r w:rsidR="00684F6B" w:rsidRPr="00BC081A">
        <w:t xml:space="preserve"> or Game-Based UI is a non</w:t>
      </w:r>
      <w:r w:rsidR="00F078A9">
        <w:t>-</w:t>
      </w:r>
      <w:r w:rsidR="00684F6B" w:rsidRPr="00BC081A">
        <w:t>standard but highly symbiotic application interface design produced based on the design of a popular game such as Doom</w:t>
      </w:r>
      <w:r w:rsidR="00261C19">
        <w:t>™</w:t>
      </w:r>
      <w:r w:rsidR="00684F6B" w:rsidRPr="00BC081A">
        <w:t xml:space="preserve"> in Doom Linux</w:t>
      </w:r>
      <w:r w:rsidR="00261C19">
        <w:t>™</w:t>
      </w:r>
      <w:r w:rsidR="00684F6B" w:rsidRPr="00BC081A">
        <w:t>.</w:t>
      </w:r>
    </w:p>
    <w:p w14:paraId="0535DA8F" w14:textId="0A6A1658" w:rsidR="00B724B3" w:rsidRPr="00BC081A" w:rsidRDefault="009503F5" w:rsidP="00D703DE">
      <w:pPr>
        <w:pStyle w:val="ListParagraph"/>
        <w:numPr>
          <w:ilvl w:val="0"/>
          <w:numId w:val="28"/>
        </w:numPr>
      </w:pPr>
      <w:r w:rsidRPr="00BC081A">
        <w:t xml:space="preserve">Game-Based </w:t>
      </w:r>
      <w:r w:rsidR="00103EC3" w:rsidRPr="00BC081A">
        <w:t>Production</w:t>
      </w:r>
      <w:r w:rsidR="00F078A9">
        <w:t>s</w:t>
      </w:r>
      <w:r w:rsidR="00B724B3" w:rsidRPr="00BC081A">
        <w:t>:</w:t>
      </w:r>
      <w:r w:rsidRPr="00BC081A">
        <w:t xml:space="preserve"> </w:t>
      </w:r>
      <w:r w:rsidR="00EF6FB7" w:rsidRPr="00BC081A">
        <w:t xml:space="preserve">Use of tools or game/game engines created for </w:t>
      </w:r>
      <w:proofErr w:type="spellStart"/>
      <w:r w:rsidR="00EF6FB7" w:rsidRPr="00BC081A">
        <w:t>videogaming</w:t>
      </w:r>
      <w:proofErr w:type="spellEnd"/>
      <w:r w:rsidR="00EF6FB7" w:rsidRPr="00BC081A">
        <w:t xml:space="preserve"> to output some other piece of media. For example, </w:t>
      </w:r>
      <w:proofErr w:type="spellStart"/>
      <w:r w:rsidR="00EF6FB7" w:rsidRPr="00BC081A">
        <w:t>Electroplankton</w:t>
      </w:r>
      <w:proofErr w:type="spellEnd"/>
      <w:r w:rsidR="00261C19">
        <w:t>™</w:t>
      </w:r>
      <w:r w:rsidR="00EF6FB7" w:rsidRPr="00BC081A">
        <w:t xml:space="preserve"> is a video game in which players use animated planktons to create music. </w:t>
      </w:r>
      <w:r w:rsidR="00103EC3" w:rsidRPr="00BC081A">
        <w:t xml:space="preserve">This category of Serious Games could </w:t>
      </w:r>
      <w:r w:rsidR="00F078A9" w:rsidRPr="00BC081A">
        <w:t>also</w:t>
      </w:r>
      <w:r w:rsidR="00103EC3" w:rsidRPr="00BC081A">
        <w:t xml:space="preserve"> be referred to as Game-Based Authoring. </w:t>
      </w:r>
    </w:p>
    <w:p w14:paraId="4F3F06F1" w14:textId="5B06EAE0" w:rsidR="00B724B3" w:rsidRPr="00BC081A" w:rsidRDefault="009503F5" w:rsidP="00536F6A">
      <w:pPr>
        <w:pStyle w:val="ListParagraph"/>
        <w:numPr>
          <w:ilvl w:val="0"/>
          <w:numId w:val="28"/>
        </w:numPr>
      </w:pPr>
      <w:r w:rsidRPr="00BC081A">
        <w:lastRenderedPageBreak/>
        <w:t xml:space="preserve">Game-Based </w:t>
      </w:r>
      <w:r w:rsidR="00B724B3" w:rsidRPr="00BC081A">
        <w:t>Messaging/Advertising/Marketing:</w:t>
      </w:r>
      <w:r w:rsidRPr="00BC081A">
        <w:t xml:space="preserve"> </w:t>
      </w:r>
      <w:r w:rsidR="001119AC" w:rsidRPr="00BC081A">
        <w:t xml:space="preserve">Also known as </w:t>
      </w:r>
      <w:proofErr w:type="spellStart"/>
      <w:r w:rsidR="001119AC" w:rsidRPr="00BC081A">
        <w:t>Advergames</w:t>
      </w:r>
      <w:proofErr w:type="spellEnd"/>
      <w:r w:rsidR="001119AC" w:rsidRPr="00BC081A">
        <w:t xml:space="preserve"> are a </w:t>
      </w:r>
      <w:proofErr w:type="gramStart"/>
      <w:r w:rsidR="001119AC" w:rsidRPr="00BC081A">
        <w:t>type</w:t>
      </w:r>
      <w:proofErr w:type="gramEnd"/>
      <w:r w:rsidR="001119AC" w:rsidRPr="00BC081A">
        <w:t xml:space="preserve"> of Serious Game that are used to transmit a message, advertise a product/service, or market a product. </w:t>
      </w:r>
      <w:r w:rsidR="00464F45" w:rsidRPr="00464F45">
        <w:t>BMW M3 Challenge</w:t>
      </w:r>
      <w:r w:rsidR="00261C19">
        <w:t>£</w:t>
      </w:r>
      <w:r w:rsidR="00464F45">
        <w:t xml:space="preserve">, Johnson &amp; </w:t>
      </w:r>
      <w:proofErr w:type="spellStart"/>
      <w:r w:rsidR="00464F45">
        <w:t>Johnson</w:t>
      </w:r>
      <w:r w:rsidR="00261C19" w:rsidRPr="00261C19">
        <w:rPr>
          <w:vertAlign w:val="superscript"/>
        </w:rPr>
        <w:t>®</w:t>
      </w:r>
      <w:r w:rsidR="00464F45">
        <w:t>’s</w:t>
      </w:r>
      <w:proofErr w:type="spellEnd"/>
      <w:r w:rsidR="00464F45">
        <w:t xml:space="preserve"> Tooth Protectors</w:t>
      </w:r>
      <w:r w:rsidR="00261C19">
        <w:t>™</w:t>
      </w:r>
      <w:r w:rsidR="00464F45">
        <w:t xml:space="preserve">, and </w:t>
      </w:r>
      <w:r w:rsidR="00CA58C3">
        <w:t>GMC</w:t>
      </w:r>
      <w:r w:rsidR="00261C19" w:rsidRPr="00261C19">
        <w:rPr>
          <w:vertAlign w:val="superscript"/>
        </w:rPr>
        <w:t>®</w:t>
      </w:r>
      <w:r w:rsidR="00CA58C3">
        <w:t xml:space="preserve"> </w:t>
      </w:r>
      <w:r w:rsidR="00261C19">
        <w:t>t</w:t>
      </w:r>
      <w:r w:rsidR="00CA58C3">
        <w:t xml:space="preserve">ruck’s Hit the </w:t>
      </w:r>
      <w:r w:rsidR="00261C19">
        <w:t>P</w:t>
      </w:r>
      <w:r w:rsidR="00CA58C3">
        <w:t>ros</w:t>
      </w:r>
      <w:r w:rsidR="00261C19">
        <w:t>™</w:t>
      </w:r>
      <w:r w:rsidR="00CA58C3">
        <w:t xml:space="preserve"> are a few examples of this type of games.</w:t>
      </w:r>
    </w:p>
    <w:p w14:paraId="6CE78B7C" w14:textId="3C214E62" w:rsidR="00B724B3" w:rsidRPr="00BC081A" w:rsidRDefault="00B724B3" w:rsidP="00536F6A">
      <w:pPr>
        <w:pStyle w:val="ListParagraph"/>
        <w:numPr>
          <w:ilvl w:val="0"/>
          <w:numId w:val="28"/>
        </w:numPr>
      </w:pPr>
      <w:r w:rsidRPr="00BC081A">
        <w:t>Game-Based Training:</w:t>
      </w:r>
      <w:r w:rsidR="00846A76" w:rsidRPr="00BC081A">
        <w:t xml:space="preserve"> Adding gameplay to enhance motivation to train, or effectiveness of content transfer, behavio</w:t>
      </w:r>
      <w:r w:rsidR="00FC33DA">
        <w:t>u</w:t>
      </w:r>
      <w:r w:rsidR="00846A76" w:rsidRPr="00BC081A">
        <w:t xml:space="preserve">r change, or </w:t>
      </w:r>
      <w:r w:rsidR="00FC33DA">
        <w:t xml:space="preserve">another </w:t>
      </w:r>
      <w:r w:rsidR="00846A76" w:rsidRPr="00BC081A">
        <w:t>specific goal of training</w:t>
      </w:r>
      <w:r w:rsidR="00CA58C3">
        <w:t>, such as Binary Game</w:t>
      </w:r>
      <w:r w:rsidR="00261C19">
        <w:t>™</w:t>
      </w:r>
      <w:r w:rsidR="00846A76" w:rsidRPr="00BC081A">
        <w:t>.</w:t>
      </w:r>
    </w:p>
    <w:p w14:paraId="66CA234D" w14:textId="40C99231" w:rsidR="00B724B3" w:rsidRPr="00BC081A" w:rsidRDefault="009503F5" w:rsidP="00536F6A">
      <w:pPr>
        <w:pStyle w:val="ListParagraph"/>
        <w:numPr>
          <w:ilvl w:val="0"/>
          <w:numId w:val="28"/>
        </w:numPr>
      </w:pPr>
      <w:r w:rsidRPr="00BC081A">
        <w:t>Game-Based Education/Learning</w:t>
      </w:r>
      <w:r w:rsidR="00D34D37">
        <w:t xml:space="preserve"> (also known as </w:t>
      </w:r>
      <w:proofErr w:type="spellStart"/>
      <w:r w:rsidR="00D34D37">
        <w:t>Edugames</w:t>
      </w:r>
      <w:proofErr w:type="spellEnd"/>
      <w:r w:rsidR="00D34D37">
        <w:t>)</w:t>
      </w:r>
      <w:r w:rsidR="00B724B3" w:rsidRPr="00BC081A">
        <w:t>:</w:t>
      </w:r>
      <w:r w:rsidR="007E7AFA" w:rsidRPr="00BC081A">
        <w:t xml:space="preserve"> Using gameplay to enhance motivation to learn, engage education, or to enhance effectiveness of content transfer or other specific learning outcome.</w:t>
      </w:r>
      <w:r w:rsidR="006C7247">
        <w:t xml:space="preserve"> </w:t>
      </w:r>
      <w:proofErr w:type="spellStart"/>
      <w:r w:rsidR="006C7247">
        <w:t>ERPsim</w:t>
      </w:r>
      <w:proofErr w:type="spellEnd"/>
      <w:r w:rsidR="00261C19">
        <w:t>™</w:t>
      </w:r>
      <w:r w:rsidR="006C7247">
        <w:t xml:space="preserve">, </w:t>
      </w:r>
      <w:proofErr w:type="spellStart"/>
      <w:r w:rsidR="006C7247">
        <w:t>Historia</w:t>
      </w:r>
      <w:proofErr w:type="spellEnd"/>
      <w:r w:rsidR="00261C19">
        <w:t>™</w:t>
      </w:r>
      <w:r w:rsidR="006C7247">
        <w:t>, Math Chimp</w:t>
      </w:r>
      <w:r w:rsidR="00261C19">
        <w:t>™</w:t>
      </w:r>
      <w:r w:rsidR="006C7247">
        <w:t xml:space="preserve">, and </w:t>
      </w:r>
      <w:proofErr w:type="spellStart"/>
      <w:r w:rsidR="006C7247">
        <w:t>PhyFun</w:t>
      </w:r>
      <w:proofErr w:type="spellEnd"/>
      <w:r w:rsidR="00261C19">
        <w:t>™</w:t>
      </w:r>
      <w:r w:rsidR="006C7247">
        <w:t xml:space="preserve"> are a few examples of this group of </w:t>
      </w:r>
      <w:r w:rsidR="000D6EC6">
        <w:t>s</w:t>
      </w:r>
      <w:r w:rsidR="006C7247">
        <w:t xml:space="preserve">erious </w:t>
      </w:r>
      <w:r w:rsidR="000D6EC6">
        <w:t>g</w:t>
      </w:r>
      <w:r w:rsidR="006C7247">
        <w:t>ames.</w:t>
      </w:r>
    </w:p>
    <w:p w14:paraId="23B774E7" w14:textId="2425F71C" w:rsidR="009503F5" w:rsidRPr="00BC081A" w:rsidRDefault="009503F5" w:rsidP="00B724B3">
      <w:r w:rsidRPr="00BC081A">
        <w:t>One of the key categories of serious games, Game-Based Education/Learning, is the focus of the current investigation and will be discussed in more detail below.</w:t>
      </w:r>
    </w:p>
    <w:p w14:paraId="500C96A9" w14:textId="2DEF65C5" w:rsidR="009503F5" w:rsidRPr="00BC081A" w:rsidRDefault="009503F5" w:rsidP="00F24816">
      <w:pPr>
        <w:pStyle w:val="Heading4"/>
      </w:pPr>
      <w:r w:rsidRPr="00BC081A">
        <w:t>Game-Based Learning (Educational Game</w:t>
      </w:r>
      <w:r w:rsidR="002C4390">
        <w:t>s</w:t>
      </w:r>
      <w:r w:rsidRPr="00BC081A">
        <w:t>)</w:t>
      </w:r>
    </w:p>
    <w:p w14:paraId="0DFCBBF2" w14:textId="7C2D376E" w:rsidR="009503F5" w:rsidRPr="00BC081A" w:rsidRDefault="009503F5" w:rsidP="009503F5">
      <w:r w:rsidRPr="00BC081A">
        <w:t xml:space="preserve">The main branch of serious games has always been the application of games in teaching and training, which is referred to as Game-Based Learning (GBL) </w:t>
      </w:r>
      <w:r w:rsidRPr="00BC081A">
        <w:fldChar w:fldCharType="begin" w:fldLock="1"/>
      </w:r>
      <w:r w:rsidR="00AC1F7D">
        <w:instrText>ADDIN CSL_CITATION { "citationItems" : [ { "id" : "ITEM-1", "itemData" : { "author" : [ { "dropping-particle" : "", "family" : "Ratan", "given" : "R", "non-dropping-particle" : "", "parse-names" : false, "suffix" : "" }, { "dropping-particle" : "", "family" : "Ritterfeld", "given" : "U", "non-dropping-particle" : "", "parse-names" : false, "suffix" : "" } ], "container-title" : "Serious games: Mechanisms and effects", "id" : "ITEM-1", "issued" : { "date-parts" : [ [ "2009" ] ] }, "page" : "10-24", "title" : "Classifying serious games", "type" : "article-journal" }, "uris" : [ "http://www.mendeley.com/documents/?uuid=4857bacb-0c7f-4fcb-a230-86e8953b0c5e" ] }, { "id" : "ITEM-2", "itemData" : { "author" : [ { "dropping-particle" : "", "family" : "Sawyer", "given" : "B", "non-dropping-particle" : "", "parse-names" : false, "suffix" : "" }, { "dropping-particle" : "", "family" : "Smith", "given" : "P", "non-dropping-particle" : "", "parse-names" : false, "suffix" : "" } ], "container-title" : "Slides from the Serious Games Summit at the Game Developers Conference", "id" : "ITEM-2", "issued" : { "date-parts" : [ [ "2008" ] ] }, "title" : "Serious games taxonomy", "type" : "paper-conference" }, "uris" : [ "http://www.mendeley.com/documents/?uuid=bbc7e70f-2a18-4d8a-9b9c-619aa9dbb4b2" ] } ], "mendeley" : { "previouslyFormattedCitation" : "(Ratan &amp; Ritterfeld, 2009; Sawyer &amp; Smith, 2008)" }, "properties" : { "noteIndex" : 0 }, "schema" : "https://github.com/citation-style-language/schema/raw/master/csl-citation.json" }</w:instrText>
      </w:r>
      <w:r w:rsidRPr="00BC081A">
        <w:fldChar w:fldCharType="separate"/>
      </w:r>
      <w:r w:rsidRPr="00BC081A">
        <w:rPr>
          <w:noProof/>
        </w:rPr>
        <w:t>(Ratan &amp; Ritterfeld, 2009; Sawyer &amp; Smith, 2008)</w:t>
      </w:r>
      <w:r w:rsidRPr="00BC081A">
        <w:fldChar w:fldCharType="end"/>
      </w:r>
      <w:r w:rsidRPr="00BC081A">
        <w:t xml:space="preserve">. The premise of GBL is to “enhance motivation to learn, engage education, or to enhance effectiveness of content transfer or other specific learning outcome” </w:t>
      </w:r>
      <w:r w:rsidRPr="00BC081A">
        <w:fldChar w:fldCharType="begin" w:fldLock="1"/>
      </w:r>
      <w:r w:rsidR="00AC1F7D">
        <w:instrText>ADDIN CSL_CITATION { "citationItems" : [ { "id" : "ITEM-1", "itemData" : { "author" : [ { "dropping-particle" : "", "family" : "Sawyer", "given" : "B", "non-dropping-particle" : "", "parse-names" : false, "suffix" : "" }, { "dropping-particle" : "", "family" : "Smith", "given" : "P", "non-dropping-particle" : "", "parse-names" : false, "suffix" : "" } ], "container-title" : "Slides from the Serious Games Summit at the Game Developers Conference", "id" : "ITEM-1", "issued" : { "date-parts" : [ [ "2008" ] ] }, "title" : "Serious games taxonomy", "type" : "paper-conference" }, "locator" : "11", "uris" : [ "http://www.mendeley.com/documents/?uuid=bbc7e70f-2a18-4d8a-9b9c-619aa9dbb4b2" ] } ], "mendeley" : { "previouslyFormattedCitation" : "(Sawyer &amp; Smith, 2008, p. 11)" }, "properties" : { "noteIndex" : 0 }, "schema" : "https://github.com/citation-style-language/schema/raw/master/csl-citation.json" }</w:instrText>
      </w:r>
      <w:r w:rsidRPr="00BC081A">
        <w:fldChar w:fldCharType="separate"/>
      </w:r>
      <w:r w:rsidRPr="00BC081A">
        <w:rPr>
          <w:noProof/>
        </w:rPr>
        <w:t>(Sawyer &amp; Smith, 2008, p. 11)</w:t>
      </w:r>
      <w:r w:rsidRPr="00BC081A">
        <w:fldChar w:fldCharType="end"/>
      </w:r>
      <w:r w:rsidRPr="00BC081A">
        <w:t xml:space="preserve">. GBL is also known as Game-Based Education, Educational Games, or Learning Games. GBL is closely related to other concepts like </w:t>
      </w:r>
      <w:proofErr w:type="gramStart"/>
      <w:r w:rsidRPr="00BC081A">
        <w:t>e-Learning</w:t>
      </w:r>
      <w:proofErr w:type="gramEnd"/>
      <w:r w:rsidRPr="00BC081A">
        <w:t xml:space="preserve"> and edutainment. E-Learning refers to a more general concept, entailing “computer- enhanced learning, computer-based learning, interactive technology, and commonly, distance learning” </w:t>
      </w:r>
      <w:r w:rsidRPr="00BC081A">
        <w:lastRenderedPageBreak/>
        <w:fldChar w:fldCharType="begin" w:fldLock="1"/>
      </w:r>
      <w:r w:rsidR="00AC1F7D">
        <w:instrText>ADDIN CSL_CITATION { "citationItems" : [ { "id" : "ITEM-1", "itemData" : { "author" : [ { "dropping-particle" : "", "family" : "Susi", "given" : "T", "non-dropping-particle" : "", "parse-names" : false, "suffix" : "" }, { "dropping-particle" : "", "family" : "Johannesson", "given" : "M", "non-dropping-particle" : "", "parse-names" : false, "suffix" : "" }, { "dropping-particle" : "", "family" : "Backlund", "given" : "P", "non-dropping-particle" : "", "parse-names" : false, "suffix" : "" } ], "container-title" : "Sk\u00f6vde: University of Sk\u00f6vde (Technical Report HS-IKI-TR-07-001)", "id" : "ITEM-1", "issued" : { "date-parts" : [ [ "2007" ] ] }, "title" : "Serious games--An overview", "type" : "article-journal" }, "locator" : "2", "uris" : [ "http://www.mendeley.com/documents/?uuid=3feb2367-fbcd-486f-bf05-fae513480574" ] } ], "mendeley" : { "previouslyFormattedCitation" : "(Susi et al., 2007, p. 2)" }, "properties" : { "noteIndex" : 0 }, "schema" : "https://github.com/citation-style-language/schema/raw/master/csl-citation.json" }</w:instrText>
      </w:r>
      <w:r w:rsidRPr="00BC081A">
        <w:fldChar w:fldCharType="separate"/>
      </w:r>
      <w:r w:rsidRPr="00BC081A">
        <w:rPr>
          <w:noProof/>
        </w:rPr>
        <w:t>(Susi et al., 2007, p. 2)</w:t>
      </w:r>
      <w:r w:rsidRPr="00BC081A">
        <w:fldChar w:fldCharType="end"/>
      </w:r>
      <w:r w:rsidRPr="00BC081A">
        <w:t xml:space="preserve">. Edutainment, on the other hand, translates as any entertainment content that is developed with the goal of education rather than pure “fun.” Based on these definitions, one can say that GBL is a subset of both </w:t>
      </w:r>
      <w:proofErr w:type="gramStart"/>
      <w:r w:rsidRPr="00BC081A">
        <w:t>e-Learning</w:t>
      </w:r>
      <w:proofErr w:type="gramEnd"/>
      <w:r w:rsidRPr="00BC081A">
        <w:t xml:space="preserve"> and edutainment. </w:t>
      </w:r>
    </w:p>
    <w:p w14:paraId="33C2F1A1" w14:textId="5D0427A1" w:rsidR="009503F5" w:rsidRPr="00BC081A" w:rsidRDefault="009503F5" w:rsidP="009503F5">
      <w:r w:rsidRPr="00BC081A">
        <w:t xml:space="preserve">Even though some indicate that the US military is “the world’s largest spender “ on Digital Game-Based Learning </w:t>
      </w:r>
      <w:r w:rsidRPr="00BC081A">
        <w:fldChar w:fldCharType="begin" w:fldLock="1"/>
      </w:r>
      <w:r w:rsidR="00AC1F7D">
        <w:instrText>ADDIN CSL_CITATION { "citationItems" : [ { "id" : "ITEM-1", "itemData" : { "author" : [ { "dropping-particle" : "", "family" : "Prensky", "given" : "Marc", "non-dropping-particle" : "", "parse-names" : false, "suffix" : "" } ], "container-title" : "Learning Circuits", "id" : "ITEM-1", "issued" : { "date-parts" : [ [ "2001" ] ] }, "page" : "1-18", "title" : "True believers: Digital game-based learning in the military", "type" : "article-journal" }, "locator" : "2", "uris" : [ "http://www.mendeley.com/documents/?uuid=bbb60348-578f-4c7d-927f-734d2ef94f5b" ] } ], "mendeley" : { "previouslyFormattedCitation" : "(Prensky, 2001, p. 2)" }, "properties" : { "noteIndex" : 0 }, "schema" : "https://github.com/citation-style-language/schema/raw/master/csl-citation.json" }</w:instrText>
      </w:r>
      <w:r w:rsidRPr="00BC081A">
        <w:fldChar w:fldCharType="separate"/>
      </w:r>
      <w:r w:rsidR="006220B2" w:rsidRPr="00BC081A">
        <w:rPr>
          <w:noProof/>
        </w:rPr>
        <w:t>(Prensky, 2001, p. 2)</w:t>
      </w:r>
      <w:r w:rsidRPr="00BC081A">
        <w:fldChar w:fldCharType="end"/>
      </w:r>
      <w:r w:rsidRPr="00BC081A">
        <w:rPr>
          <w:rStyle w:val="FootnoteReference"/>
        </w:rPr>
        <w:footnoteReference w:id="4"/>
      </w:r>
      <w:r w:rsidRPr="00BC081A">
        <w:t xml:space="preserve">, academia (having curriculum-based and extracurricular content) has the biggest consumer base of GBL, representing 63% of 612 serious games analyzed by </w:t>
      </w:r>
      <w:proofErr w:type="spellStart"/>
      <w:r w:rsidRPr="00BC081A">
        <w:t>Ratan</w:t>
      </w:r>
      <w:proofErr w:type="spellEnd"/>
      <w:r w:rsidRPr="00BC081A">
        <w:t xml:space="preserve"> and </w:t>
      </w:r>
      <w:proofErr w:type="spellStart"/>
      <w:r w:rsidRPr="00BC081A">
        <w:t>Ritterfeld</w:t>
      </w:r>
      <w:proofErr w:type="spellEnd"/>
      <w:r w:rsidRPr="00BC081A">
        <w:t xml:space="preserve"> (2009). Figure 1 shows the proportions of the analyzed educational games based on their primary content. As depicted in Figure 1, the second most common usage of GBL is for “social change”, </w:t>
      </w:r>
      <w:r w:rsidR="00462F1A" w:rsidRPr="00BC081A">
        <w:t>representing</w:t>
      </w:r>
      <w:r w:rsidRPr="00BC081A">
        <w:t xml:space="preserve"> 14% of the games </w:t>
      </w:r>
      <w:r w:rsidR="00462F1A" w:rsidRPr="00BC081A">
        <w:t>analyzed</w:t>
      </w:r>
      <w:r w:rsidRPr="00BC081A">
        <w:t xml:space="preserve">. Social change games are related to political issues or social issues such as solving poverty. Next, the most common usage is related to occupational and health-related contents, each with 9% and 8% of all the studied games, respectively. Occupational games aim to teach new skills and knowledge related to people’s occupation. </w:t>
      </w:r>
      <w:r w:rsidR="00E05498">
        <w:t>Finally, h</w:t>
      </w:r>
      <w:r w:rsidR="00E05498" w:rsidRPr="00BC081A">
        <w:t>ealth</w:t>
      </w:r>
      <w:r w:rsidRPr="00BC081A">
        <w:t xml:space="preserve">-related games are </w:t>
      </w:r>
      <w:r w:rsidR="00462F1A" w:rsidRPr="00BC081A">
        <w:t>used to improve one’s</w:t>
      </w:r>
      <w:r w:rsidRPr="00BC081A">
        <w:t xml:space="preserve"> health or encouraging coping</w:t>
      </w:r>
      <w:r w:rsidR="00462F1A" w:rsidRPr="00BC081A">
        <w:t xml:space="preserve"> in stressful situations</w:t>
      </w:r>
      <w:r w:rsidRPr="00BC081A">
        <w:t>.</w:t>
      </w:r>
    </w:p>
    <w:p w14:paraId="58BC889A" w14:textId="58E00B97" w:rsidR="009503F5" w:rsidRPr="00BC081A" w:rsidRDefault="009503F5" w:rsidP="009503F5">
      <w:r w:rsidRPr="00BC081A">
        <w:t xml:space="preserve">Serious games have also been used in business school curricula for more than two decades. One of the most famous games that </w:t>
      </w:r>
      <w:r w:rsidR="00462F1A" w:rsidRPr="00BC081A">
        <w:t>has</w:t>
      </w:r>
      <w:r w:rsidRPr="00BC081A">
        <w:t xml:space="preserve"> been widely used in managerial education is the “role-playing simulation” serious game called </w:t>
      </w:r>
      <w:r w:rsidR="00462F1A" w:rsidRPr="00BC081A">
        <w:t xml:space="preserve">the </w:t>
      </w:r>
      <w:r w:rsidRPr="00BC081A">
        <w:t xml:space="preserve">“Beer Game” </w:t>
      </w:r>
      <w:r w:rsidRPr="00BC081A">
        <w:fldChar w:fldCharType="begin" w:fldLock="1"/>
      </w:r>
      <w:r w:rsidR="00AC1F7D">
        <w:instrText>ADDIN CSL_CITATION { "citationItems" : [ { "id" : "ITEM-1", "itemData" : { "author" : [ { "dropping-particle" : "", "family" : "Sterman", "given" : "JD", "non-dropping-particle" : "", "parse-names" : false, "suffix" : "" } ], "container-title" : "OR/MS Today", "id" : "ITEM-1", "issued" : { "date-parts" : [ [ "1992" ] ] }, "title" : "Flight simulators for management education", "type" : "article-journal" }, "uris" : [ "http://www.mendeley.com/documents/?uuid=80f1c729-618c-4618-bfbe-66bbfd93c19d" ] } ], "mendeley" : { "previouslyFormattedCitation" : "(Sterman, 1992)" }, "properties" : { "noteIndex" : 0 }, "schema" : "https://github.com/citation-style-language/schema/raw/master/csl-citation.json" }</w:instrText>
      </w:r>
      <w:r w:rsidRPr="00BC081A">
        <w:fldChar w:fldCharType="separate"/>
      </w:r>
      <w:r w:rsidRPr="00BC081A">
        <w:rPr>
          <w:noProof/>
        </w:rPr>
        <w:t>(Sterman, 1992)</w:t>
      </w:r>
      <w:r w:rsidRPr="00BC081A">
        <w:fldChar w:fldCharType="end"/>
      </w:r>
      <w:r w:rsidRPr="00BC081A">
        <w:t xml:space="preserve">. The Beer Game allows students to participate in managing a distribution system with the goal of minimizing total costs by controlling the inventories under uncertain situations. Computer-based </w:t>
      </w:r>
      <w:proofErr w:type="gramStart"/>
      <w:r w:rsidRPr="00BC081A">
        <w:t>versions</w:t>
      </w:r>
      <w:proofErr w:type="gramEnd"/>
      <w:r w:rsidRPr="00BC081A">
        <w:t xml:space="preserve"> of this game have also been used for many years. By using computers for this game, educators have achieved lower setup and training time, while increasing users’ concentration on specific tasks, reducing the number of errors made by players, and enhancing individual </w:t>
      </w:r>
      <w:r w:rsidRPr="00BC081A">
        <w:lastRenderedPageBreak/>
        <w:t xml:space="preserve">students’ analysis and evaluation of their gameplay results </w:t>
      </w:r>
      <w:r w:rsidRPr="00BC081A">
        <w:fldChar w:fldCharType="begin" w:fldLock="1"/>
      </w:r>
      <w:r w:rsidR="00AC1F7D">
        <w:instrText>ADDIN CSL_CITATION { "citationItems" : [ { "id" : "ITEM-1", "itemData" : { "DOI" : "10.1177/105256299802200311", "ISSN" : "1052-5629", "author" : [ { "dropping-particle" : "", "family" : "Coakley", "given" : "J. R.", "non-dropping-particle" : "", "parse-names" : false, "suffix" : "" }, { "dropping-particle" : "", "family" : "Drexler", "given" : "J. a.", "non-dropping-particle" : "", "parse-names" : false, "suffix" : "" }, { "dropping-particle" : "", "family" : "Larson", "given" : "E. W.", "non-dropping-particle" : "", "parse-names" : false, "suffix" : "" }, { "dropping-particle" : "", "family" : "Kircher", "given" : "a. E.", "non-dropping-particle" : "", "parse-names" : false, "suffix" : "" } ], "container-title" : "Journal of Management Education", "id" : "ITEM-1", "issue" : "3", "issued" : { "date-parts" : [ [ "1998", "6", "1" ] ] }, "page" : "416-424", "title" : "Using a Computer-Based Version of the Beer Game: Lessons Learned", "type" : "article-journal", "volume" : "22" }, "uris" : [ "http://www.mendeley.com/documents/?uuid=116622bc-6663-4ef8-9983-405290039bcc" ] } ], "mendeley" : { "previouslyFormattedCitation" : "(Coakley, Drexler, Larson, &amp; Kircher, 1998)" }, "properties" : { "noteIndex" : 0 }, "schema" : "https://github.com/citation-style-language/schema/raw/master/csl-citation.json" }</w:instrText>
      </w:r>
      <w:r w:rsidRPr="00BC081A">
        <w:fldChar w:fldCharType="separate"/>
      </w:r>
      <w:r w:rsidRPr="00BC081A">
        <w:rPr>
          <w:noProof/>
        </w:rPr>
        <w:t>(Coakley, Drexler, Larson, &amp; Kircher, 1998)</w:t>
      </w:r>
      <w:r w:rsidRPr="00BC081A">
        <w:fldChar w:fldCharType="end"/>
      </w:r>
      <w:r w:rsidRPr="00BC081A">
        <w:t xml:space="preserve">. </w:t>
      </w:r>
    </w:p>
    <w:p w14:paraId="53D150FD" w14:textId="77777777" w:rsidR="009503F5" w:rsidRPr="00BC081A" w:rsidRDefault="009503F5" w:rsidP="009503F5">
      <w:pPr>
        <w:pStyle w:val="Figure"/>
        <w:rPr>
          <w:highlight w:val="lightGray"/>
          <w:lang w:val="en-CA"/>
        </w:rPr>
      </w:pPr>
      <w:r w:rsidRPr="00BC081A">
        <w:rPr>
          <w:highlight w:val="lightGray"/>
        </w:rPr>
        <w:drawing>
          <wp:inline distT="0" distB="0" distL="0" distR="0" wp14:anchorId="19DD0E58" wp14:editId="507BFED7">
            <wp:extent cx="3770697" cy="3002675"/>
            <wp:effectExtent l="0" t="0" r="0" b="0"/>
            <wp:docPr id="15" name="Picture 15" descr="SepSep:Users:SepSep:Desktop:Screen Shot 2012-09-08 at 4.0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Sep:Users:SepSep:Desktop:Screen Shot 2012-09-08 at 4.08.3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225" cy="3003096"/>
                    </a:xfrm>
                    <a:prstGeom prst="rect">
                      <a:avLst/>
                    </a:prstGeom>
                    <a:noFill/>
                    <a:ln>
                      <a:noFill/>
                    </a:ln>
                  </pic:spPr>
                </pic:pic>
              </a:graphicData>
            </a:graphic>
          </wp:inline>
        </w:drawing>
      </w:r>
    </w:p>
    <w:p w14:paraId="201CD9F8" w14:textId="77777777" w:rsidR="009503F5" w:rsidRPr="00BC081A" w:rsidRDefault="009503F5" w:rsidP="00C92D78">
      <w:pPr>
        <w:pStyle w:val="Caption"/>
      </w:pPr>
      <w:bookmarkStart w:id="28" w:name="_Toc278912291"/>
      <w:r w:rsidRPr="00BC081A">
        <w:t xml:space="preserve">Figure </w:t>
      </w:r>
      <w:r w:rsidR="007804FF">
        <w:fldChar w:fldCharType="begin"/>
      </w:r>
      <w:r w:rsidR="007804FF">
        <w:instrText xml:space="preserve"> SEQ Figure \* ARABIC </w:instrText>
      </w:r>
      <w:r w:rsidR="007804FF">
        <w:fldChar w:fldCharType="separate"/>
      </w:r>
      <w:r w:rsidR="008C71FB">
        <w:rPr>
          <w:noProof/>
        </w:rPr>
        <w:t>1</w:t>
      </w:r>
      <w:r w:rsidR="007804FF">
        <w:rPr>
          <w:noProof/>
        </w:rPr>
        <w:fldChar w:fldCharType="end"/>
      </w:r>
      <w:r w:rsidRPr="00BC081A">
        <w:t xml:space="preserve"> – Proportions of games within each primary educational content category (</w:t>
      </w:r>
      <w:proofErr w:type="spellStart"/>
      <w:r w:rsidRPr="00BC081A">
        <w:t>Ratan</w:t>
      </w:r>
      <w:proofErr w:type="spellEnd"/>
      <w:r w:rsidRPr="00BC081A">
        <w:t xml:space="preserve"> and </w:t>
      </w:r>
      <w:proofErr w:type="spellStart"/>
      <w:r w:rsidRPr="00BC081A">
        <w:t>Ritterfeld</w:t>
      </w:r>
      <w:proofErr w:type="spellEnd"/>
      <w:r w:rsidRPr="00BC081A">
        <w:t xml:space="preserve"> 2009)</w:t>
      </w:r>
      <w:bookmarkEnd w:id="28"/>
    </w:p>
    <w:p w14:paraId="0DE2D3B1" w14:textId="4AD2A69F" w:rsidR="009503F5" w:rsidRPr="00BC081A" w:rsidRDefault="009503F5" w:rsidP="009503F5">
      <w:r w:rsidRPr="00BC081A">
        <w:t xml:space="preserve">Instructors in the field of IS have increasingly employed video games for teaching students and training employees/managers. Perhaps the most common game used in the IS curricula is the HEC Montreal’s ERP (Enterprise Resource Planning) simulation game (also known as </w:t>
      </w:r>
      <w:proofErr w:type="spellStart"/>
      <w:r w:rsidRPr="00BC081A">
        <w:t>ERPsim</w:t>
      </w:r>
      <w:proofErr w:type="spellEnd"/>
      <w:r w:rsidRPr="00BC081A">
        <w:t xml:space="preserve">, </w:t>
      </w:r>
      <w:r w:rsidRPr="00BC081A">
        <w:fldChar w:fldCharType="begin" w:fldLock="1"/>
      </w:r>
      <w:r w:rsidR="00AC1F7D">
        <w:instrText>ADDIN CSL_CITATION { "citationItems" : [ { "id" : "ITEM-1", "itemData" : { "author" : [ { "dropping-particle" : "", "family" : "L\u00e9ger", "given" : "P M", "non-dropping-particle" : "", "parse-names" : false, "suffix" : "" } ], "container-title" : "Journal of Information Systems Education", "id" : "ITEM-1", "issue" : "4", "issued" : { "date-parts" : [ [ "2006" ] ] }, "page" : "441-448", "title" : "Using a simulation game approach to teach ERP concepts", "type" : "article-journal", "volume" : "17" }, "uris" : [ "http://www.mendeley.com/documents/?uuid=50b60d6a-ce10-4c52-ad9c-a8d384683df3" ] } ], "mendeley" : { "manualFormatting" : "L\u00e9ger, 2006)", "previouslyFormattedCitation" : "(P. M. L\u00e9ger, 2006)" }, "properties" : { "noteIndex" : 0 }, "schema" : "https://github.com/citation-style-language/schema/raw/master/csl-citation.json" }</w:instrText>
      </w:r>
      <w:r w:rsidRPr="00BC081A">
        <w:fldChar w:fldCharType="separate"/>
      </w:r>
      <w:r w:rsidRPr="00BC081A">
        <w:rPr>
          <w:noProof/>
        </w:rPr>
        <w:t>Léger, 2006)</w:t>
      </w:r>
      <w:r w:rsidRPr="00BC081A">
        <w:fldChar w:fldCharType="end"/>
      </w:r>
      <w:r w:rsidRPr="00BC081A">
        <w:t xml:space="preserve">. </w:t>
      </w:r>
      <w:proofErr w:type="spellStart"/>
      <w:r w:rsidRPr="00BC081A">
        <w:t>ERPsim</w:t>
      </w:r>
      <w:proofErr w:type="spellEnd"/>
      <w:r w:rsidRPr="00BC081A">
        <w:t xml:space="preserve"> enables instructors to create a hands-on experience similar to the real-world environment working with the SAP™ ERP system, which is the </w:t>
      </w:r>
      <w:r w:rsidR="00BD5CB8">
        <w:t>leading</w:t>
      </w:r>
      <w:r w:rsidR="00BD5CB8" w:rsidRPr="00BC081A">
        <w:t xml:space="preserve"> </w:t>
      </w:r>
      <w:r w:rsidRPr="00BC081A">
        <w:t xml:space="preserve">ERP solution available in the market. During this gameplay, students, working in groups, collaborate with group members and compete against other teams, to produce and distribute a series of products in order to achieve the highest income in a virtual market. </w:t>
      </w:r>
      <w:proofErr w:type="spellStart"/>
      <w:r w:rsidRPr="00BC081A">
        <w:t>ERPsim</w:t>
      </w:r>
      <w:proofErr w:type="spellEnd"/>
      <w:r w:rsidRPr="00BC081A">
        <w:t xml:space="preserve"> encourages students to </w:t>
      </w:r>
      <w:r w:rsidR="002B5513" w:rsidRPr="00BC081A">
        <w:t>take responsibility of</w:t>
      </w:r>
      <w:r w:rsidRPr="00BC081A">
        <w:t xml:space="preserve"> different supply chain stages of a simple product production; through this exercise students learn the various functionalities of the SAP ERP system. Due to its gaming structure, </w:t>
      </w:r>
      <w:proofErr w:type="spellStart"/>
      <w:r w:rsidRPr="00BC081A">
        <w:t>ERPsim</w:t>
      </w:r>
      <w:proofErr w:type="spellEnd"/>
      <w:r w:rsidRPr="00BC081A">
        <w:t xml:space="preserve"> has been successful in teaching basics of an ERP system despite </w:t>
      </w:r>
      <w:r w:rsidRPr="00BC081A">
        <w:lastRenderedPageBreak/>
        <w:t xml:space="preserve">limited knowledge of participants in regards to supply chain and ERP systems in general </w:t>
      </w:r>
      <w:r w:rsidRPr="00BC081A">
        <w:fldChar w:fldCharType="begin" w:fldLock="1"/>
      </w:r>
      <w:r w:rsidR="00AC1F7D">
        <w:instrText>ADDIN CSL_CITATION { "citationItems" : [ { "id" : "ITEM-1", "itemData" : { "ISBN" : "9781864356441", "author" : [ { "dropping-particle" : "", "family" : "Foster", "given" : "Susan", "non-dropping-particle" : "", "parse-names" : false, "suffix" : "" }, { "dropping-particle" : "", "family" : "Hopkins", "given" : "John", "non-dropping-particle" : "", "parse-names" : false, "suffix" : "" } ], "container-title" : "PACIS 2011 Proceedings", "id" : "ITEM-1", "issued" : { "date-parts" : [ [ "2011" ] ] }, "title" : "ERP Simulation Game: Establishng Engagement, Collaboration And Learning", "type" : "article-journal" }, "uris" : [ "http://www.mendeley.com/documents/?uuid=08d1b382-bfa8-43da-a8fb-d7922a6cae25" ] } ], "mendeley" : { "previouslyFormattedCitation" : "(Foster &amp; Hopkins, 2011)" }, "properties" : { "noteIndex" : 0 }, "schema" : "https://github.com/citation-style-language/schema/raw/master/csl-citation.json" }</w:instrText>
      </w:r>
      <w:r w:rsidRPr="00BC081A">
        <w:fldChar w:fldCharType="separate"/>
      </w:r>
      <w:r w:rsidRPr="00BC081A">
        <w:rPr>
          <w:noProof/>
        </w:rPr>
        <w:t>(Foster &amp; Hopkins, 2011)</w:t>
      </w:r>
      <w:r w:rsidRPr="00BC081A">
        <w:fldChar w:fldCharType="end"/>
      </w:r>
      <w:r w:rsidRPr="00BC081A">
        <w:t xml:space="preserve">. </w:t>
      </w:r>
    </w:p>
    <w:p w14:paraId="51DFE38C" w14:textId="77777777" w:rsidR="009503F5" w:rsidRPr="00BC081A" w:rsidRDefault="009503F5" w:rsidP="009503F5">
      <w:pPr>
        <w:pStyle w:val="Heading4"/>
      </w:pPr>
      <w:r w:rsidRPr="00BC081A">
        <w:t>Effectiveness of GBL</w:t>
      </w:r>
    </w:p>
    <w:p w14:paraId="15295F2F" w14:textId="7043B22F" w:rsidR="009503F5" w:rsidRPr="00BC081A" w:rsidRDefault="009503F5" w:rsidP="009503F5">
      <w:r w:rsidRPr="00BC081A">
        <w:t xml:space="preserve">Scholars have found some support for the effectiveness of GBL </w:t>
      </w:r>
      <w:r w:rsidRPr="00BC081A">
        <w:fldChar w:fldCharType="begin" w:fldLock="1"/>
      </w:r>
      <w:r w:rsidR="00AC1F7D">
        <w:instrText>ADDIN CSL_CITATION { "citationItems" : [ { "id" : "ITEM-1", "itemData" : { "author" : [ { "dropping-particle" : "", "family" : "Eck", "given" : "R", "non-dropping-particle" : "Van", "parse-names" : false, "suffix" : "" } ], "container-title" : "EDUCAUSE review", "id" : "ITEM-1", "issue" : "2", "issued" : { "date-parts" : [ [ "2006" ] ] }, "page" : "16", "publisher" : "Educause", "title" : "Digital game-based learning: It's not just the digital natives who are restless", "type" : "article-journal", "volume" : "41" }, "uris" : [ "http://www.mendeley.com/documents/?uuid=361bc070-9a58-4beb-9dee-97df8063428e" ] } ], "mendeley" : { "previouslyFormattedCitation" : "(Van Eck, 2006)" }, "properties" : { "noteIndex" : 0 }, "schema" : "https://github.com/citation-style-language/schema/raw/master/csl-citation.json" }</w:instrText>
      </w:r>
      <w:r w:rsidRPr="00BC081A">
        <w:fldChar w:fldCharType="separate"/>
      </w:r>
      <w:r w:rsidRPr="00BC081A">
        <w:rPr>
          <w:noProof/>
        </w:rPr>
        <w:t>(Van Eck, 2006)</w:t>
      </w:r>
      <w:r w:rsidRPr="00BC081A">
        <w:fldChar w:fldCharType="end"/>
      </w:r>
      <w:r w:rsidRPr="00BC081A">
        <w:t xml:space="preserve">. </w:t>
      </w:r>
      <w:proofErr w:type="spellStart"/>
      <w:r w:rsidRPr="00BC081A">
        <w:t>Sitzmann</w:t>
      </w:r>
      <w:proofErr w:type="spellEnd"/>
      <w:r w:rsidRPr="00BC081A">
        <w:t xml:space="preserve"> </w:t>
      </w:r>
      <w:r w:rsidRPr="00BC081A">
        <w:fldChar w:fldCharType="begin" w:fldLock="1"/>
      </w:r>
      <w:r w:rsidR="00AC1F7D">
        <w:instrText>ADDIN CSL_CITATION { "citationItems" : [ { "id" : "ITEM-1", "itemData" : { "author" : [ { "dropping-particle" : "", "family" : "Sitzmann", "given" : "T", "non-dropping-particle" : "", "parse-names" : false, "suffix" : "" } ], "container-title" : "Personnel Psychology", "id" : "ITEM-1", "issue" : "2", "issued" : { "date-parts" : [ [ "2011" ] ] }, "page" : "489-528", "title" : "A meta\u2010analytic examination of the instructional effectiveness of computer\u2010based simulation games", "type" : "article-journal", "volume" : "64" }, "suppress-author" : 1, "uris" : [ "http://www.mendeley.com/documents/?uuid=7a7661c5-d503-4e97-8ed0-b2584f8d0430" ] } ], "mendeley" : { "previouslyFormattedCitation" : "(2011)" }, "properties" : { "noteIndex" : 0 }, "schema" : "https://github.com/citation-style-language/schema/raw/master/csl-citation.json" }</w:instrText>
      </w:r>
      <w:r w:rsidRPr="00BC081A">
        <w:fldChar w:fldCharType="separate"/>
      </w:r>
      <w:r w:rsidRPr="00BC081A">
        <w:rPr>
          <w:noProof/>
        </w:rPr>
        <w:t>(2011)</w:t>
      </w:r>
      <w:r w:rsidRPr="00BC081A">
        <w:fldChar w:fldCharType="end"/>
      </w:r>
      <w:r w:rsidRPr="00BC081A">
        <w:t xml:space="preserve"> has recently conducted a meta-analysis of simulation-based GBL pool of 65 articles and</w:t>
      </w:r>
      <w:r w:rsidR="00BD5CB8">
        <w:t xml:space="preserve"> a</w:t>
      </w:r>
      <w:r w:rsidRPr="00BC081A">
        <w:t xml:space="preserve"> sample size of 6,476 participants, which have also showed the positive effect of </w:t>
      </w:r>
      <w:r w:rsidR="00BD5CB8">
        <w:t xml:space="preserve">the </w:t>
      </w:r>
      <w:r w:rsidRPr="00BC081A">
        <w:t xml:space="preserve">GBL approach. The results show that “declarative knowledge was 11% higher for trainees taught with simulation games than a comparison group; procedural knowledge was 14% higher; retention was 9% higher; and self-efficacy was 20% higher” </w:t>
      </w:r>
      <w:r w:rsidRPr="00BC081A">
        <w:fldChar w:fldCharType="begin" w:fldLock="1"/>
      </w:r>
      <w:r w:rsidR="00AC1F7D">
        <w:instrText>ADDIN CSL_CITATION { "citationItems" : [ { "id" : "ITEM-1", "itemData" : { "author" : [ { "dropping-particle" : "", "family" : "Sitzmann", "given" : "T", "non-dropping-particle" : "", "parse-names" : false, "suffix" : "" } ], "container-title" : "Personnel Psychology", "id" : "ITEM-1", "issue" : "2", "issued" : { "date-parts" : [ [ "2011" ] ] }, "page" : "489-528", "title" : "A meta\u2010analytic examination of the instructional effectiveness of computer\u2010based simulation games", "type" : "article-journal", "volume" : "64" }, "locator" : "520", "uris" : [ "http://www.mendeley.com/documents/?uuid=7a7661c5-d503-4e97-8ed0-b2584f8d0430" ] } ], "mendeley" : { "previouslyFormattedCitation" : "(Sitzmann, 2011, p. 520)" }, "properties" : { "noteIndex" : 0 }, "schema" : "https://github.com/citation-style-language/schema/raw/master/csl-citation.json" }</w:instrText>
      </w:r>
      <w:r w:rsidRPr="00BC081A">
        <w:fldChar w:fldCharType="separate"/>
      </w:r>
      <w:r w:rsidRPr="00BC081A">
        <w:rPr>
          <w:noProof/>
        </w:rPr>
        <w:t>(Sitzmann, 2011, p. 520)</w:t>
      </w:r>
      <w:r w:rsidRPr="00BC081A">
        <w:fldChar w:fldCharType="end"/>
      </w:r>
      <w:r w:rsidRPr="00BC081A">
        <w:t xml:space="preserve">. </w:t>
      </w:r>
      <w:r w:rsidR="00233292">
        <w:t xml:space="preserve">However, </w:t>
      </w:r>
      <w:r w:rsidR="00822D4B">
        <w:t xml:space="preserve">due to complicated attributed inside video games, </w:t>
      </w:r>
      <w:r w:rsidR="00233292">
        <w:t>i</w:t>
      </w:r>
      <w:r w:rsidRPr="00BC081A">
        <w:t xml:space="preserve">t </w:t>
      </w:r>
      <w:r w:rsidR="002B02E6" w:rsidRPr="00BC081A">
        <w:t>is</w:t>
      </w:r>
      <w:r w:rsidR="00BD5CB8">
        <w:t xml:space="preserve"> </w:t>
      </w:r>
      <w:r w:rsidRPr="00BC081A">
        <w:t xml:space="preserve">not practical to design a </w:t>
      </w:r>
      <w:r w:rsidR="004C321B">
        <w:t>single</w:t>
      </w:r>
      <w:r w:rsidRPr="00BC081A">
        <w:t xml:space="preserve"> </w:t>
      </w:r>
      <w:r w:rsidR="001E7C93">
        <w:t xml:space="preserve">GBL </w:t>
      </w:r>
      <w:r w:rsidRPr="00BC081A">
        <w:t>experiment</w:t>
      </w:r>
      <w:r w:rsidR="004C321B">
        <w:t>al design</w:t>
      </w:r>
      <w:r w:rsidRPr="00BC081A">
        <w:t xml:space="preserve"> to capture </w:t>
      </w:r>
      <w:r w:rsidR="00233292">
        <w:t xml:space="preserve">all </w:t>
      </w:r>
      <w:r w:rsidR="00381D45">
        <w:t>the goals of video games.</w:t>
      </w:r>
      <w:r w:rsidRPr="00BC081A">
        <w:t xml:space="preserve"> </w:t>
      </w:r>
      <w:r w:rsidR="00381D45">
        <w:t>In fact, t</w:t>
      </w:r>
      <w:r w:rsidRPr="00BC081A">
        <w:t xml:space="preserve">he desired outcome of </w:t>
      </w:r>
      <w:r w:rsidR="001E7C93">
        <w:t>a game</w:t>
      </w:r>
      <w:r w:rsidRPr="00BC081A">
        <w:t xml:space="preserve"> will vary </w:t>
      </w:r>
      <w:r w:rsidR="004C321B">
        <w:t>based on</w:t>
      </w:r>
      <w:r w:rsidRPr="00BC081A">
        <w:t xml:space="preserve"> </w:t>
      </w:r>
      <w:r w:rsidR="001E7C93">
        <w:t xml:space="preserve">its </w:t>
      </w:r>
      <w:r w:rsidRPr="00BC081A">
        <w:t xml:space="preserve">intention to support </w:t>
      </w:r>
      <w:r w:rsidR="00822D4B">
        <w:t>a specific pedagogy</w:t>
      </w:r>
      <w:r w:rsidR="002B02E6" w:rsidRPr="00BC081A">
        <w:t xml:space="preserve"> </w:t>
      </w:r>
      <w:r w:rsidR="002B02E6" w:rsidRPr="00BC081A">
        <w:fldChar w:fldCharType="begin" w:fldLock="1"/>
      </w:r>
      <w:r w:rsidR="00AC1F7D">
        <w:instrText>ADDIN CSL_CITATION { "citationItems" : [ { "id" : "ITEM-1", "itemData" : { "DOI" : "10.3102/0034654312436980", "ISSN" : "0034-6543", "author" : [ { "dropping-particle" : "", "family" : "Young", "given" : "M. F.", "non-dropping-particle" : "", "parse-names" : false, "suffix" : "" }, { "dropping-particle" : "", "family" : "Slota", "given" : "S.", "non-dropping-particle" : "", "parse-names" : false, "suffix" : "" }, { "dropping-particle" : "", "family" : "Cutter", "given" : "a. B.", "non-dropping-particle" : "", "parse-names" : false, "suffix" : "" }, { "dropping-particle" : "", "family" : "Jalette", "given" : "G.", "non-dropping-particle" : "", "parse-names" : false, "suffix" : "" }, { "dropping-particle" : "", "family" : "Mullin", "given" : "G.", "non-dropping-particle" : "", "parse-names" : false, "suffix" : "" }, { "dropping-particle" : "", "family" : "Lai", "given" : "B.", "non-dropping-particle" : "", "parse-names" : false, "suffix" : "" }, { "dropping-particle" : "", "family" : "Simeoni", "given" : "Z.", "non-dropping-particle" : "", "parse-names" : false, "suffix" : "" }, { "dropping-particle" : "", "family" : "Tran", "given" : "M.", "non-dropping-particle" : "", "parse-names" : false, "suffix" : "" }, { "dropping-particle" : "", "family" : "Yukhymenko", "given" : "M.", "non-dropping-particle" : "", "parse-names" : false, "suffix" : "" } ], "container-title" : "Review of Educational Research", "id" : "ITEM-1", "issue" : "1", "issued" : { "date-parts" : [ [ "2012", "2", "1" ] ] }, "page" : "61-89", "title" : "Our Princess Is in Another Castle: A Review of Trends in Serious Gaming for Education", "type" : "article-journal", "volume" : "82" }, "uris" : [ "http://www.mendeley.com/documents/?uuid=ca1eccbb-66f3-4014-a8e6-85401409a277" ] } ], "mendeley" : { "previouslyFormattedCitation" : "(Young et al., 2012)" }, "properties" : { "noteIndex" : 0 }, "schema" : "https://github.com/citation-style-language/schema/raw/master/csl-citation.json" }</w:instrText>
      </w:r>
      <w:r w:rsidR="002B02E6" w:rsidRPr="00BC081A">
        <w:fldChar w:fldCharType="separate"/>
      </w:r>
      <w:r w:rsidR="002B02E6" w:rsidRPr="00BC081A">
        <w:rPr>
          <w:noProof/>
        </w:rPr>
        <w:t>(Young et al., 2012)</w:t>
      </w:r>
      <w:r w:rsidR="002B02E6" w:rsidRPr="00BC081A">
        <w:fldChar w:fldCharType="end"/>
      </w:r>
      <w:r w:rsidRPr="00BC081A">
        <w:t>.</w:t>
      </w:r>
    </w:p>
    <w:p w14:paraId="6F354212" w14:textId="14DDCDD0" w:rsidR="009503F5" w:rsidRPr="00BC081A" w:rsidRDefault="009503F5" w:rsidP="009503F5">
      <w:r w:rsidRPr="00BC081A">
        <w:t xml:space="preserve">Generally, the argument for GBL is that the time spent on video games should not be seen </w:t>
      </w:r>
      <w:r w:rsidR="00BD5CB8">
        <w:t xml:space="preserve">to </w:t>
      </w:r>
      <w:r w:rsidRPr="00BC081A">
        <w:t xml:space="preserve">necessarily </w:t>
      </w:r>
      <w:r w:rsidR="00BD5CB8">
        <w:t xml:space="preserve">be </w:t>
      </w:r>
      <w:r w:rsidRPr="00BC081A">
        <w:t xml:space="preserve">in contradiction with school or work time. In fact, gameplay is “an important component of attention, involvement, and productivity, and it’s capable of energizing behaviour of all sorts” </w:t>
      </w:r>
      <w:r w:rsidRPr="00BC081A">
        <w:rPr>
          <w:noProof/>
        </w:rPr>
        <w:fldChar w:fldCharType="begin" w:fldLock="1"/>
      </w:r>
      <w:r w:rsidR="00AC1F7D">
        <w:rPr>
          <w:noProof/>
        </w:rPr>
        <w:instrText>ADDIN CSL_CITATION { "citationItems" : [ { "id" : "ITEM-1", "itemData" : { "author" : [ { "dropping-particle" : "", "family" : "Reeves", "given" : "B", "non-dropping-particle" : "", "parse-names" : false, "suffix" : "" }, { "dropping-particle" : "", "family" : "Read", "given" : "J L", "non-dropping-particle" : "", "parse-names" : false, "suffix" : "" } ], "id" : "ITEM-1", "issued" : { "date-parts" : [ [ "2009" ] ] }, "publisher" : "Harvard Business School Press", "title" : "Total engagement: using games and virtual worlds to change the way people work and businesses compete", "type" : "book" }, "locator" : "173", "uris" : [ "http://www.mendeley.com/documents/?uuid=ddd589d0-d8d1-4f17-9aae-0993e4a33d42" ] } ], "mendeley" : { "previouslyFormattedCitation" : "(Reeves &amp; Read, 2009, p. 173)" }, "properties" : { "noteIndex" : 0 }, "schema" : "https://github.com/citation-style-language/schema/raw/master/csl-citation.json" }</w:instrText>
      </w:r>
      <w:r w:rsidRPr="00BC081A">
        <w:rPr>
          <w:noProof/>
        </w:rPr>
        <w:fldChar w:fldCharType="separate"/>
      </w:r>
      <w:r w:rsidRPr="00BC081A">
        <w:rPr>
          <w:noProof/>
        </w:rPr>
        <w:t>(Reeves &amp; Read, 2009, p. 173)</w:t>
      </w:r>
      <w:r w:rsidRPr="00BC081A">
        <w:rPr>
          <w:noProof/>
        </w:rPr>
        <w:fldChar w:fldCharType="end"/>
      </w:r>
      <w:r w:rsidRPr="00BC081A">
        <w:t xml:space="preserve">. Thus, games are not only about delivering content to the users (in which they are not efficient), but they can also successfully be employed as a mechanism for motivating and engaging individuals in educational settings </w:t>
      </w:r>
      <w:r w:rsidRPr="00BC081A">
        <w:rPr>
          <w:noProof/>
        </w:rPr>
        <w:fldChar w:fldCharType="begin" w:fldLock="1"/>
      </w:r>
      <w:r w:rsidR="00AC1F7D">
        <w:rPr>
          <w:noProof/>
        </w:rPr>
        <w:instrText>ADDIN CSL_CITATION { "citationItems" : [ { "id" : "ITEM-1", "itemData" : { "author" : [ { "dropping-particle" : "", "family" : "Arnseth", "given" : "HC", "non-dropping-particle" : "", "parse-names" : false, "suffix" : "" } ], "container-title" : "Game Studies", "id" : "ITEM-1", "issued" : { "date-parts" : [ [ "2006" ] ] }, "title" : "Learning to Play or Playing to Learn. A Critical Account of the Models of Communication Informing Educational Research on Computer Gameplay", "type" : "article-journal" }, "uris" : [ "http://www.mendeley.com/documents/?uuid=83b50543-eeea-43f1-8e22-7549419d041c" ] }, { "id" : "ITEM-2", "itemData" : { "author" : [ { "dropping-particle" : "", "family" : "Corti", "given" : "K.", "non-dropping-particle" : "", "parse-names" : false, "suffix" : "" } ], "container-title" : "Informe de PixelLearning", "id" : "ITEM-2", "issued" : { "date-parts" : [ [ "2006" ] ] }, "page" : "1-20", "title" : "Games-based Learning; a serious business application", "type" : "article-journal" }, "uris" : [ "http://www.mendeley.com/documents/?uuid=0f7a3253-1c81-4a99-9ded-5fb70fd20886" ] }, { "id" : "ITEM-3", "itemData" : { "author" : [ { "dropping-particle" : "", "family" : "Reeves", "given" : "B", "non-dropping-particle" : "", "parse-names" : false, "suffix" : "" }, { "dropping-particle" : "", "family" : "Read", "given" : "J L", "non-dropping-particle" : "", "parse-names" : false, "suffix" : "" } ], "id" : "ITEM-3", "issued" : { "date-parts" : [ [ "2009" ] ] }, "publisher" : "Harvard Business School Press", "title" : "Total engagement: using games and virtual worlds to change the way people work and businesses compete", "type" : "book" }, "uris" : [ "http://www.mendeley.com/documents/?uuid=ddd589d0-d8d1-4f17-9aae-0993e4a33d42" ] } ], "mendeley" : { "previouslyFormattedCitation" : "(Arnseth, 2006; Corti, 2006; Reeves &amp; Read, 2009)" }, "properties" : { "noteIndex" : 0 }, "schema" : "https://github.com/citation-style-language/schema/raw/master/csl-citation.json" }</w:instrText>
      </w:r>
      <w:r w:rsidRPr="00BC081A">
        <w:rPr>
          <w:noProof/>
        </w:rPr>
        <w:fldChar w:fldCharType="separate"/>
      </w:r>
      <w:r w:rsidRPr="00BC081A">
        <w:rPr>
          <w:noProof/>
        </w:rPr>
        <w:t>(Arnseth, 2006; Corti, 2006; Reeves &amp; Read, 2009)</w:t>
      </w:r>
      <w:r w:rsidRPr="00BC081A">
        <w:rPr>
          <w:noProof/>
        </w:rPr>
        <w:fldChar w:fldCharType="end"/>
      </w:r>
      <w:r w:rsidRPr="00BC081A">
        <w:t xml:space="preserve">. Researchers have shown that when learners are engaged and involved, there is a positive effect on learning outcome </w:t>
      </w:r>
      <w:r w:rsidRPr="00BC081A">
        <w:rPr>
          <w:noProof/>
        </w:rPr>
        <w:fldChar w:fldCharType="begin" w:fldLock="1"/>
      </w:r>
      <w:r w:rsidR="00AC1F7D">
        <w:rPr>
          <w:noProof/>
        </w:rPr>
        <w:instrText>ADDIN CSL_CITATION { "citationItems" : [ { "id" : "ITEM-1", "itemData" : { "ISBN" : "9780138167516", "author" : [ { "dropping-particle" : "", "family" : "Bandura", "given" : "A", "non-dropping-particle" : "", "parse-names" : false, "suffix" : "" } ], "collection-title" : "Prentice-Hall series in social learning theory", "id" : "ITEM-1", "issued" : { "date-parts" : [ [ "1977" ] ] }, "publisher" : "Prentice Hall", "title" : "Social learning theory", "type" : "book" }, "uris" : [ "http://www.mendeley.com/documents/?uuid=5d5013cb-e52c-43b5-bb4d-5b04c1ea0a5f" ] }, { "id" : "ITEM-2", "itemData" : { "DOI" : "10.1016/j.compedu.2010.12.009", "ISSN" : "03601315", "author" : [ { "dropping-particle" : "", "family" : "Oncu", "given" : "Semiral", "non-dropping-particle" : "", "parse-names" : false, "suffix" : "" }, { "dropping-particle" : "", "family" : "Cakir", "given" : "Hasan", "non-dropping-particle" : "", "parse-names" : false, "suffix" : "" } ], "container-title" : "Computers &amp; Education", "id" : "ITEM-2", "issue" : "1", "issued" : { "date-parts" : [ [ "2011", "8" ] ] }, "page" : "1098-1108", "title" : "Research in online learning environments: Priorities and methodologies", "type" : "article-journal", "volume" : "57" }, "uris" : [ "http://www.mendeley.com/documents/?uuid=19198239-bbf7-40cf-9d03-3c1da9af7df7" ] }, { "id" : "ITEM-3", "itemData" : { "DOI" : "10.1111/j.1467-8535.2006.00641.x", "ISSN" : "00071013", "author" : [ { "dropping-particle" : "", "family" : "Shin", "given" : "Namin", "non-dropping-particle" : "", "parse-names" : false, "suffix" : "" } ], "container-title" : "British Journal of Educational Technology", "id" : "ITEM-3", "issue" : "5", "issued" : { "date-parts" : [ [ "2006", "9" ] ] }, "page" : "705-720", "title" : "Online learner\u2019s \u2018flow\u2019 experience: an empirical study", "type" : "article-journal", "volume" : "37" }, "uris" : [ "http://www.mendeley.com/documents/?uuid=12fba3aa-24a0-446d-bd7b-b671851e2d51" ] } ], "mendeley" : { "previouslyFormattedCitation" : "(Bandura, 1977; Oncu &amp; Cakir, 2011; Shin, 2006)" }, "properties" : { "noteIndex" : 0 }, "schema" : "https://github.com/citation-style-language/schema/raw/master/csl-citation.json" }</w:instrText>
      </w:r>
      <w:r w:rsidRPr="00BC081A">
        <w:rPr>
          <w:noProof/>
        </w:rPr>
        <w:fldChar w:fldCharType="separate"/>
      </w:r>
      <w:r w:rsidRPr="00BC081A">
        <w:rPr>
          <w:noProof/>
        </w:rPr>
        <w:t>(Bandura, 1977; Oncu &amp; Cakir, 2011; Shin, 2006)</w:t>
      </w:r>
      <w:r w:rsidRPr="00BC081A">
        <w:rPr>
          <w:noProof/>
        </w:rPr>
        <w:fldChar w:fldCharType="end"/>
      </w:r>
      <w:r w:rsidRPr="00BC081A">
        <w:t>.</w:t>
      </w:r>
    </w:p>
    <w:p w14:paraId="4584C084" w14:textId="34B23C5C" w:rsidR="000223E8" w:rsidRPr="00BC081A" w:rsidRDefault="009503F5" w:rsidP="009503F5">
      <w:pPr>
        <w:rPr>
          <w:noProof/>
        </w:rPr>
      </w:pPr>
      <w:r w:rsidRPr="00BC081A">
        <w:t xml:space="preserve">As mentioned in the previous chapter, Millennials have a different mentality, </w:t>
      </w:r>
      <w:r w:rsidR="000223E8" w:rsidRPr="00BC081A">
        <w:t>which affects</w:t>
      </w:r>
      <w:r w:rsidRPr="00BC081A">
        <w:t xml:space="preserve"> the way they learn. As </w:t>
      </w:r>
      <w:r w:rsidRPr="00BC081A">
        <w:rPr>
          <w:noProof/>
        </w:rPr>
        <w:t xml:space="preserve">Feiertag and Berge </w:t>
      </w:r>
      <w:r w:rsidRPr="00BC081A">
        <w:rPr>
          <w:noProof/>
        </w:rPr>
        <w:fldChar w:fldCharType="begin" w:fldLock="1"/>
      </w:r>
      <w:r w:rsidR="00AC1F7D">
        <w:rPr>
          <w:noProof/>
        </w:rPr>
        <w:instrText>ADDIN CSL_CITATION { "citationItems" : [ { "id" : "ITEM-1", "itemData" : { "DOI" : "10.1108/00400910810901782", "ISBN" : "0040091081090", "ISSN" : "0040-0912", "author" : [ { "dropping-particle" : "", "family" : "Feiertag", "given" : "Jeff", "non-dropping-particle" : "", "parse-names" : false, "suffix" : "" }, { "dropping-particle" : "", "family" : "Berge", "given" : "Zane L.", "non-dropping-particle" : "", "parse-names" : false, "suffix" : "" } ], "container-title" : "Education + Training", "id" : "ITEM-1", "issue" : "6", "issued" : { "date-parts" : [ [ "2008" ] ] }, "page" : "457-464", "title" : "Training Generation N: how educators should approach the Net Generation", "type" : "article-journal", "volume" : "50" }, "suppress-author" : 1, "uris" : [ "http://www.mendeley.com/documents/?uuid=809a0b94-f028-4d81-8b16-59fe6ab205eb" ] } ], "mendeley" : { "previouslyFormattedCitation" : "(2008)" }, "properties" : { "noteIndex" : 0 }, "schema" : "https://github.com/citation-style-language/schema/raw/master/csl-citation.json" }</w:instrText>
      </w:r>
      <w:r w:rsidRPr="00BC081A">
        <w:rPr>
          <w:noProof/>
        </w:rPr>
        <w:fldChar w:fldCharType="separate"/>
      </w:r>
      <w:r w:rsidRPr="00BC081A">
        <w:rPr>
          <w:noProof/>
        </w:rPr>
        <w:t>(2008)</w:t>
      </w:r>
      <w:r w:rsidRPr="00BC081A">
        <w:rPr>
          <w:noProof/>
        </w:rPr>
        <w:fldChar w:fldCharType="end"/>
      </w:r>
      <w:r w:rsidRPr="00BC081A">
        <w:rPr>
          <w:noProof/>
        </w:rPr>
        <w:t xml:space="preserve"> put it: </w:t>
      </w:r>
    </w:p>
    <w:p w14:paraId="07E0897C" w14:textId="3E42C916" w:rsidR="000223E8" w:rsidRPr="00BC081A" w:rsidRDefault="009503F5" w:rsidP="000223E8">
      <w:pPr>
        <w:pStyle w:val="Quote"/>
      </w:pPr>
      <w:r w:rsidRPr="00BC081A">
        <w:rPr>
          <w:noProof/>
        </w:rPr>
        <w:lastRenderedPageBreak/>
        <w:t>“</w:t>
      </w:r>
      <w:r w:rsidRPr="00BC081A">
        <w:t>Generation N’s</w:t>
      </w:r>
      <w:r w:rsidR="00210ACC" w:rsidRPr="00BC081A">
        <w:rPr>
          <w:rStyle w:val="FootnoteReference"/>
        </w:rPr>
        <w:footnoteReference w:id="5"/>
      </w:r>
      <w:r w:rsidRPr="00BC081A">
        <w:t xml:space="preserve"> learning style is hands-on and not necessarily linear in fashion. Forget instruction manuals, tech tips and lecture-based lessons; this is a generation that plays to learn. Many of today’s video games are based upon trial and error and Gen N sees it as a metaphor for learning” (p. 458). </w:t>
      </w:r>
    </w:p>
    <w:p w14:paraId="6934AEFD" w14:textId="2968B4BB" w:rsidR="009503F5" w:rsidRPr="00BC081A" w:rsidRDefault="009503F5" w:rsidP="009503F5">
      <w:pPr>
        <w:rPr>
          <w:rFonts w:cs="Times"/>
        </w:rPr>
      </w:pPr>
      <w:r w:rsidRPr="00BC081A">
        <w:rPr>
          <w:rFonts w:cs="Times"/>
        </w:rPr>
        <w:t xml:space="preserve">Furthermore, the focus on “doing” instead of “knowing”, when it comes to teaching Millennials, has been advocated due to the higher value of “actions” compared to “accumulation of facts” in the current era </w:t>
      </w:r>
      <w:r w:rsidRPr="00BC081A">
        <w:rPr>
          <w:rFonts w:cs="Times"/>
        </w:rPr>
        <w:fldChar w:fldCharType="begin" w:fldLock="1"/>
      </w:r>
      <w:r w:rsidR="00AC1F7D">
        <w:rPr>
          <w:rFonts w:cs="Times"/>
        </w:rPr>
        <w:instrText>ADDIN CSL_CITATION { "citationItems" : [ { "id" : "ITEM-1", "itemData" : { "author" : [ { "dropping-particle" : "", "family" : "Oblinger", "given" : "D", "non-dropping-particle" : "", "parse-names" : false, "suffix" : "" } ], "container-title" : "Educause review", "id" : "ITEM-1", "issued" : { "date-parts" : [ [ "2003" ] ] }, "publisher" : "ERIC", "title" : "Boomers, Gen-Xers, and Millennials: Understanding the\" New Students.\".", "type" : "article-journal" }, "uris" : [ "http://www.mendeley.com/documents/?uuid=dd9963cb-ce1a-40cc-9bc4-8e0b2ebd0dc2" ] } ], "mendeley" : { "previouslyFormattedCitation" : "(Oblinger, 2003)" }, "properties" : { "noteIndex" : 0 }, "schema" : "https://github.com/citation-style-language/schema/raw/master/csl-citation.json" }</w:instrText>
      </w:r>
      <w:r w:rsidRPr="00BC081A">
        <w:rPr>
          <w:rFonts w:cs="Times"/>
        </w:rPr>
        <w:fldChar w:fldCharType="separate"/>
      </w:r>
      <w:r w:rsidRPr="00BC081A">
        <w:rPr>
          <w:rFonts w:cs="Times"/>
          <w:noProof/>
        </w:rPr>
        <w:t>(Oblinger, 2003)</w:t>
      </w:r>
      <w:r w:rsidRPr="00BC081A">
        <w:rPr>
          <w:rFonts w:cs="Times"/>
        </w:rPr>
        <w:fldChar w:fldCharType="end"/>
      </w:r>
      <w:r w:rsidRPr="00BC081A">
        <w:rPr>
          <w:rFonts w:cs="Times"/>
        </w:rPr>
        <w:t xml:space="preserve">. It is often recommended that teachers focus more on creating interactive and experiential learning environments </w:t>
      </w:r>
      <w:r w:rsidRPr="00BC081A">
        <w:rPr>
          <w:rFonts w:cs="Times"/>
        </w:rPr>
        <w:fldChar w:fldCharType="begin" w:fldLock="1"/>
      </w:r>
      <w:r w:rsidR="00AC1F7D">
        <w:rPr>
          <w:rFonts w:cs="Times"/>
        </w:rPr>
        <w:instrText>ADDIN CSL_CITATION { "citationItems" : [ { "id" : "ITEM-1", "itemData" : { "author" : [ { "dropping-particle" : "", "family" : "Oblinger", "given" : "D", "non-dropping-particle" : "", "parse-names" : false, "suffix" : "" }, { "dropping-particle" : "", "family" : "Oblinger", "given" : "JL", "non-dropping-particle" : "", "parse-names" : false, "suffix" : "" } ], "id" : "ITEM-1", "issued" : { "date-parts" : [ [ "2005" ] ] }, "publisher" : "Educause Washington, DC", "title" : "Educating the net generation", "type" : "book", "volume" : "264" }, "uris" : [ "http://www.mendeley.com/documents/?uuid=64c5d12f-d792-49ea-927d-2eab564dfa00" ] } ], "mendeley" : { "previouslyFormattedCitation" : "(Oblinger &amp; Oblinger, 2005)" }, "properties" : { "noteIndex" : 0 }, "schema" : "https://github.com/citation-style-language/schema/raw/master/csl-citation.json" }</w:instrText>
      </w:r>
      <w:r w:rsidRPr="00BC081A">
        <w:rPr>
          <w:rFonts w:cs="Times"/>
        </w:rPr>
        <w:fldChar w:fldCharType="separate"/>
      </w:r>
      <w:r w:rsidRPr="00BC081A">
        <w:rPr>
          <w:rFonts w:cs="Times"/>
          <w:noProof/>
        </w:rPr>
        <w:t>(Oblinger &amp; Oblinger, 2005)</w:t>
      </w:r>
      <w:r w:rsidRPr="00BC081A">
        <w:rPr>
          <w:rFonts w:cs="Times"/>
        </w:rPr>
        <w:fldChar w:fldCharType="end"/>
      </w:r>
      <w:r w:rsidRPr="00BC081A">
        <w:rPr>
          <w:rFonts w:cs="Times"/>
        </w:rPr>
        <w:t xml:space="preserve">. The significance of engagement in the learning process has been emphasized in the work of the famous educational theorist, Kolb </w:t>
      </w:r>
      <w:r w:rsidRPr="00BC081A">
        <w:rPr>
          <w:rFonts w:cs="Times"/>
        </w:rPr>
        <w:fldChar w:fldCharType="begin" w:fldLock="1"/>
      </w:r>
      <w:r w:rsidR="00AC1F7D">
        <w:rPr>
          <w:rFonts w:cs="Times"/>
        </w:rPr>
        <w:instrText>ADDIN CSL_CITATION { "citationItems" : [ { "id" : "ITEM-1", "itemData" : { "author" : [ { "dropping-particle" : "", "family" : "Kolb", "given" : "D A", "non-dropping-particle" : "", "parse-names" : false, "suffix" : "" }, { "dropping-particle" : "", "family" : "others", "given" : "", "non-dropping-particle" : "", "parse-names" : false, "suffix" : "" } ], "id" : "ITEM-1", "issued" : { "date-parts" : [ [ "1984" ] ] }, "publisher" : "Prentice-Hall Englewood Cliffs, NJ", "title" : "Experiential learning: Experience as the source of learning and development", "type" : "book" }, "suppress-author" : 1, "uris" : [ "http://www.mendeley.com/documents/?uuid=ce7bbb7c-62d6-42a9-b709-c142d48175db" ] } ], "mendeley" : { "previouslyFormattedCitation" : "(1984)" }, "properties" : { "noteIndex" : 0 }, "schema" : "https://github.com/citation-style-language/schema/raw/master/csl-citation.json" }</w:instrText>
      </w:r>
      <w:r w:rsidRPr="00BC081A">
        <w:rPr>
          <w:rFonts w:cs="Times"/>
        </w:rPr>
        <w:fldChar w:fldCharType="separate"/>
      </w:r>
      <w:r w:rsidRPr="00BC081A">
        <w:rPr>
          <w:rFonts w:cs="Times"/>
          <w:noProof/>
        </w:rPr>
        <w:t>(1984)</w:t>
      </w:r>
      <w:r w:rsidRPr="00BC081A">
        <w:rPr>
          <w:rFonts w:cs="Times"/>
        </w:rPr>
        <w:fldChar w:fldCharType="end"/>
      </w:r>
      <w:r w:rsidRPr="00BC081A">
        <w:rPr>
          <w:rFonts w:cs="Times"/>
        </w:rPr>
        <w:t xml:space="preserve">, known as the idea of experiential learning. Other distinguished scholars have also advocated the positive effect of active involvement of students during learning processes </w:t>
      </w:r>
      <w:r w:rsidRPr="00BC081A">
        <w:rPr>
          <w:rFonts w:cs="Times"/>
        </w:rPr>
        <w:fldChar w:fldCharType="begin" w:fldLock="1"/>
      </w:r>
      <w:r w:rsidR="00AC1F7D">
        <w:rPr>
          <w:rFonts w:cs="Times"/>
        </w:rPr>
        <w:instrText>ADDIN CSL_CITATION { "citationItems" : [ { "id" : "ITEM-1", "itemData" : { "author" : [ { "dropping-particle" : "", "family" : "Papert", "given" : "S", "non-dropping-particle" : "", "parse-names" : false, "suffix" : "" } ], "id" : "ITEM-1", "issued" : { "date-parts" : [ [ "1980" ] ] }, "publisher" : "Basic Books, Inc.", "title" : "Mindstorms: Children, computers, and powerful ideas", "type" : "book" }, "uris" : [ "http://www.mendeley.com/documents/?uuid=80dccb26-b1ea-49b9-af85-4d9cf77ab38d" ] }, { "id" : "ITEM-2", "itemData" : { "author" : [ { "dropping-particle" : "", "family" : "Piaget", "given" : "J", "non-dropping-particle" : "", "parse-names" : false, "suffix" : "" }, { "dropping-particle" : "", "family" : "Roberts", "given" : "G A", "non-dropping-particle" : "", "parse-names" : false, "suffix" : "" } ], "id" : "ITEM-2", "issued" : { "date-parts" : [ [ "1976" ] ] }, "publisher" : "Penguin Books", "title" : "To understand is to invent: The future of education", "type" : "book" }, "uris" : [ "http://www.mendeley.com/documents/?uuid=0dbd9651-5b64-4e9b-b662-d455fc4ebced" ] }, { "id" : "ITEM-3", "itemData" : { "author" : [ { "dropping-particle" : "", "family" : "Vygotsky", "given" : "L S", "non-dropping-particle" : "", "parse-names" : false, "suffix" : "" } ], "id" : "ITEM-3", "issued" : { "date-parts" : [ [ "1978" ] ] }, "publisher" : "Cambridge, MA: Harvard University Press", "title" : "Mind and society: The development of higher mental processes", "type" : "article" }, "uris" : [ "http://www.mendeley.com/documents/?uuid=df153d27-2786-4b16-910a-4ab990dcb00f" ] } ], "mendeley" : { "previouslyFormattedCitation" : "(Papert, 1980; Piaget &amp; Roberts, 1976; Vygotsky, 1978)" }, "properties" : { "noteIndex" : 0 }, "schema" : "https://github.com/citation-style-language/schema/raw/master/csl-citation.json" }</w:instrText>
      </w:r>
      <w:r w:rsidRPr="00BC081A">
        <w:rPr>
          <w:rFonts w:cs="Times"/>
        </w:rPr>
        <w:fldChar w:fldCharType="separate"/>
      </w:r>
      <w:r w:rsidRPr="00BC081A">
        <w:rPr>
          <w:rFonts w:cs="Times"/>
          <w:noProof/>
        </w:rPr>
        <w:t>(Papert, 1980; Piaget &amp; Roberts, 1976; Vygotsky, 1978)</w:t>
      </w:r>
      <w:r w:rsidRPr="00BC081A">
        <w:rPr>
          <w:rFonts w:cs="Times"/>
        </w:rPr>
        <w:fldChar w:fldCharType="end"/>
      </w:r>
      <w:r w:rsidR="00B03F3F" w:rsidRPr="00BC081A">
        <w:rPr>
          <w:rFonts w:cs="Times"/>
        </w:rPr>
        <w:t xml:space="preserve">. Therefore, GBL is important as video games have the </w:t>
      </w:r>
      <w:r w:rsidRPr="00BC081A">
        <w:rPr>
          <w:rFonts w:cs="Times"/>
        </w:rPr>
        <w:t xml:space="preserve">potential </w:t>
      </w:r>
      <w:r w:rsidR="00B03F3F" w:rsidRPr="00BC081A">
        <w:rPr>
          <w:rFonts w:cs="Times"/>
        </w:rPr>
        <w:t>to encompass</w:t>
      </w:r>
      <w:r w:rsidRPr="00BC081A">
        <w:rPr>
          <w:rFonts w:cs="Times"/>
        </w:rPr>
        <w:t xml:space="preserve"> experiential learning principles </w:t>
      </w:r>
      <w:r w:rsidRPr="00BC081A">
        <w:rPr>
          <w:rFonts w:cs="Times"/>
        </w:rPr>
        <w:fldChar w:fldCharType="begin" w:fldLock="1"/>
      </w:r>
      <w:r w:rsidR="00AC1F7D">
        <w:rPr>
          <w:rFonts w:cs="Times"/>
        </w:rPr>
        <w:instrText>ADDIN CSL_CITATION { "citationItems" : [ { "id" : "ITEM-1", "itemData" : { "DOI" : "10.1145/950566.950595", "ISSN" : "15443574", "author" : [ { "dropping-particle" : "", "family" : "Gee", "given" : "James Paul", "non-dropping-particle" : "", "parse-names" : false, "suffix" : "" } ], "container-title" : "Computers in Entertainment", "id" : "ITEM-1", "issue" : "1", "issued" : { "date-parts" : [ [ "2003", "10", "1" ] ] }, "page" : "20", "title" : "What video games have to teach us about learning and literacy", "type" : "article-journal", "volume" : "1" }, "uris" : [ "http://www.mendeley.com/documents/?uuid=72675beb-3382-419d-9fd3-0b2b651a9c60" ] } ], "mendeley" : { "previouslyFormattedCitation" : "(Gee, 2003)" }, "properties" : { "noteIndex" : 0 }, "schema" : "https://github.com/citation-style-language/schema/raw/master/csl-citation.json" }</w:instrText>
      </w:r>
      <w:r w:rsidRPr="00BC081A">
        <w:rPr>
          <w:rFonts w:cs="Times"/>
        </w:rPr>
        <w:fldChar w:fldCharType="separate"/>
      </w:r>
      <w:r w:rsidRPr="00BC081A">
        <w:rPr>
          <w:rFonts w:cs="Times"/>
          <w:noProof/>
        </w:rPr>
        <w:t>(Gee, 2003)</w:t>
      </w:r>
      <w:r w:rsidRPr="00BC081A">
        <w:rPr>
          <w:rFonts w:cs="Times"/>
        </w:rPr>
        <w:fldChar w:fldCharType="end"/>
      </w:r>
      <w:r w:rsidRPr="00BC081A">
        <w:rPr>
          <w:rFonts w:cs="Times"/>
        </w:rPr>
        <w:t>.</w:t>
      </w:r>
    </w:p>
    <w:p w14:paraId="252A02E4" w14:textId="77777777" w:rsidR="009503F5" w:rsidRPr="00BC081A" w:rsidRDefault="009503F5" w:rsidP="00F24816">
      <w:pPr>
        <w:pStyle w:val="Heading3"/>
      </w:pPr>
      <w:bookmarkStart w:id="29" w:name="_Toc275209815"/>
      <w:r w:rsidRPr="00BC081A">
        <w:t>Beyond Serious Games: Gamification</w:t>
      </w:r>
      <w:bookmarkEnd w:id="29"/>
    </w:p>
    <w:p w14:paraId="14099875" w14:textId="7E719129" w:rsidR="00504CA4" w:rsidRDefault="009503F5" w:rsidP="00504CA4">
      <w:r w:rsidRPr="00BC081A">
        <w:t>“Gamification”</w:t>
      </w:r>
      <w:r w:rsidRPr="00BC081A">
        <w:rPr>
          <w:rStyle w:val="FootnoteReference"/>
        </w:rPr>
        <w:footnoteReference w:id="6"/>
      </w:r>
      <w:r w:rsidRPr="00BC081A">
        <w:t xml:space="preserve"> has become a popular term to describe the use of games in non-conventional contexts. </w:t>
      </w:r>
      <w:proofErr w:type="spellStart"/>
      <w:r w:rsidRPr="00BC081A">
        <w:t>Deterding</w:t>
      </w:r>
      <w:proofErr w:type="spellEnd"/>
      <w:r w:rsidRPr="00BC081A">
        <w:t xml:space="preserve">, Dixon, </w:t>
      </w:r>
      <w:proofErr w:type="spellStart"/>
      <w:r w:rsidRPr="00BC081A">
        <w:t>Khaled</w:t>
      </w:r>
      <w:proofErr w:type="spellEnd"/>
      <w:r w:rsidRPr="00BC081A">
        <w:t xml:space="preserve">, &amp; </w:t>
      </w:r>
      <w:proofErr w:type="spellStart"/>
      <w:r w:rsidRPr="00BC081A">
        <w:t>Nacke</w:t>
      </w:r>
      <w:proofErr w:type="spellEnd"/>
      <w:r w:rsidRPr="00BC081A">
        <w:t xml:space="preserve"> </w:t>
      </w:r>
      <w:r w:rsidRPr="00BC081A">
        <w:fldChar w:fldCharType="begin" w:fldLock="1"/>
      </w:r>
      <w:r w:rsidR="00AC1F7D">
        <w:instrText>ADDIN CSL_CITATION { "citationItems" : [ { "id" : "ITEM-1", "itemData" : { "ISBN" : "9781450308168", "author" : [ { "dropping-particle" : "", "family" : "Deterding", "given" : "Sebastian", "non-dropping-particle" : "", "parse-names" : false, "suffix" : "" }, { "dropping-particle" : "", "family" : "Dixon", "given" : "Dan", "non-dropping-particle" : "", "parse-names" : false, "suffix" : "" }, { "dropping-particle" : "", "family" : "Khaled", "given" : "R", "non-dropping-particle" : "", "parse-names" : false, "suffix" : "" }, { "dropping-particle" : "", "family" : "Nacke", "given" : "L", "non-dropping-particle" : "", "parse-names" : false, "suffix" : "" } ], "container-title" : "Proceedings of the 15th International Academic MindTrek Conference: Envisioning Future Media Environments", "id" : "ITEM-1", "issued" : { "date-parts" : [ [ "2011" ] ] }, "title" : "From game design elements to gamefulness: defining \"Gamification\"", "type" : "article-journal" }, "suppress-author" : 1, "uris" : [ "http://www.mendeley.com/documents/?uuid=ccd2d302-093e-417c-81e4-fa91d92b4e1c" ] } ], "mendeley" : { "previouslyFormattedCitation" : "(2011)" }, "properties" : { "noteIndex" : 0 }, "schema" : "https://github.com/citation-style-language/schema/raw/master/csl-citation.json" }</w:instrText>
      </w:r>
      <w:r w:rsidRPr="00BC081A">
        <w:fldChar w:fldCharType="separate"/>
      </w:r>
      <w:r w:rsidRPr="00BC081A">
        <w:rPr>
          <w:noProof/>
        </w:rPr>
        <w:t>(2011)</w:t>
      </w:r>
      <w:r w:rsidRPr="00BC081A">
        <w:fldChar w:fldCharType="end"/>
      </w:r>
      <w:r w:rsidRPr="00BC081A">
        <w:t xml:space="preserve"> define Gamification as “</w:t>
      </w:r>
      <w:r w:rsidRPr="00BC081A">
        <w:rPr>
          <w:i/>
          <w:iCs/>
        </w:rPr>
        <w:t>the use of game design elements in non-game contexts.</w:t>
      </w:r>
      <w:r w:rsidRPr="00BC081A">
        <w:t>” Foursquare</w:t>
      </w:r>
      <w:r w:rsidRPr="00BC081A">
        <w:rPr>
          <w:rStyle w:val="FootnoteReference"/>
        </w:rPr>
        <w:footnoteReference w:id="7"/>
      </w:r>
      <w:r w:rsidRPr="00BC081A">
        <w:t xml:space="preserve"> is perhaps the most successful example of Gamification. Foursquare designers have used game design elements such as points, badges, leaderboard, levels, as well as competition to motivate users to return to continuously </w:t>
      </w:r>
      <w:r w:rsidRPr="00BC081A">
        <w:lastRenderedPageBreak/>
        <w:t xml:space="preserve">use their service, which has increased their user activity significantly. </w:t>
      </w:r>
      <w:r w:rsidR="00FB7ABC" w:rsidRPr="00BC081A">
        <w:t xml:space="preserve">The main difference between serious games and Gamification is in the level of analysis. Serious games tend to use a complete game in contexts that are beyond mere enjoyment, while in Gamification one aims to use </w:t>
      </w:r>
      <w:r w:rsidR="00FB7ABC" w:rsidRPr="00BC081A">
        <w:rPr>
          <w:i/>
        </w:rPr>
        <w:t xml:space="preserve">design elements </w:t>
      </w:r>
      <w:r w:rsidR="00FB7ABC" w:rsidRPr="00BC081A">
        <w:t xml:space="preserve">of games in other contexts (e.g. marketing, social networks, sport, and such) without implementing a complete gaming environment. This comparison can be visualized </w:t>
      </w:r>
      <w:r w:rsidR="00FB7ABC">
        <w:t>in</w:t>
      </w:r>
      <w:r w:rsidR="00504CA4">
        <w:t xml:space="preserve"> </w:t>
      </w:r>
      <w:r w:rsidR="00504CA4" w:rsidRPr="00BC081A">
        <w:t>Figure 2.</w:t>
      </w:r>
    </w:p>
    <w:p w14:paraId="1E4E7B40" w14:textId="77777777" w:rsidR="00504CA4" w:rsidRDefault="00504CA4" w:rsidP="00504CA4">
      <w:pPr>
        <w:jc w:val="center"/>
      </w:pPr>
    </w:p>
    <w:p w14:paraId="66B9F991" w14:textId="77777777" w:rsidR="00504CA4" w:rsidRDefault="00504CA4" w:rsidP="00504CA4">
      <w:pPr>
        <w:keepNext/>
        <w:jc w:val="center"/>
      </w:pPr>
      <w:r>
        <w:rPr>
          <w:noProof/>
          <w:lang w:val="en-US"/>
        </w:rPr>
        <w:drawing>
          <wp:inline distT="0" distB="0" distL="0" distR="0" wp14:anchorId="6A9F2A39" wp14:editId="31047BAE">
            <wp:extent cx="3901440" cy="3432175"/>
            <wp:effectExtent l="0" t="0" r="10160" b="0"/>
            <wp:docPr id="12" name="Picture 2" descr="Description: SepSep:Users:SepSep:Desktop:Screen Shot 2012-09-08 at 8.3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escription: SepSep:Users:SepSep:Desktop:Screen Shot 2012-09-08 at 8.33.3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1440" cy="3432175"/>
                    </a:xfrm>
                    <a:prstGeom prst="rect">
                      <a:avLst/>
                    </a:prstGeom>
                    <a:noFill/>
                    <a:extLst/>
                  </pic:spPr>
                </pic:pic>
              </a:graphicData>
            </a:graphic>
          </wp:inline>
        </w:drawing>
      </w:r>
    </w:p>
    <w:p w14:paraId="24FADB49" w14:textId="3011ACCE" w:rsidR="009503F5" w:rsidRPr="00BC081A" w:rsidRDefault="00504CA4" w:rsidP="00C92D78">
      <w:pPr>
        <w:pStyle w:val="Caption"/>
        <w:rPr>
          <w:highlight w:val="lightGray"/>
        </w:rPr>
      </w:pPr>
      <w:bookmarkStart w:id="30" w:name="_Toc278912292"/>
      <w:r>
        <w:t xml:space="preserve">Figure </w:t>
      </w:r>
      <w:r w:rsidR="007804FF">
        <w:fldChar w:fldCharType="begin"/>
      </w:r>
      <w:r w:rsidR="007804FF">
        <w:instrText xml:space="preserve"> SEQ Figure \* ARABIC </w:instrText>
      </w:r>
      <w:r w:rsidR="007804FF">
        <w:fldChar w:fldCharType="separate"/>
      </w:r>
      <w:r w:rsidR="008C71FB">
        <w:rPr>
          <w:noProof/>
        </w:rPr>
        <w:t>2</w:t>
      </w:r>
      <w:r w:rsidR="007804FF">
        <w:rPr>
          <w:noProof/>
        </w:rPr>
        <w:fldChar w:fldCharType="end"/>
      </w:r>
      <w:r>
        <w:t xml:space="preserve"> - Situating Gamification (from </w:t>
      </w:r>
      <w:proofErr w:type="spellStart"/>
      <w:r>
        <w:t>Deterding</w:t>
      </w:r>
      <w:proofErr w:type="spellEnd"/>
      <w:r>
        <w:t xml:space="preserve"> et al. 2011)</w:t>
      </w:r>
      <w:bookmarkEnd w:id="30"/>
    </w:p>
    <w:p w14:paraId="46BB5516" w14:textId="311F3161" w:rsidR="009503F5" w:rsidRPr="00BC081A" w:rsidRDefault="009503F5" w:rsidP="009503F5">
      <w:r w:rsidRPr="00BC081A">
        <w:t xml:space="preserve">The dimension that separates games from toys and “playful design”, according to </w:t>
      </w:r>
      <w:proofErr w:type="spellStart"/>
      <w:r w:rsidRPr="00BC081A">
        <w:t>Deterding</w:t>
      </w:r>
      <w:proofErr w:type="spellEnd"/>
      <w:r w:rsidRPr="00BC081A">
        <w:t xml:space="preserve"> et al. </w:t>
      </w:r>
      <w:r w:rsidRPr="00BC081A">
        <w:fldChar w:fldCharType="begin" w:fldLock="1"/>
      </w:r>
      <w:r w:rsidR="00AC1F7D">
        <w:instrText>ADDIN CSL_CITATION { "citationItems" : [ { "id" : "ITEM-1", "itemData" : { "ISBN" : "9781450308168", "author" : [ { "dropping-particle" : "", "family" : "Deterding", "given" : "Sebastian", "non-dropping-particle" : "", "parse-names" : false, "suffix" : "" }, { "dropping-particle" : "", "family" : "Dixon", "given" : "Dan", "non-dropping-particle" : "", "parse-names" : false, "suffix" : "" }, { "dropping-particle" : "", "family" : "Khaled", "given" : "R", "non-dropping-particle" : "", "parse-names" : false, "suffix" : "" }, { "dropping-particle" : "", "family" : "Nacke", "given" : "L", "non-dropping-particle" : "", "parse-names" : false, "suffix" : "" } ], "container-title" : "Proceedings of the 15th International Academic MindTrek Conference: Envisioning Future Media Environments", "id" : "ITEM-1", "issued" : { "date-parts" : [ [ "2011" ] ] }, "title" : "From game design elements to gamefulness: defining \"Gamification\"", "type" : "article-journal" }, "suppress-author" : 1, "uris" : [ "http://www.mendeley.com/documents/?uuid=ccd2d302-093e-417c-81e4-fa91d92b4e1c" ] } ], "mendeley" : { "previouslyFormattedCitation" : "(2011)" }, "properties" : { "noteIndex" : 0 }, "schema" : "https://github.com/citation-style-language/schema/raw/master/csl-citation.json" }</w:instrText>
      </w:r>
      <w:r w:rsidRPr="00BC081A">
        <w:fldChar w:fldCharType="separate"/>
      </w:r>
      <w:r w:rsidRPr="00BC081A">
        <w:rPr>
          <w:noProof/>
        </w:rPr>
        <w:t>(2011)</w:t>
      </w:r>
      <w:r w:rsidRPr="00BC081A">
        <w:fldChar w:fldCharType="end"/>
      </w:r>
      <w:r w:rsidRPr="00BC081A">
        <w:t>, is the difference between the concepts of play and g</w:t>
      </w:r>
      <w:r w:rsidR="000263AA" w:rsidRPr="00BC081A">
        <w:t>ame. Play is a broader category</w:t>
      </w:r>
      <w:r w:rsidRPr="00BC081A">
        <w:t xml:space="preserve"> than games due to its free form and lack of structure </w:t>
      </w:r>
      <w:r w:rsidRPr="00BC081A">
        <w:fldChar w:fldCharType="begin" w:fldLock="1"/>
      </w:r>
      <w:r w:rsidR="00AC1F7D">
        <w:instrText>ADDIN CSL_CITATION { "citationItems" : [ { "id" : "ITEM-1", "itemData" : { "author" : [ { "dropping-particle" : "", "family" : "Caillois", "given" : "R", "non-dropping-particle" : "", "parse-names" : false, "suffix" : "" }, { "dropping-particle" : "", "family" : "Barash", "given" : "M", "non-dropping-particle" : "", "parse-names" : false, "suffix" : "" } ], "id" : "ITEM-1", "issued" : { "date-parts" : [ [ "2001" ] ] }, "publisher" : "Univ of Illinois Pr", "title" : "Man, play, and games", "type" : "book" }, "uris" : [ "http://www.mendeley.com/documents/?uuid=4c6efd9c-633b-44d4-8fef-cf94436e06c4" ] } ], "mendeley" : { "previouslyFormattedCitation" : "(Caillois &amp; Barash, 2001)" }, "properties" : { "noteIndex" : 0 }, "schema" : "https://github.com/citation-style-language/schema/raw/master/csl-citation.json" }</w:instrText>
      </w:r>
      <w:r w:rsidRPr="00BC081A">
        <w:fldChar w:fldCharType="separate"/>
      </w:r>
      <w:r w:rsidRPr="00BC081A">
        <w:rPr>
          <w:noProof/>
        </w:rPr>
        <w:t>(Caillois &amp; Barash, 2001)</w:t>
      </w:r>
      <w:r w:rsidRPr="00BC081A">
        <w:fldChar w:fldCharType="end"/>
      </w:r>
      <w:r w:rsidR="00FB7ABC">
        <w:t xml:space="preserve">. Games, unlike play that is also referred to as </w:t>
      </w:r>
      <w:r w:rsidRPr="00BC081A">
        <w:t xml:space="preserve">playfulness, are formal systems that follow a set of explicit rules </w:t>
      </w:r>
      <w:r w:rsidRPr="00BC081A">
        <w:fldChar w:fldCharType="begin" w:fldLock="1"/>
      </w:r>
      <w:r w:rsidR="00AC1F7D">
        <w:instrText>ADDIN CSL_CITATION { "citationItems" : [ { "id" : "ITEM-1", "itemData" : { "author" : [ { "dropping-particle" : "", "family" : "Barr", "given" : "P", "non-dropping-particle" : "", "parse-names" : false, "suffix" : "" }, { "dropping-particle" : "", "family" : "Noble", "given" : "J", "non-dropping-particle" : "", "parse-names" : false, "suffix" : "" }, { "dropping-particle" : "", "family" : "Biddle", "given" : "R", "non-dropping-particle" : "", "parse-names" : false, "suffix" : "" } ], "container-title" : "Interacting with Computers", "id" : "ITEM-1", "issue" : "2", "issued" : { "date-parts" : [ [ "2007" ] ] }, "page" : "180-195", "publisher" : "Elsevier", "title" : "Video game values: Human--computer interaction and games", "type" : "article-journal", "volume" : "19" }, "uris" : [ "http://www.mendeley.com/documents/?uuid=81bf4f06-ba15-4415-b7fb-14035814b26b" ] } ], "mendeley" : { "previouslyFormattedCitation" : "(Barr, Noble, &amp; Biddle, 2007)" }, "properties" : { "noteIndex" : 0 }, "schema" : "https://github.com/citation-style-language/schema/raw/master/csl-citation.json" }</w:instrText>
      </w:r>
      <w:r w:rsidRPr="00BC081A">
        <w:fldChar w:fldCharType="separate"/>
      </w:r>
      <w:r w:rsidRPr="00BC081A">
        <w:rPr>
          <w:noProof/>
        </w:rPr>
        <w:t>(Barr, Noble, &amp; Biddle, 2007)</w:t>
      </w:r>
      <w:r w:rsidRPr="00BC081A">
        <w:fldChar w:fldCharType="end"/>
      </w:r>
      <w:r w:rsidRPr="00BC081A">
        <w:t xml:space="preserve">. </w:t>
      </w:r>
    </w:p>
    <w:p w14:paraId="2F193B1A" w14:textId="11B1C6E8" w:rsidR="00481F3E" w:rsidRPr="00BC081A" w:rsidRDefault="00481F3E" w:rsidP="00481F3E">
      <w:pPr>
        <w:pStyle w:val="Heading2"/>
      </w:pPr>
      <w:bookmarkStart w:id="31" w:name="_Toc275209816"/>
      <w:r w:rsidRPr="00BC081A">
        <w:lastRenderedPageBreak/>
        <w:t>Extant Literature Review on Video Game Experience</w:t>
      </w:r>
      <w:bookmarkEnd w:id="31"/>
    </w:p>
    <w:p w14:paraId="53E56B5C" w14:textId="13428A31" w:rsidR="00A85E24" w:rsidRPr="00BC081A" w:rsidRDefault="000E7AE1" w:rsidP="00B7303A">
      <w:r w:rsidRPr="00BC081A">
        <w:t xml:space="preserve">Through a detailed examination of extant literature, existing gaps in the literature on video game engagement were identified. </w:t>
      </w:r>
      <w:r w:rsidR="00A85E24" w:rsidRPr="00BC081A">
        <w:t xml:space="preserve">A graphical summary of this </w:t>
      </w:r>
      <w:r w:rsidRPr="00BC081A">
        <w:t xml:space="preserve">literature review is presented in </w:t>
      </w:r>
      <w:r w:rsidR="00495208">
        <w:fldChar w:fldCharType="begin"/>
      </w:r>
      <w:r w:rsidR="00495208">
        <w:instrText xml:space="preserve"> REF _Ref278911512 \h </w:instrText>
      </w:r>
      <w:r w:rsidR="00495208">
        <w:fldChar w:fldCharType="separate"/>
      </w:r>
      <w:r w:rsidR="008C71FB">
        <w:t xml:space="preserve">Figure </w:t>
      </w:r>
      <w:r w:rsidR="008C71FB">
        <w:rPr>
          <w:noProof/>
        </w:rPr>
        <w:t>3</w:t>
      </w:r>
      <w:r w:rsidR="00495208">
        <w:fldChar w:fldCharType="end"/>
      </w:r>
      <w:r w:rsidR="00495208">
        <w:t xml:space="preserve"> </w:t>
      </w:r>
      <w:r w:rsidRPr="00BC081A">
        <w:t xml:space="preserve">by visualizing the relationships that other scholars have previously studied. This overarching model also distinguishes the empirical versus non-empirical results by using different </w:t>
      </w:r>
      <w:r w:rsidR="002D5A1D">
        <w:t xml:space="preserve">relationship </w:t>
      </w:r>
      <w:r w:rsidRPr="00BC081A">
        <w:t xml:space="preserve">lines as </w:t>
      </w:r>
      <w:r w:rsidR="003A7EB7" w:rsidRPr="00BC081A">
        <w:t>validated</w:t>
      </w:r>
      <w:r w:rsidRPr="00BC081A">
        <w:t xml:space="preserve"> or proposed relationships. As shown in</w:t>
      </w:r>
      <w:r w:rsidR="00715876">
        <w:t xml:space="preserve"> </w:t>
      </w:r>
      <w:r w:rsidR="00715876">
        <w:fldChar w:fldCharType="begin"/>
      </w:r>
      <w:r w:rsidR="00715876">
        <w:instrText xml:space="preserve"> REF _Ref278911512 \h </w:instrText>
      </w:r>
      <w:r w:rsidR="00715876">
        <w:fldChar w:fldCharType="separate"/>
      </w:r>
      <w:r w:rsidR="008C71FB">
        <w:t xml:space="preserve">Figure </w:t>
      </w:r>
      <w:r w:rsidR="008C71FB">
        <w:rPr>
          <w:noProof/>
        </w:rPr>
        <w:t>3</w:t>
      </w:r>
      <w:r w:rsidR="00715876">
        <w:fldChar w:fldCharType="end"/>
      </w:r>
      <w:r w:rsidRPr="00BC081A">
        <w:t>, research on video games and Flow</w:t>
      </w:r>
      <w:r w:rsidR="002C4390">
        <w:t xml:space="preserve"> (high engagement)</w:t>
      </w:r>
      <w:r w:rsidRPr="00BC081A">
        <w:t xml:space="preserve"> in video games can be divided into two main groups: first, studies that focus on different elements of video gaming systems</w:t>
      </w:r>
      <w:r w:rsidR="00A85E24" w:rsidRPr="00BC081A">
        <w:t>, in particular competition</w:t>
      </w:r>
      <w:r w:rsidRPr="00BC081A">
        <w:t xml:space="preserve"> (left hand side of the </w:t>
      </w:r>
      <w:r w:rsidR="00E945A7" w:rsidRPr="00BC081A">
        <w:t>figure</w:t>
      </w:r>
      <w:r w:rsidRPr="00BC081A">
        <w:t>)</w:t>
      </w:r>
      <w:r w:rsidR="002D5A1D">
        <w:t>;</w:t>
      </w:r>
      <w:r w:rsidRPr="00BC081A">
        <w:t xml:space="preserve"> and second, studies that evaluate engagement or Flow during video gameplay. </w:t>
      </w:r>
      <w:r w:rsidR="00A85E24" w:rsidRPr="00BC081A">
        <w:t>The first group of studies are labelled with letters ‘a’ to ‘o’, and the second group of studies are labelled with nu</w:t>
      </w:r>
      <w:r w:rsidR="00330565">
        <w:t xml:space="preserve">mbers 1 to 18. </w:t>
      </w:r>
      <w:r w:rsidR="002D5A1D">
        <w:t>T</w:t>
      </w:r>
      <w:r w:rsidR="00330565">
        <w:t xml:space="preserve">he first group of these studies </w:t>
      </w:r>
      <w:r w:rsidR="002D5A1D">
        <w:t xml:space="preserve">is discussed below. </w:t>
      </w:r>
      <w:r w:rsidR="00330565">
        <w:t xml:space="preserve">The second </w:t>
      </w:r>
      <w:r w:rsidR="002D5A1D">
        <w:t xml:space="preserve">group </w:t>
      </w:r>
      <w:r w:rsidR="00330565">
        <w:t xml:space="preserve">of the studies that focus on the construct of Flow, its antecedents and consequences will be </w:t>
      </w:r>
      <w:r w:rsidR="002D5A1D">
        <w:t>discussed</w:t>
      </w:r>
      <w:r w:rsidR="00330565">
        <w:t xml:space="preserve"> in the next chapter</w:t>
      </w:r>
      <w:r w:rsidR="002D5A1D">
        <w:t xml:space="preserve"> (</w:t>
      </w:r>
      <w:r w:rsidR="00330565">
        <w:t xml:space="preserve">section </w:t>
      </w:r>
      <w:r w:rsidR="00330565">
        <w:fldChar w:fldCharType="begin"/>
      </w:r>
      <w:r w:rsidR="00330565">
        <w:instrText xml:space="preserve"> REF _Ref271237908 \w \h </w:instrText>
      </w:r>
      <w:r w:rsidR="00330565">
        <w:fldChar w:fldCharType="separate"/>
      </w:r>
      <w:r w:rsidR="008C71FB">
        <w:t>3.2</w:t>
      </w:r>
      <w:r w:rsidR="00330565">
        <w:fldChar w:fldCharType="end"/>
      </w:r>
      <w:r w:rsidR="002D5A1D">
        <w:t>)</w:t>
      </w:r>
      <w:r w:rsidR="00330565">
        <w:t xml:space="preserve"> w</w:t>
      </w:r>
      <w:r w:rsidR="00A95F60">
        <w:t>h</w:t>
      </w:r>
      <w:r w:rsidR="00330565">
        <w:t xml:space="preserve">ere details of Flow theory and its various dimensions </w:t>
      </w:r>
      <w:r w:rsidR="002D5A1D">
        <w:t>are presented</w:t>
      </w:r>
      <w:r w:rsidR="00330565">
        <w:t>.</w:t>
      </w:r>
    </w:p>
    <w:p w14:paraId="2DF4A94C" w14:textId="6BA07B60" w:rsidR="00044ABC" w:rsidRPr="00BC081A" w:rsidRDefault="00044ABC" w:rsidP="00044ABC">
      <w:pPr>
        <w:pStyle w:val="Heading3"/>
      </w:pPr>
      <w:bookmarkStart w:id="32" w:name="_Toc275209817"/>
      <w:r w:rsidRPr="00BC081A">
        <w:t>Studies with the Focus on Competition and Game Elements</w:t>
      </w:r>
      <w:bookmarkEnd w:id="32"/>
    </w:p>
    <w:p w14:paraId="1E0FA0F4" w14:textId="70DA5F3B" w:rsidR="00044ABC" w:rsidRPr="00BC081A" w:rsidRDefault="00044ABC" w:rsidP="00044ABC">
      <w:r w:rsidRPr="00BC081A">
        <w:t xml:space="preserve">Wu et al. (2009) </w:t>
      </w:r>
      <w:r w:rsidR="00562791" w:rsidRPr="00BC081A">
        <w:t xml:space="preserve">(paper ‘a’) </w:t>
      </w:r>
      <w:r w:rsidR="007E26B2" w:rsidRPr="00BC081A">
        <w:t xml:space="preserve">studied online games from </w:t>
      </w:r>
      <w:r w:rsidR="002D5A1D">
        <w:t xml:space="preserve">a </w:t>
      </w:r>
      <w:r w:rsidR="007E26B2" w:rsidRPr="00BC081A">
        <w:t xml:space="preserve">Uses and Gratifications </w:t>
      </w:r>
      <w:r w:rsidR="000727BE" w:rsidRPr="00BC081A">
        <w:t xml:space="preserve">(U&amp;G) </w:t>
      </w:r>
      <w:r w:rsidR="007E26B2" w:rsidRPr="00BC081A">
        <w:t xml:space="preserve">perspective, which </w:t>
      </w:r>
      <w:r w:rsidR="001C2A99" w:rsidRPr="00BC081A">
        <w:t>discusses</w:t>
      </w:r>
      <w:r w:rsidR="007E26B2" w:rsidRPr="00BC081A">
        <w:t xml:space="preserve"> the usage of media to gratify various users’ needs and wants. </w:t>
      </w:r>
      <w:r w:rsidR="00D3562B" w:rsidRPr="00BC081A">
        <w:t>Based on Uses and Gratification Theory, the authors explore the antecedents (i.e. gratifications and presence) of continuance intention in video games</w:t>
      </w:r>
      <w:r w:rsidR="008928B5">
        <w:t xml:space="preserve"> use</w:t>
      </w:r>
      <w:r w:rsidR="00D3562B" w:rsidRPr="00BC081A">
        <w:t xml:space="preserve">. </w:t>
      </w:r>
      <w:r w:rsidR="000727BE" w:rsidRPr="00BC081A">
        <w:t xml:space="preserve">Based on 343 completed responses from online gamers in Taiwan it was shown that Gratification (Achievement, Enjoyment, and Social Interaction) is the main predictor of intention to continue playing games in U&amp;G. </w:t>
      </w:r>
      <w:r w:rsidR="00562791" w:rsidRPr="00BC081A">
        <w:t xml:space="preserve">Yee (2006) (paper ‘b’) also investigated the factors that motivate people to play video games through an empirical study. Through principle component analysis technique of 3,000 MMORPG players 10 </w:t>
      </w:r>
      <w:r w:rsidR="00562791" w:rsidRPr="00BC081A">
        <w:lastRenderedPageBreak/>
        <w:t>factors were extracted</w:t>
      </w:r>
      <w:r w:rsidR="000B7C06" w:rsidRPr="00BC081A">
        <w:t xml:space="preserve"> (shown in</w:t>
      </w:r>
      <w:r w:rsidR="00495208">
        <w:t xml:space="preserve"> </w:t>
      </w:r>
      <w:r w:rsidR="00495208">
        <w:fldChar w:fldCharType="begin"/>
      </w:r>
      <w:r w:rsidR="00495208">
        <w:instrText xml:space="preserve"> REF _Ref278911512 \h </w:instrText>
      </w:r>
      <w:r w:rsidR="00495208">
        <w:fldChar w:fldCharType="separate"/>
      </w:r>
      <w:r w:rsidR="008C71FB">
        <w:t xml:space="preserve">Figure </w:t>
      </w:r>
      <w:r w:rsidR="008C71FB">
        <w:rPr>
          <w:noProof/>
        </w:rPr>
        <w:t>3</w:t>
      </w:r>
      <w:r w:rsidR="00495208">
        <w:fldChar w:fldCharType="end"/>
      </w:r>
      <w:r w:rsidR="000B7C06" w:rsidRPr="00BC081A">
        <w:t>)</w:t>
      </w:r>
      <w:r w:rsidR="00562791" w:rsidRPr="00BC081A">
        <w:t xml:space="preserve">. These 10 factors were organized under three main </w:t>
      </w:r>
      <w:r w:rsidR="00B648E0" w:rsidRPr="00BC081A">
        <w:t>components</w:t>
      </w:r>
      <w:r w:rsidR="00562791" w:rsidRPr="00BC081A">
        <w:t xml:space="preserve"> </w:t>
      </w:r>
      <w:r w:rsidR="00B648E0" w:rsidRPr="00BC081A">
        <w:t>of Social</w:t>
      </w:r>
      <w:r w:rsidR="00562791" w:rsidRPr="00BC081A">
        <w:t xml:space="preserve">, Immersion, and Achievement. </w:t>
      </w:r>
      <w:r w:rsidR="00B648E0" w:rsidRPr="00BC081A">
        <w:t>Yee (2006) included competition</w:t>
      </w:r>
      <w:r w:rsidR="00D87B78">
        <w:t xml:space="preserve"> (i.e. Dispositional Competitiveness)</w:t>
      </w:r>
      <w:r w:rsidR="00B648E0" w:rsidRPr="00BC081A">
        <w:t xml:space="preserve"> as a factor of Achievement. </w:t>
      </w:r>
    </w:p>
    <w:p w14:paraId="1B59B433" w14:textId="6CA57565" w:rsidR="00584BDA" w:rsidRDefault="001D149E" w:rsidP="00BC081A">
      <w:pPr>
        <w:rPr>
          <w:iCs/>
        </w:rPr>
      </w:pPr>
      <w:r w:rsidRPr="00BC081A">
        <w:t xml:space="preserve">Some studies explored the effect of competition in more detail. </w:t>
      </w:r>
      <w:r w:rsidR="00584BDA">
        <w:t xml:space="preserve">Competition has been hypothesized to have a direct effect on enjoyment of individuals in entertaining media, resulting in higher learning </w:t>
      </w:r>
      <w:r w:rsidR="00584BDA">
        <w:fldChar w:fldCharType="begin" w:fldLock="1"/>
      </w:r>
      <w:r w:rsidR="00AC1F7D">
        <w:instrText>ADDIN CSL_CITATION { "citationItems" : [ { "id" : "ITEM-1", "itemData" : { "DOI" : "10.1111/j.1468-2885.2004.tb00321.x", "ISSN" : "1050-3293", "author" : [ { "dropping-particle" : "", "family" : "Vorderer", "given" : "Peter", "non-dropping-particle" : "", "parse-names" : false, "suffix" : "" }, { "dropping-particle" : "", "family" : "Klimmt", "given" : "Christoph", "non-dropping-particle" : "", "parse-names" : false, "suffix" : "" }, { "dropping-particle" : "", "family" : "Ritterfeld", "given" : "Ute", "non-dropping-particle" : "", "parse-names" : false, "suffix" : "" } ], "container-title" : "Communication Theory", "id" : "ITEM-1", "issue" : "4", "issued" : { "date-parts" : [ [ "2004", "11" ] ] }, "page" : "388-408", "title" : "Enjoyment: At the Heart of Media Entertainment", "type" : "article-journal", "volume" : "14" }, "uris" : [ "http://www.mendeley.com/documents/?uuid=b42dd06a-392b-476e-8506-4d7d8dc57802" ] } ], "mendeley" : { "previouslyFormattedCitation" : "(Vorderer, Klimmt, &amp; Ritterfeld, 2004)" }, "properties" : { "noteIndex" : 0 }, "schema" : "https://github.com/citation-style-language/schema/raw/master/csl-citation.json" }</w:instrText>
      </w:r>
      <w:r w:rsidR="00584BDA">
        <w:fldChar w:fldCharType="separate"/>
      </w:r>
      <w:r w:rsidR="00584BDA" w:rsidRPr="00584BDA">
        <w:rPr>
          <w:noProof/>
        </w:rPr>
        <w:t>(Vorderer, Klimmt, &amp; Ritterfeld, 2004)</w:t>
      </w:r>
      <w:r w:rsidR="00584BDA">
        <w:fldChar w:fldCharType="end"/>
      </w:r>
      <w:r w:rsidR="00584BDA">
        <w:t xml:space="preserve"> (study ‘k’). </w:t>
      </w:r>
      <w:r w:rsidRPr="00BC081A">
        <w:t xml:space="preserve">Reeve and </w:t>
      </w:r>
      <w:proofErr w:type="spellStart"/>
      <w:r w:rsidRPr="00BC081A">
        <w:t>Deci</w:t>
      </w:r>
      <w:proofErr w:type="spellEnd"/>
      <w:r w:rsidRPr="00BC081A">
        <w:t xml:space="preserve"> (1996)</w:t>
      </w:r>
      <w:r w:rsidR="005A6F22" w:rsidRPr="00BC081A">
        <w:t xml:space="preserve"> (paper ‘c’)</w:t>
      </w:r>
      <w:r w:rsidRPr="00BC081A">
        <w:t xml:space="preserve"> studied the role of different elements of a competitive situation (i.e. </w:t>
      </w:r>
      <w:r w:rsidRPr="00BC081A">
        <w:rPr>
          <w:i/>
          <w:iCs/>
        </w:rPr>
        <w:t>competitive set, competitive outcome, and interpersonal context)</w:t>
      </w:r>
      <w:r w:rsidR="00CF1985" w:rsidRPr="00BC081A">
        <w:t xml:space="preserve"> on creating intrinsic motivation among participants who played a puzzle game. </w:t>
      </w:r>
      <w:r w:rsidR="0050251A" w:rsidRPr="00BC081A">
        <w:t xml:space="preserve">The results of this study showed that </w:t>
      </w:r>
      <w:r w:rsidR="0050251A" w:rsidRPr="00BC081A">
        <w:rPr>
          <w:i/>
          <w:iCs/>
        </w:rPr>
        <w:t xml:space="preserve">competitive outcome (i.e. winning </w:t>
      </w:r>
      <w:r w:rsidR="0050251A" w:rsidRPr="00BC081A">
        <w:rPr>
          <w:iCs/>
        </w:rPr>
        <w:t xml:space="preserve">vs. </w:t>
      </w:r>
      <w:r w:rsidR="0050251A" w:rsidRPr="00BC081A">
        <w:rPr>
          <w:i/>
          <w:iCs/>
        </w:rPr>
        <w:t>losing) and context (</w:t>
      </w:r>
      <w:r w:rsidR="0050251A" w:rsidRPr="00BC081A">
        <w:rPr>
          <w:iCs/>
        </w:rPr>
        <w:t>i.e.</w:t>
      </w:r>
      <w:r w:rsidR="0050251A" w:rsidRPr="00BC081A">
        <w:rPr>
          <w:i/>
          <w:iCs/>
        </w:rPr>
        <w:t xml:space="preserve"> pressured </w:t>
      </w:r>
      <w:r w:rsidR="0050251A" w:rsidRPr="00BC081A">
        <w:rPr>
          <w:iCs/>
        </w:rPr>
        <w:t>vs.</w:t>
      </w:r>
      <w:r w:rsidR="0050251A" w:rsidRPr="00BC081A">
        <w:rPr>
          <w:i/>
          <w:iCs/>
        </w:rPr>
        <w:t xml:space="preserve"> </w:t>
      </w:r>
      <w:proofErr w:type="spellStart"/>
      <w:r w:rsidR="0050251A" w:rsidRPr="00BC081A">
        <w:rPr>
          <w:i/>
          <w:iCs/>
        </w:rPr>
        <w:t>nonpressured</w:t>
      </w:r>
      <w:proofErr w:type="spellEnd"/>
      <w:r w:rsidR="0050251A" w:rsidRPr="00BC081A">
        <w:rPr>
          <w:i/>
          <w:iCs/>
        </w:rPr>
        <w:t xml:space="preserve">) </w:t>
      </w:r>
      <w:r w:rsidR="0050251A" w:rsidRPr="00BC081A">
        <w:rPr>
          <w:iCs/>
        </w:rPr>
        <w:t>influence intrinsic motivation</w:t>
      </w:r>
      <w:r w:rsidR="0050251A" w:rsidRPr="00BC081A">
        <w:rPr>
          <w:i/>
          <w:iCs/>
        </w:rPr>
        <w:t xml:space="preserve">. </w:t>
      </w:r>
      <w:r w:rsidR="0050251A" w:rsidRPr="00BC081A">
        <w:rPr>
          <w:iCs/>
        </w:rPr>
        <w:t xml:space="preserve">The results of their path analysis also showed that winning (compared to losing) increased intrinsic motivation and a pressured (versus </w:t>
      </w:r>
      <w:proofErr w:type="spellStart"/>
      <w:r w:rsidR="0050251A" w:rsidRPr="00BC081A">
        <w:rPr>
          <w:iCs/>
        </w:rPr>
        <w:t>nonpressured</w:t>
      </w:r>
      <w:proofErr w:type="spellEnd"/>
      <w:r w:rsidR="0050251A" w:rsidRPr="00BC081A">
        <w:rPr>
          <w:iCs/>
        </w:rPr>
        <w:t>) context decreased intrinsic motivation.</w:t>
      </w:r>
      <w:r w:rsidR="008F5CE1" w:rsidRPr="00BC081A">
        <w:rPr>
          <w:iCs/>
        </w:rPr>
        <w:t xml:space="preserve"> </w:t>
      </w:r>
    </w:p>
    <w:p w14:paraId="54B6F3F5" w14:textId="07D68DF7" w:rsidR="0091158E" w:rsidRDefault="00584BDA" w:rsidP="00BC081A">
      <w:pPr>
        <w:rPr>
          <w:iCs/>
        </w:rPr>
      </w:pPr>
      <w:r>
        <w:rPr>
          <w:iCs/>
        </w:rPr>
        <w:t>A</w:t>
      </w:r>
      <w:r w:rsidR="008F5CE1" w:rsidRPr="00BC081A">
        <w:rPr>
          <w:iCs/>
        </w:rPr>
        <w:t xml:space="preserve">s </w:t>
      </w:r>
      <w:proofErr w:type="spellStart"/>
      <w:r w:rsidR="008F5CE1" w:rsidRPr="00BC081A">
        <w:rPr>
          <w:iCs/>
        </w:rPr>
        <w:t>Udvari</w:t>
      </w:r>
      <w:proofErr w:type="spellEnd"/>
      <w:r w:rsidR="008F5CE1" w:rsidRPr="00BC081A">
        <w:rPr>
          <w:iCs/>
        </w:rPr>
        <w:t xml:space="preserve"> and Schneider (2000) </w:t>
      </w:r>
      <w:r w:rsidR="00A006C7" w:rsidRPr="00BC081A">
        <w:rPr>
          <w:iCs/>
        </w:rPr>
        <w:t xml:space="preserve">(study ‘d’) </w:t>
      </w:r>
      <w:r w:rsidR="008F5CE1" w:rsidRPr="00BC081A">
        <w:rPr>
          <w:iCs/>
        </w:rPr>
        <w:t>showed, the effect</w:t>
      </w:r>
      <w:r w:rsidR="00767DAB">
        <w:rPr>
          <w:iCs/>
        </w:rPr>
        <w:t>s</w:t>
      </w:r>
      <w:r w:rsidR="008F5CE1" w:rsidRPr="00BC081A">
        <w:rPr>
          <w:iCs/>
        </w:rPr>
        <w:t xml:space="preserve"> of competition var</w:t>
      </w:r>
      <w:r w:rsidR="00767DAB">
        <w:rPr>
          <w:iCs/>
        </w:rPr>
        <w:t>y in</w:t>
      </w:r>
      <w:r w:rsidR="008F5CE1" w:rsidRPr="00BC081A">
        <w:rPr>
          <w:iCs/>
        </w:rPr>
        <w:t xml:space="preserve"> different people</w:t>
      </w:r>
      <w:r w:rsidR="00E62143">
        <w:rPr>
          <w:iCs/>
        </w:rPr>
        <w:t xml:space="preserve"> in different situations</w:t>
      </w:r>
      <w:r w:rsidR="008F5CE1" w:rsidRPr="00BC081A">
        <w:rPr>
          <w:iCs/>
        </w:rPr>
        <w:t>. In this study</w:t>
      </w:r>
      <w:r w:rsidR="00767DAB">
        <w:rPr>
          <w:iCs/>
        </w:rPr>
        <w:t>, the</w:t>
      </w:r>
      <w:r w:rsidR="008F5CE1" w:rsidRPr="00BC081A">
        <w:rPr>
          <w:iCs/>
        </w:rPr>
        <w:t xml:space="preserve"> authors investigated how (intellectually) gifted children react to competition. The results of the research supported the claim that gifted children would work harder under competition and achieve higher performance compared to the situations </w:t>
      </w:r>
      <w:r w:rsidR="00000596">
        <w:rPr>
          <w:iCs/>
        </w:rPr>
        <w:t>where</w:t>
      </w:r>
      <w:r w:rsidR="00000596" w:rsidRPr="00BC081A">
        <w:rPr>
          <w:iCs/>
        </w:rPr>
        <w:t xml:space="preserve"> </w:t>
      </w:r>
      <w:r w:rsidR="008F5CE1" w:rsidRPr="00BC081A">
        <w:rPr>
          <w:iCs/>
        </w:rPr>
        <w:t xml:space="preserve">they do not compete with their classmates. </w:t>
      </w:r>
      <w:r w:rsidR="00366631" w:rsidRPr="00BC081A">
        <w:rPr>
          <w:iCs/>
        </w:rPr>
        <w:t xml:space="preserve">However, these findings are not limited to gifted children. Through a set of studies, </w:t>
      </w:r>
      <w:proofErr w:type="spellStart"/>
      <w:r w:rsidR="00366631" w:rsidRPr="00BC081A">
        <w:rPr>
          <w:iCs/>
        </w:rPr>
        <w:t>Maciejovsky</w:t>
      </w:r>
      <w:proofErr w:type="spellEnd"/>
      <w:r w:rsidR="00366631" w:rsidRPr="00BC081A">
        <w:rPr>
          <w:iCs/>
        </w:rPr>
        <w:t xml:space="preserve"> and </w:t>
      </w:r>
      <w:proofErr w:type="spellStart"/>
      <w:r w:rsidR="00366631" w:rsidRPr="00BC081A">
        <w:rPr>
          <w:iCs/>
        </w:rPr>
        <w:t>Budescu</w:t>
      </w:r>
      <w:proofErr w:type="spellEnd"/>
      <w:r w:rsidR="00366631" w:rsidRPr="00BC081A">
        <w:rPr>
          <w:iCs/>
        </w:rPr>
        <w:t xml:space="preserve"> </w:t>
      </w:r>
      <w:r w:rsidR="00366631" w:rsidRPr="00BC081A">
        <w:rPr>
          <w:iCs/>
        </w:rPr>
        <w:fldChar w:fldCharType="begin" w:fldLock="1"/>
      </w:r>
      <w:r w:rsidR="00AC1F7D">
        <w:rPr>
          <w:iCs/>
        </w:rPr>
        <w:instrText>ADDIN CSL_CITATION { "citationItems" : [ { "id" : "ITEM-1", "itemData" : { "DOI" : "10.1037/0022-3514.92.5.854", "ISSN" : "0022-3514", "PMID" : "17484609", "abstract" : "There is strong evidence that groups perform better than individuals do on intellective tasks with demonstrably correct solutions. Typically, these studies assume that group members share common goals. The authors extend this line of research by replacing standard face-to-face group interactions with competitive auctions, allowing for conflicting individual incentives. In a series of studies involving the well-known Wason selection task, they demonstrate that competitive auctions induce learning effects equally impressive as those of standard group interactions, and they uncover specific and general knowledge transfers from these institutions to new reasoning problems. The authors identify payoff feedback and information pooling as the driving factors underlying these findings, and they explain these factors within the theoretical framework of collective induction.", "author" : [ { "dropping-particle" : "", "family" : "Maciejovsky", "given" : "Boris", "non-dropping-particle" : "", "parse-names" : false, "suffix" : "" }, { "dropping-particle" : "V", "family" : "Budescu", "given" : "David", "non-dropping-particle" : "", "parse-names" : false, "suffix" : "" } ], "container-title" : "Journal of personality and social psychology", "id" : "ITEM-1", "issue" : "5", "issued" : { "date-parts" : [ [ "2007", "5" ] ] }, "page" : "854-70", "title" : "Collective induction without cooperation? Learning and knowledge transfer in cooperative groups and competitive auctions.", "type" : "article-journal", "volume" : "92" }, "suppress-author" : 1, "uris" : [ "http://www.mendeley.com/documents/?uuid=16a6cf07-b2c4-4bdb-b413-546f2a7497fe" ] } ], "mendeley" : { "previouslyFormattedCitation" : "(2007)" }, "properties" : { "noteIndex" : 0 }, "schema" : "https://github.com/citation-style-language/schema/raw/master/csl-citation.json" }</w:instrText>
      </w:r>
      <w:r w:rsidR="00366631" w:rsidRPr="00BC081A">
        <w:rPr>
          <w:iCs/>
        </w:rPr>
        <w:fldChar w:fldCharType="separate"/>
      </w:r>
      <w:r w:rsidR="00366631" w:rsidRPr="00BC081A">
        <w:rPr>
          <w:iCs/>
          <w:noProof/>
        </w:rPr>
        <w:t>(2007)</w:t>
      </w:r>
      <w:r w:rsidR="00366631" w:rsidRPr="00BC081A">
        <w:rPr>
          <w:iCs/>
        </w:rPr>
        <w:fldChar w:fldCharType="end"/>
      </w:r>
      <w:r w:rsidR="00A006C7" w:rsidRPr="00BC081A">
        <w:rPr>
          <w:iCs/>
        </w:rPr>
        <w:t xml:space="preserve"> (study ‘e’)</w:t>
      </w:r>
      <w:r w:rsidR="008F5CE1" w:rsidRPr="00BC081A">
        <w:rPr>
          <w:iCs/>
        </w:rPr>
        <w:t xml:space="preserve"> </w:t>
      </w:r>
      <w:r w:rsidR="00985388" w:rsidRPr="00BC081A">
        <w:rPr>
          <w:iCs/>
        </w:rPr>
        <w:t xml:space="preserve">investigated the role of competitive auctions in groups. Their studies showed that competitive situation resulted in higher learning </w:t>
      </w:r>
      <w:r w:rsidR="00F676A7" w:rsidRPr="00BC081A">
        <w:rPr>
          <w:iCs/>
        </w:rPr>
        <w:t>effects</w:t>
      </w:r>
      <w:r w:rsidR="007561D8" w:rsidRPr="00BC081A">
        <w:rPr>
          <w:iCs/>
        </w:rPr>
        <w:t>, higher knowledge sharing,</w:t>
      </w:r>
      <w:r w:rsidR="00F676A7" w:rsidRPr="00BC081A">
        <w:rPr>
          <w:iCs/>
        </w:rPr>
        <w:t xml:space="preserve"> and higher knowledge transfer to new reasoning problems. </w:t>
      </w:r>
      <w:r>
        <w:rPr>
          <w:iCs/>
        </w:rPr>
        <w:t>Other s</w:t>
      </w:r>
      <w:r w:rsidR="002C4390">
        <w:rPr>
          <w:iCs/>
        </w:rPr>
        <w:t xml:space="preserve">tudies has also shown that </w:t>
      </w:r>
      <w:proofErr w:type="spellStart"/>
      <w:r w:rsidR="002C4390">
        <w:rPr>
          <w:iCs/>
        </w:rPr>
        <w:t>game</w:t>
      </w:r>
      <w:r>
        <w:rPr>
          <w:iCs/>
        </w:rPr>
        <w:t>players</w:t>
      </w:r>
      <w:proofErr w:type="spellEnd"/>
      <w:r>
        <w:rPr>
          <w:iCs/>
        </w:rPr>
        <w:t xml:space="preserve">’ motivation </w:t>
      </w:r>
      <w:r>
        <w:rPr>
          <w:iCs/>
        </w:rPr>
        <w:lastRenderedPageBreak/>
        <w:t xml:space="preserve">to compete has a significant effect on the extent to which they perceive the game to be competitive </w:t>
      </w:r>
      <w:r>
        <w:rPr>
          <w:iCs/>
        </w:rPr>
        <w:fldChar w:fldCharType="begin" w:fldLock="1"/>
      </w:r>
      <w:r w:rsidR="00AC1F7D">
        <w:rPr>
          <w:iCs/>
        </w:rPr>
        <w:instrText>ADDIN CSL_CITATION { "citationItems" : [ { "id" : "ITEM-1", "itemData" : { "author" : [ { "dropping-particle" : "", "family" : "Vorderer", "given" : "Peter", "non-dropping-particle" : "", "parse-names" : false, "suffix" : "" }, { "dropping-particle" : "", "family" : "Hartmann", "given" : "Tilo", "non-dropping-particle" : "", "parse-names" : false, "suffix" : "" }, { "dropping-particle" : "", "family" : "Klimmt", "given" : "Christoph", "non-dropping-particle" : "", "parse-names" : false, "suffix" : "" } ], "container-title" : "Proceedings of the second international conference on Entertainment computing", "id" : "ITEM-1", "issued" : { "date-parts" : [ [ "2003" ] ] }, "page" : "1-9", "title" : "Explaining the enjoyment of playing video games: the role of competition", "type" : "paper-conference" }, "uris" : [ "http://www.mendeley.com/documents/?uuid=725ae35f-975f-455b-bb09-e9615febcfca" ] } ], "mendeley" : { "previouslyFormattedCitation" : "(Vorderer, Hartmann, &amp; Klimmt, 2003a)" }, "properties" : { "noteIndex" : 0 }, "schema" : "https://github.com/citation-style-language/schema/raw/master/csl-citation.json" }</w:instrText>
      </w:r>
      <w:r>
        <w:rPr>
          <w:iCs/>
        </w:rPr>
        <w:fldChar w:fldCharType="separate"/>
      </w:r>
      <w:r w:rsidRPr="00584BDA">
        <w:rPr>
          <w:iCs/>
          <w:noProof/>
        </w:rPr>
        <w:t>(Vorderer, Hartmann, &amp; Klimmt, 2003a)</w:t>
      </w:r>
      <w:r>
        <w:rPr>
          <w:iCs/>
        </w:rPr>
        <w:fldChar w:fldCharType="end"/>
      </w:r>
      <w:r>
        <w:rPr>
          <w:iCs/>
        </w:rPr>
        <w:t xml:space="preserve"> (study ‘k’).</w:t>
      </w:r>
    </w:p>
    <w:p w14:paraId="052933CE" w14:textId="522109DC" w:rsidR="00840705" w:rsidRPr="00E77EDB" w:rsidRDefault="00767DAB" w:rsidP="00BC081A">
      <w:pPr>
        <w:rPr>
          <w:iCs/>
        </w:rPr>
      </w:pPr>
      <w:r>
        <w:rPr>
          <w:iCs/>
        </w:rPr>
        <w:t>V</w:t>
      </w:r>
      <w:r w:rsidR="00840705">
        <w:rPr>
          <w:iCs/>
        </w:rPr>
        <w:t>arious situational factors are expected to define competition and reaction</w:t>
      </w:r>
      <w:r>
        <w:rPr>
          <w:iCs/>
        </w:rPr>
        <w:t>s</w:t>
      </w:r>
      <w:r w:rsidR="00840705">
        <w:rPr>
          <w:iCs/>
        </w:rPr>
        <w:t xml:space="preserve"> of players to competition. </w:t>
      </w:r>
      <w:r w:rsidR="006C38A6">
        <w:rPr>
          <w:iCs/>
        </w:rPr>
        <w:t xml:space="preserve">Garcia and Tor </w:t>
      </w:r>
      <w:r w:rsidR="006C38A6">
        <w:rPr>
          <w:iCs/>
        </w:rPr>
        <w:fldChar w:fldCharType="begin" w:fldLock="1"/>
      </w:r>
      <w:r w:rsidR="00AC1F7D">
        <w:rPr>
          <w:iCs/>
        </w:rPr>
        <w:instrText>ADDIN CSL_CITATION { "citationItems" : [ { "id" : "ITEM-1", "itemData" : { "author" : [ { "dropping-particle" : "", "family" : "Garcia", "given" : "S.M.", "non-dropping-particle" : "", "parse-names" : false, "suffix" : "" }, { "dropping-particle" : "", "family" : "Tor", "given" : "A.", "non-dropping-particle" : "", "parse-names" : false, "suffix" : "" } ], "container-title" : "Psychological Science", "id" : "ITEM-1", "issue" : "7", "issued" : { "date-parts" : [ [ "2009" ] ] }, "page" : "871\u2013877", "publisher" : "Wiley Online Library", "title" : "The N-Effect: More Competitiors, Less Competition", "type" : "article-journal", "volume" : "20" }, "suppress-author" : 1, "uris" : [ "http://www.mendeley.com/documents/?uuid=7e76c0b5-ff5e-47c5-b81c-b38c3af6bfa2" ] } ], "mendeley" : { "previouslyFormattedCitation" : "(2009)" }, "properties" : { "noteIndex" : 0 }, "schema" : "https://github.com/citation-style-language/schema/raw/master/csl-citation.json" }</w:instrText>
      </w:r>
      <w:r w:rsidR="006C38A6">
        <w:rPr>
          <w:iCs/>
        </w:rPr>
        <w:fldChar w:fldCharType="separate"/>
      </w:r>
      <w:r w:rsidR="006C38A6" w:rsidRPr="006C38A6">
        <w:rPr>
          <w:iCs/>
          <w:noProof/>
        </w:rPr>
        <w:t>(2009)</w:t>
      </w:r>
      <w:r w:rsidR="006C38A6">
        <w:rPr>
          <w:iCs/>
        </w:rPr>
        <w:fldChar w:fldCharType="end"/>
      </w:r>
      <w:r w:rsidR="006C38A6">
        <w:rPr>
          <w:iCs/>
        </w:rPr>
        <w:t xml:space="preserve"> (study ‘m’) </w:t>
      </w:r>
      <w:r w:rsidR="00E77EDB">
        <w:rPr>
          <w:iCs/>
        </w:rPr>
        <w:t xml:space="preserve">introduced the </w:t>
      </w:r>
      <w:r w:rsidR="00E77EDB">
        <w:rPr>
          <w:i/>
          <w:iCs/>
        </w:rPr>
        <w:t>N-Effect</w:t>
      </w:r>
      <w:r w:rsidR="00E77EDB">
        <w:rPr>
          <w:iCs/>
        </w:rPr>
        <w:t xml:space="preserve"> in competition, which explains that the number of competitors (</w:t>
      </w:r>
      <w:r w:rsidR="00E77EDB" w:rsidRPr="00E77EDB">
        <w:rPr>
          <w:i/>
          <w:iCs/>
        </w:rPr>
        <w:t>N</w:t>
      </w:r>
      <w:r w:rsidR="00E77EDB">
        <w:rPr>
          <w:iCs/>
        </w:rPr>
        <w:t xml:space="preserve">) can have a defining role in competitive motivation of players. That is, </w:t>
      </w:r>
      <w:r w:rsidR="00C74836">
        <w:rPr>
          <w:iCs/>
        </w:rPr>
        <w:t xml:space="preserve">as the </w:t>
      </w:r>
      <w:r w:rsidR="00E77EDB">
        <w:rPr>
          <w:iCs/>
        </w:rPr>
        <w:t>number of competitors</w:t>
      </w:r>
      <w:r w:rsidR="00C74836">
        <w:rPr>
          <w:iCs/>
        </w:rPr>
        <w:t xml:space="preserve"> increases</w:t>
      </w:r>
      <w:r w:rsidR="00E77EDB">
        <w:rPr>
          <w:iCs/>
        </w:rPr>
        <w:t xml:space="preserve">, it is more likely that </w:t>
      </w:r>
      <w:r>
        <w:rPr>
          <w:iCs/>
        </w:rPr>
        <w:t xml:space="preserve">the </w:t>
      </w:r>
      <w:r w:rsidR="00E77EDB">
        <w:rPr>
          <w:iCs/>
        </w:rPr>
        <w:t xml:space="preserve">competitive motivation of players </w:t>
      </w:r>
      <w:r>
        <w:rPr>
          <w:iCs/>
        </w:rPr>
        <w:t xml:space="preserve">will </w:t>
      </w:r>
      <w:r w:rsidR="00E77EDB">
        <w:rPr>
          <w:iCs/>
        </w:rPr>
        <w:t>decrease.</w:t>
      </w:r>
      <w:r w:rsidR="00C74836">
        <w:rPr>
          <w:iCs/>
        </w:rPr>
        <w:t xml:space="preserve"> The results, however, </w:t>
      </w:r>
      <w:r w:rsidR="00BC6C29">
        <w:rPr>
          <w:iCs/>
        </w:rPr>
        <w:t>were</w:t>
      </w:r>
      <w:r w:rsidR="00C74836">
        <w:rPr>
          <w:iCs/>
        </w:rPr>
        <w:t xml:space="preserve"> more significant among individuals who are high in Social Comparison Orientation (SCO).</w:t>
      </w:r>
      <w:r w:rsidR="005D14FA">
        <w:rPr>
          <w:iCs/>
        </w:rPr>
        <w:t xml:space="preserve"> But, SCO became less important as the number of competitors increased. Garcia and Tor (2009) also discussed that the closeness of relationship between competitors affects the social comparison and consequently competitive behaviour of players.</w:t>
      </w:r>
      <w:r w:rsidR="00D92E88">
        <w:rPr>
          <w:iCs/>
        </w:rPr>
        <w:t xml:space="preserve"> The cultural differences among individuals </w:t>
      </w:r>
      <w:r w:rsidR="00EE3232">
        <w:rPr>
          <w:iCs/>
        </w:rPr>
        <w:t xml:space="preserve">(e.g., individualistic vs. collectivist) </w:t>
      </w:r>
      <w:r w:rsidR="00BC6C29">
        <w:rPr>
          <w:iCs/>
        </w:rPr>
        <w:t xml:space="preserve">have </w:t>
      </w:r>
      <w:r w:rsidR="00D92E88">
        <w:rPr>
          <w:iCs/>
        </w:rPr>
        <w:t xml:space="preserve">also </w:t>
      </w:r>
      <w:r w:rsidR="00EE3232">
        <w:rPr>
          <w:iCs/>
        </w:rPr>
        <w:t xml:space="preserve">been shown to have a defining role in how cooperative or competitive individuals react to a group task </w:t>
      </w:r>
      <w:r w:rsidR="00EE3232">
        <w:rPr>
          <w:iCs/>
        </w:rPr>
        <w:fldChar w:fldCharType="begin" w:fldLock="1"/>
      </w:r>
      <w:r w:rsidR="00AC1F7D">
        <w:rPr>
          <w:iCs/>
        </w:rPr>
        <w:instrText>ADDIN CSL_CITATION { "citationItems" : [ { "id" : "ITEM-1", "itemData" : { "DOI" : "10.2307/256391", "ISSN" : "0001-4273", "author" : [ { "dropping-particle" : "", "family" : "Cox", "given" : "Taylor H.", "non-dropping-particle" : "", "parse-names" : false, "suffix" : "" }, { "dropping-particle" : "", "family" : "Lobel", "given" : "Sharon a.", "non-dropping-particle" : "", "parse-names" : false, "suffix" : "" }, { "dropping-particle" : "", "family" : "McLeod", "given" : "Poppy Lauretta", "non-dropping-particle" : "", "parse-names" : false, "suffix" : "" } ], "container-title" : "Academy of Management Journal", "id" : "ITEM-1", "issue" : "4", "issued" : { "date-parts" : [ [ "1991", "12", "1" ] ] }, "page" : "827-847", "title" : "Effects of Ethnic Group Cultural Differences on Cooperative and Competitive Behavior on a Group Task.", "type" : "article-journal", "volume" : "34" }, "uris" : [ "http://www.mendeley.com/documents/?uuid=af3e3dff-8a8b-45ff-a180-5286215caafd" ] } ], "mendeley" : { "previouslyFormattedCitation" : "(Cox, Lobel, &amp; McLeod, 1991)" }, "properties" : { "noteIndex" : 0 }, "schema" : "https://github.com/citation-style-language/schema/raw/master/csl-citation.json" }</w:instrText>
      </w:r>
      <w:r w:rsidR="00EE3232">
        <w:rPr>
          <w:iCs/>
        </w:rPr>
        <w:fldChar w:fldCharType="separate"/>
      </w:r>
      <w:r w:rsidR="00EE3232" w:rsidRPr="00EE3232">
        <w:rPr>
          <w:iCs/>
          <w:noProof/>
        </w:rPr>
        <w:t>(Cox, Lobel, &amp; McLeod, 1991)</w:t>
      </w:r>
      <w:r w:rsidR="00EE3232">
        <w:rPr>
          <w:iCs/>
        </w:rPr>
        <w:fldChar w:fldCharType="end"/>
      </w:r>
      <w:r w:rsidR="00EE3232">
        <w:rPr>
          <w:iCs/>
        </w:rPr>
        <w:t xml:space="preserve"> (study ‘n’). </w:t>
      </w:r>
    </w:p>
    <w:p w14:paraId="22590E69" w14:textId="00BE291B" w:rsidR="00A006C7" w:rsidRDefault="006E30B9" w:rsidP="00767DAB">
      <w:pPr>
        <w:rPr>
          <w:iCs/>
        </w:rPr>
      </w:pPr>
      <w:r>
        <w:rPr>
          <w:iCs/>
        </w:rPr>
        <w:t>V</w:t>
      </w:r>
      <w:r w:rsidR="00A006C7" w:rsidRPr="00BC081A">
        <w:rPr>
          <w:iCs/>
        </w:rPr>
        <w:t xml:space="preserve">ideo games </w:t>
      </w:r>
      <w:r w:rsidR="00767DAB">
        <w:rPr>
          <w:iCs/>
        </w:rPr>
        <w:t>may also</w:t>
      </w:r>
      <w:r>
        <w:rPr>
          <w:iCs/>
        </w:rPr>
        <w:t xml:space="preserve"> </w:t>
      </w:r>
      <w:r w:rsidR="00A006C7" w:rsidRPr="00BC081A">
        <w:rPr>
          <w:iCs/>
        </w:rPr>
        <w:t xml:space="preserve">have negative outcomes. For example, as </w:t>
      </w:r>
      <w:proofErr w:type="spellStart"/>
      <w:r w:rsidR="00A006C7" w:rsidRPr="00BC081A">
        <w:rPr>
          <w:iCs/>
        </w:rPr>
        <w:t>Skoric</w:t>
      </w:r>
      <w:proofErr w:type="spellEnd"/>
      <w:r w:rsidR="00A006C7" w:rsidRPr="00BC081A">
        <w:rPr>
          <w:iCs/>
        </w:rPr>
        <w:t xml:space="preserve"> et al. (2009) (study ‘f’) showed, </w:t>
      </w:r>
      <w:proofErr w:type="gramStart"/>
      <w:r w:rsidR="00A006C7" w:rsidRPr="00BC081A">
        <w:rPr>
          <w:iCs/>
        </w:rPr>
        <w:t>addictive tendencies of children towards video gaming (ages 8 to 12 years) negatively correlates</w:t>
      </w:r>
      <w:proofErr w:type="gramEnd"/>
      <w:r w:rsidR="00A006C7" w:rsidRPr="00BC081A">
        <w:rPr>
          <w:iCs/>
        </w:rPr>
        <w:t xml:space="preserve"> with scholastic performance. </w:t>
      </w:r>
      <w:r w:rsidR="00F04BB4" w:rsidRPr="00BC081A">
        <w:rPr>
          <w:iCs/>
        </w:rPr>
        <w:t xml:space="preserve">Anderson and Brown </w:t>
      </w:r>
      <w:r w:rsidR="00F04BB4" w:rsidRPr="00BC081A">
        <w:rPr>
          <w:iCs/>
        </w:rPr>
        <w:fldChar w:fldCharType="begin" w:fldLock="1"/>
      </w:r>
      <w:r w:rsidR="00AC1F7D">
        <w:rPr>
          <w:iCs/>
        </w:rPr>
        <w:instrText>ADDIN CSL_CITATION { "citationItems" : [ { "id" : "ITEM-1", "itemData" : { "ISSN" : "0007-1269", "PMID" : "6487928", "abstract" : "The existence and importance of excitement in gambling, the effects of runs of wins and losses on gambling behaviour and the relationships of both with sensation-seeking were investigated using samples of students and experienced gamblers in real and artificial gambling situations. Heart-rate increases, gambling behaviour and events such as 'stake decision time' were recorded as subjects played blackjack. Significant differences between real and artificial casinos were found for mean heart-rate increases over base-lines, for gambling behaviour and in the relationships between sensation-seeking, arousal and gambling in the two conditions. Doubt is cast on laboratory gambling as a valid analogue of the real gambling situation. Sensation-seeking and arousal are discussed briefly in relation to explanations of gambling.", "author" : [ { "dropping-particle" : "", "family" : "Anderson", "given" : "G", "non-dropping-particle" : "", "parse-names" : false, "suffix" : "" }, { "dropping-particle" : "", "family" : "Brown", "given" : "R I", "non-dropping-particle" : "", "parse-names" : false, "suffix" : "" } ], "container-title" : "British journal of psychology (London, England : 1953)", "id" : "ITEM-1", "issue" : "1984", "issued" : { "date-parts" : [ [ "1984", "8" ] ] }, "page" : "401-10", "title" : "Real and laboratory gambling, sensation-seeking and arousal.", "type" : "article-journal", "volume" : "75 ( Pt 3)" }, "suppress-author" : 1, "uris" : [ "http://www.mendeley.com/documents/?uuid=90f42a3a-3ec5-4ac3-8546-cee21decfb9c" ] } ], "mendeley" : { "previouslyFormattedCitation" : "(1984)" }, "properties" : { "noteIndex" : 0 }, "schema" : "https://github.com/citation-style-language/schema/raw/master/csl-citation.json" }</w:instrText>
      </w:r>
      <w:r w:rsidR="00F04BB4" w:rsidRPr="00BC081A">
        <w:rPr>
          <w:iCs/>
        </w:rPr>
        <w:fldChar w:fldCharType="separate"/>
      </w:r>
      <w:r w:rsidR="00F04BB4" w:rsidRPr="00BC081A">
        <w:rPr>
          <w:iCs/>
          <w:noProof/>
        </w:rPr>
        <w:t>(1984)</w:t>
      </w:r>
      <w:r w:rsidR="00F04BB4" w:rsidRPr="00BC081A">
        <w:rPr>
          <w:iCs/>
        </w:rPr>
        <w:fldChar w:fldCharType="end"/>
      </w:r>
      <w:r w:rsidR="00F04BB4" w:rsidRPr="00BC081A">
        <w:rPr>
          <w:iCs/>
        </w:rPr>
        <w:t xml:space="preserve"> (study ‘g’) further studied the role of psychological feelings in creation of problematic behaviours such as gambling. </w:t>
      </w:r>
      <w:r w:rsidR="00BC081A" w:rsidRPr="00BC081A">
        <w:rPr>
          <w:iCs/>
        </w:rPr>
        <w:t>Their findings showed that “arousal and excitement are major mediators of reinforcement and internal cues for gambling behaviour” (p. 406).</w:t>
      </w:r>
      <w:r w:rsidR="00471C3A">
        <w:rPr>
          <w:iCs/>
        </w:rPr>
        <w:t xml:space="preserve"> This study showed that students who participated in the experiment would have higher </w:t>
      </w:r>
      <w:r w:rsidR="0091158E">
        <w:rPr>
          <w:iCs/>
        </w:rPr>
        <w:t>heart rate</w:t>
      </w:r>
      <w:r w:rsidR="00FD36AF">
        <w:rPr>
          <w:iCs/>
        </w:rPr>
        <w:t>s</w:t>
      </w:r>
      <w:r w:rsidR="00471C3A">
        <w:rPr>
          <w:iCs/>
        </w:rPr>
        <w:t xml:space="preserve"> when their gambling behaviour increased.</w:t>
      </w:r>
      <w:r w:rsidR="0091158E">
        <w:rPr>
          <w:iCs/>
        </w:rPr>
        <w:t xml:space="preserve"> Nonetheless, arousal does not only predict problematic behaviour. As Koo and Lee’s (2011) study of 406 online consumers </w:t>
      </w:r>
      <w:r w:rsidR="00BC6C29">
        <w:rPr>
          <w:iCs/>
        </w:rPr>
        <w:t xml:space="preserve">(study ‘h’) </w:t>
      </w:r>
      <w:r w:rsidR="0091158E">
        <w:rPr>
          <w:iCs/>
        </w:rPr>
        <w:t xml:space="preserve">showed, arousal increases pleasure and results in higher attention to the activity. </w:t>
      </w:r>
      <w:r w:rsidR="00C10A02">
        <w:rPr>
          <w:iCs/>
        </w:rPr>
        <w:t>This is in line with earlier research on arousal that</w:t>
      </w:r>
      <w:r w:rsidR="009E4A7B">
        <w:rPr>
          <w:iCs/>
        </w:rPr>
        <w:t xml:space="preserve"> </w:t>
      </w:r>
      <w:r w:rsidR="009E4A7B">
        <w:rPr>
          <w:iCs/>
        </w:rPr>
        <w:lastRenderedPageBreak/>
        <w:t xml:space="preserve">supported the existence of </w:t>
      </w:r>
      <w:r w:rsidR="00C10A02">
        <w:rPr>
          <w:iCs/>
        </w:rPr>
        <w:t xml:space="preserve">a relationship between arousal and attention and performance in memorizing information </w:t>
      </w:r>
      <w:r w:rsidR="00C10A02">
        <w:rPr>
          <w:iCs/>
        </w:rPr>
        <w:fldChar w:fldCharType="begin" w:fldLock="1"/>
      </w:r>
      <w:r w:rsidR="00AC1F7D">
        <w:rPr>
          <w:iCs/>
        </w:rPr>
        <w:instrText>ADDIN CSL_CITATION { "citationItems" : [ { "id" : "ITEM-1", "itemData" : { "ISSN" : "0033-2909", "PMID" : "778883", "author" : [ { "dropping-particle" : "", "family" : "Eysenck", "given" : "M W", "non-dropping-particle" : "", "parse-names" : false, "suffix" : "" } ], "container-title" : "Psychological bulletin", "id" : "ITEM-1", "issue" : "3", "issued" : { "date-parts" : [ [ "1976", "5" ] ] }, "page" : "389-404", "title" : "Arousal, learning, and memory.", "type" : "article-journal", "volume" : "83" }, "uris" : [ "http://www.mendeley.com/documents/?uuid=91ad774a-1f04-4206-80e1-638d495033e7" ] } ], "mendeley" : { "previouslyFormattedCitation" : "(Eysenck, 1976)" }, "properties" : { "noteIndex" : 0 }, "schema" : "https://github.com/citation-style-language/schema/raw/master/csl-citation.json" }</w:instrText>
      </w:r>
      <w:r w:rsidR="00C10A02">
        <w:rPr>
          <w:iCs/>
        </w:rPr>
        <w:fldChar w:fldCharType="separate"/>
      </w:r>
      <w:r w:rsidR="00C10A02" w:rsidRPr="00C10A02">
        <w:rPr>
          <w:iCs/>
          <w:noProof/>
        </w:rPr>
        <w:t>(Eysenck, 1976)</w:t>
      </w:r>
      <w:r w:rsidR="00C10A02">
        <w:rPr>
          <w:iCs/>
        </w:rPr>
        <w:fldChar w:fldCharType="end"/>
      </w:r>
      <w:r w:rsidR="00C10A02">
        <w:rPr>
          <w:iCs/>
        </w:rPr>
        <w:t xml:space="preserve"> (study ‘o’).</w:t>
      </w:r>
    </w:p>
    <w:p w14:paraId="18759CC4" w14:textId="4EBF4B8E" w:rsidR="00B8155A" w:rsidRDefault="008A44E3" w:rsidP="00330565">
      <w:pPr>
        <w:rPr>
          <w:iCs/>
        </w:rPr>
      </w:pPr>
      <w:r>
        <w:rPr>
          <w:iCs/>
        </w:rPr>
        <w:t xml:space="preserve">Some studies </w:t>
      </w:r>
      <w:r w:rsidR="008A338F">
        <w:rPr>
          <w:iCs/>
        </w:rPr>
        <w:t xml:space="preserve">have </w:t>
      </w:r>
      <w:r w:rsidR="00FD36AF">
        <w:rPr>
          <w:iCs/>
        </w:rPr>
        <w:t>examined</w:t>
      </w:r>
      <w:r>
        <w:rPr>
          <w:iCs/>
        </w:rPr>
        <w:t xml:space="preserve"> the effect of competition in </w:t>
      </w:r>
      <w:r w:rsidR="00696E58">
        <w:rPr>
          <w:iCs/>
        </w:rPr>
        <w:t>creating Flow</w:t>
      </w:r>
      <w:r w:rsidR="005A100D">
        <w:rPr>
          <w:iCs/>
        </w:rPr>
        <w:t xml:space="preserve"> among </w:t>
      </w:r>
      <w:proofErr w:type="spellStart"/>
      <w:r w:rsidR="005A100D">
        <w:rPr>
          <w:iCs/>
        </w:rPr>
        <w:t>game</w:t>
      </w:r>
      <w:r w:rsidR="00696E58">
        <w:rPr>
          <w:iCs/>
        </w:rPr>
        <w:t>players</w:t>
      </w:r>
      <w:proofErr w:type="spellEnd"/>
      <w:r w:rsidR="00696E58">
        <w:rPr>
          <w:iCs/>
        </w:rPr>
        <w:t xml:space="preserve">. In particular, </w:t>
      </w:r>
      <w:r w:rsidR="00696E58" w:rsidRPr="00696E58">
        <w:rPr>
          <w:iCs/>
          <w:noProof/>
        </w:rPr>
        <w:t>Weibel, Wissmath, Habegger, Steine</w:t>
      </w:r>
      <w:r w:rsidR="00696E58">
        <w:rPr>
          <w:iCs/>
          <w:noProof/>
        </w:rPr>
        <w:t>r, and</w:t>
      </w:r>
      <w:r w:rsidR="00696E58" w:rsidRPr="00696E58">
        <w:rPr>
          <w:iCs/>
          <w:noProof/>
        </w:rPr>
        <w:t xml:space="preserve"> Groner</w:t>
      </w:r>
      <w:r w:rsidR="00696E58">
        <w:rPr>
          <w:iCs/>
        </w:rPr>
        <w:t xml:space="preserve"> </w:t>
      </w:r>
      <w:r w:rsidR="00696E58">
        <w:rPr>
          <w:iCs/>
        </w:rPr>
        <w:fldChar w:fldCharType="begin" w:fldLock="1"/>
      </w:r>
      <w:r w:rsidR="00AC1F7D">
        <w:rPr>
          <w:iCs/>
        </w:rPr>
        <w:instrText>ADDIN CSL_CITATION { "citationItems" : [ { "id" : "ITEM-1", "itemData" : { "DOI" : "10.1016/j.chb.2007.11.002", "ISSN" : "07475632", "author" : [ { "dropping-particle" : "", "family" : "Weibel", "given" : "David", "non-dropping-particle" : "", "parse-names" : false, "suffix" : "" }, { "dropping-particle" : "", "family" : "Wissmath", "given" : "Bartholom\u00e4us", "non-dropping-particle" : "", "parse-names" : false, "suffix" : "" }, { "dropping-particle" : "", "family" : "Habegger", "given" : "Stephan", "non-dropping-particle" : "", "parse-names" : false, "suffix" : "" }, { "dropping-particle" : "", "family" : "Steiner", "given" : "Yves", "non-dropping-particle" : "", "parse-names" : false, "suffix" : "" }, { "dropping-particle" : "", "family" : "Groner", "given" : "Rudolf", "non-dropping-particle" : "", "parse-names" : false, "suffix" : "" } ], "container-title" : "Computers in Human Behavior", "id" : "ITEM-1", "issue" : "5", "issued" : { "date-parts" : [ [ "2008", "9" ] ] }, "page" : "2274-2291", "title" : "Playing online games against computer- vs. human-controlled opponents: Effects on presence, flow, and enjoyment", "type" : "article-journal", "volume" : "24" }, "suppress-author" : 1, "uris" : [ "http://www.mendeley.com/documents/?uuid=52281d3f-74cc-4c72-84c0-7e06eec2fe20" ] } ], "mendeley" : { "previouslyFormattedCitation" : "(2008)" }, "properties" : { "noteIndex" : 0 }, "schema" : "https://github.com/citation-style-language/schema/raw/master/csl-citation.json" }</w:instrText>
      </w:r>
      <w:r w:rsidR="00696E58">
        <w:rPr>
          <w:iCs/>
        </w:rPr>
        <w:fldChar w:fldCharType="separate"/>
      </w:r>
      <w:r w:rsidR="00696E58" w:rsidRPr="00696E58">
        <w:rPr>
          <w:iCs/>
          <w:noProof/>
        </w:rPr>
        <w:t>(2008)</w:t>
      </w:r>
      <w:r w:rsidR="00696E58">
        <w:rPr>
          <w:iCs/>
        </w:rPr>
        <w:fldChar w:fldCharType="end"/>
      </w:r>
      <w:r w:rsidR="00696E58">
        <w:rPr>
          <w:iCs/>
        </w:rPr>
        <w:t xml:space="preserve"> </w:t>
      </w:r>
      <w:r w:rsidR="00C940FC">
        <w:rPr>
          <w:iCs/>
        </w:rPr>
        <w:t>(study ‘</w:t>
      </w:r>
      <w:proofErr w:type="spellStart"/>
      <w:r w:rsidR="00C940FC">
        <w:rPr>
          <w:iCs/>
        </w:rPr>
        <w:t>i</w:t>
      </w:r>
      <w:proofErr w:type="spellEnd"/>
      <w:r w:rsidR="00C940FC">
        <w:rPr>
          <w:iCs/>
        </w:rPr>
        <w:t xml:space="preserve">’) </w:t>
      </w:r>
      <w:r w:rsidR="00696E58">
        <w:rPr>
          <w:iCs/>
        </w:rPr>
        <w:t xml:space="preserve">conducted a multivariate experiment study that compared playing against a computer-controlled versus playing against a human-controlled opponent. Their findings showed that participants who played against a human-controlled opponent reported higher levels of Flow experience. </w:t>
      </w:r>
    </w:p>
    <w:p w14:paraId="047D42ED" w14:textId="76F884DB" w:rsidR="003324E2" w:rsidRDefault="003324E2" w:rsidP="00330565">
      <w:pPr>
        <w:rPr>
          <w:iCs/>
        </w:rPr>
      </w:pPr>
      <w:r w:rsidRPr="00BC081A">
        <w:t xml:space="preserve">It is important to note </w:t>
      </w:r>
      <w:r>
        <w:t>the research depicted in Figure 3</w:t>
      </w:r>
      <w:r w:rsidRPr="00BC081A">
        <w:t xml:space="preserve"> is not meant to be an exhaustive representation of all extant literature in this domain. However, it does represent the essence of </w:t>
      </w:r>
      <w:r>
        <w:t xml:space="preserve">the research </w:t>
      </w:r>
      <w:r w:rsidRPr="00BC081A">
        <w:t xml:space="preserve">from the related fields, </w:t>
      </w:r>
      <w:r>
        <w:t xml:space="preserve">through </w:t>
      </w:r>
      <w:r w:rsidRPr="00BC081A">
        <w:t>which research gap</w:t>
      </w:r>
      <w:r>
        <w:t>s</w:t>
      </w:r>
      <w:r w:rsidRPr="00BC081A">
        <w:t xml:space="preserve"> can be identified. As</w:t>
      </w:r>
      <w:r>
        <w:t xml:space="preserve"> </w:t>
      </w:r>
      <w:r w:rsidR="00495208">
        <w:fldChar w:fldCharType="begin"/>
      </w:r>
      <w:r w:rsidR="00495208">
        <w:instrText xml:space="preserve"> REF _Ref278911512 \h </w:instrText>
      </w:r>
      <w:r w:rsidR="00495208">
        <w:fldChar w:fldCharType="separate"/>
      </w:r>
      <w:r w:rsidR="008C71FB">
        <w:t xml:space="preserve">Figure </w:t>
      </w:r>
      <w:r w:rsidR="008C71FB">
        <w:rPr>
          <w:noProof/>
        </w:rPr>
        <w:t>3</w:t>
      </w:r>
      <w:r w:rsidR="00495208">
        <w:fldChar w:fldCharType="end"/>
      </w:r>
      <w:r w:rsidR="00495208">
        <w:t xml:space="preserve"> </w:t>
      </w:r>
      <w:r w:rsidRPr="00BC081A">
        <w:t xml:space="preserve">shows, there is a gap in extant literature in understanding the relationship between </w:t>
      </w:r>
      <w:r>
        <w:t>competition and Flow/engagement.</w:t>
      </w:r>
      <w:r w:rsidRPr="00BC081A">
        <w:t xml:space="preserve"> </w:t>
      </w:r>
      <w:r>
        <w:t>Earlier</w:t>
      </w:r>
      <w:r w:rsidRPr="00BC081A">
        <w:t xml:space="preserve"> studies have not investigated the process through which competition can influence the level of en</w:t>
      </w:r>
      <w:r>
        <w:t>gagement in video gameplaying.</w:t>
      </w:r>
    </w:p>
    <w:p w14:paraId="2A627607" w14:textId="77777777" w:rsidR="00B8155A" w:rsidRDefault="00B8155A">
      <w:pPr>
        <w:spacing w:line="240" w:lineRule="auto"/>
        <w:ind w:firstLine="0"/>
        <w:rPr>
          <w:iCs/>
        </w:rPr>
      </w:pPr>
      <w:r>
        <w:rPr>
          <w:iCs/>
        </w:rPr>
        <w:br w:type="page"/>
      </w:r>
    </w:p>
    <w:p w14:paraId="4273888E" w14:textId="48D88AD5" w:rsidR="00B8155A" w:rsidRDefault="00574AB0" w:rsidP="00B8155A">
      <w:pPr>
        <w:keepNext/>
        <w:ind w:firstLine="0"/>
      </w:pPr>
      <w:r w:rsidRPr="00574AB0">
        <w:rPr>
          <w:iCs/>
          <w:noProof/>
          <w:lang w:val="en-US"/>
        </w:rPr>
        <w:lastRenderedPageBreak/>
        <w:t xml:space="preserve"> </w:t>
      </w:r>
      <w:r>
        <w:rPr>
          <w:iCs/>
          <w:noProof/>
          <w:lang w:val="en-US"/>
        </w:rPr>
        <w:drawing>
          <wp:inline distT="0" distB="0" distL="0" distR="0" wp14:anchorId="0A11BA74" wp14:editId="3C6EEFA5">
            <wp:extent cx="5943600" cy="7079185"/>
            <wp:effectExtent l="0" t="0" r="0" b="762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079185"/>
                    </a:xfrm>
                    <a:prstGeom prst="rect">
                      <a:avLst/>
                    </a:prstGeom>
                    <a:noFill/>
                    <a:ln>
                      <a:noFill/>
                    </a:ln>
                  </pic:spPr>
                </pic:pic>
              </a:graphicData>
            </a:graphic>
          </wp:inline>
        </w:drawing>
      </w:r>
    </w:p>
    <w:p w14:paraId="4DB28E88" w14:textId="6180B560" w:rsidR="00E2498B" w:rsidRDefault="00B8155A" w:rsidP="00C92D78">
      <w:pPr>
        <w:pStyle w:val="Caption"/>
      </w:pPr>
      <w:bookmarkStart w:id="33" w:name="_Ref278911512"/>
      <w:bookmarkStart w:id="34" w:name="_Toc278912293"/>
      <w:r>
        <w:t xml:space="preserve">Figure </w:t>
      </w:r>
      <w:r w:rsidR="007804FF">
        <w:fldChar w:fldCharType="begin"/>
      </w:r>
      <w:r w:rsidR="007804FF">
        <w:instrText xml:space="preserve"> SEQ Figure \* ARABIC </w:instrText>
      </w:r>
      <w:r w:rsidR="007804FF">
        <w:fldChar w:fldCharType="separate"/>
      </w:r>
      <w:r w:rsidR="008C71FB">
        <w:rPr>
          <w:noProof/>
        </w:rPr>
        <w:t>3</w:t>
      </w:r>
      <w:r w:rsidR="007804FF">
        <w:rPr>
          <w:noProof/>
        </w:rPr>
        <w:fldChar w:fldCharType="end"/>
      </w:r>
      <w:bookmarkEnd w:id="33"/>
      <w:r>
        <w:t xml:space="preserve"> - </w:t>
      </w:r>
      <w:r w:rsidRPr="00BC081A">
        <w:t>Finding the Gap in Literature on Video Gameplay</w:t>
      </w:r>
      <w:bookmarkEnd w:id="34"/>
    </w:p>
    <w:p w14:paraId="02C08807" w14:textId="1B56B5E2" w:rsidR="00445071" w:rsidRDefault="000A64F7" w:rsidP="00445071">
      <w:pPr>
        <w:keepNext/>
        <w:ind w:firstLine="0"/>
      </w:pPr>
      <w:r>
        <w:rPr>
          <w:noProof/>
          <w:lang w:val="en-US"/>
        </w:rPr>
        <w:lastRenderedPageBreak/>
        <w:drawing>
          <wp:inline distT="0" distB="0" distL="0" distR="0" wp14:anchorId="64B5E342" wp14:editId="0F10B8B3">
            <wp:extent cx="5943600" cy="7633421"/>
            <wp:effectExtent l="0" t="0" r="0" b="1206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33421"/>
                    </a:xfrm>
                    <a:prstGeom prst="rect">
                      <a:avLst/>
                    </a:prstGeom>
                    <a:noFill/>
                    <a:ln>
                      <a:noFill/>
                    </a:ln>
                  </pic:spPr>
                </pic:pic>
              </a:graphicData>
            </a:graphic>
          </wp:inline>
        </w:drawing>
      </w:r>
    </w:p>
    <w:p w14:paraId="2F2F1596" w14:textId="11F6A810" w:rsidR="00445071" w:rsidRDefault="00445071" w:rsidP="00C92D78">
      <w:pPr>
        <w:pStyle w:val="Caption"/>
      </w:pPr>
      <w:bookmarkStart w:id="35" w:name="_Toc278912294"/>
      <w:r>
        <w:t xml:space="preserve">Figure </w:t>
      </w:r>
      <w:r w:rsidR="007804FF">
        <w:fldChar w:fldCharType="begin"/>
      </w:r>
      <w:r w:rsidR="007804FF">
        <w:instrText xml:space="preserve"> SEQ Figure \* ARABIC </w:instrText>
      </w:r>
      <w:r w:rsidR="007804FF">
        <w:fldChar w:fldCharType="separate"/>
      </w:r>
      <w:r w:rsidR="008C71FB">
        <w:rPr>
          <w:noProof/>
        </w:rPr>
        <w:t>4</w:t>
      </w:r>
      <w:r w:rsidR="007804FF">
        <w:rPr>
          <w:noProof/>
        </w:rPr>
        <w:fldChar w:fldCharType="end"/>
      </w:r>
      <w:r>
        <w:t xml:space="preserve"> – Finding the Gap in Literature on Video Gameplay (</w:t>
      </w:r>
      <w:r w:rsidR="00AB6BE2">
        <w:t>continued</w:t>
      </w:r>
      <w:r>
        <w:t>)</w:t>
      </w:r>
      <w:bookmarkEnd w:id="35"/>
    </w:p>
    <w:p w14:paraId="5345F86A" w14:textId="5F315617" w:rsidR="00B8155A" w:rsidRDefault="002D3E19" w:rsidP="00B8155A">
      <w:pPr>
        <w:ind w:firstLine="0"/>
      </w:pPr>
      <w:r w:rsidRPr="002D3E19">
        <w:rPr>
          <w:noProof/>
          <w:lang w:val="en-US"/>
        </w:rPr>
        <w:lastRenderedPageBreak/>
        <w:t xml:space="preserve"> </w:t>
      </w:r>
    </w:p>
    <w:p w14:paraId="6F14A976" w14:textId="77777777" w:rsidR="003324E2" w:rsidRPr="00BC081A" w:rsidRDefault="003324E2" w:rsidP="003324E2">
      <w:r w:rsidRPr="0020513F">
        <w:t xml:space="preserve">In sum, regardless of the category of games (Serious Games or Gamification), </w:t>
      </w:r>
      <w:r>
        <w:t xml:space="preserve">competition is </w:t>
      </w:r>
      <w:r w:rsidRPr="0020513F">
        <w:t xml:space="preserve">one of the design elements that are shared among most of the games </w:t>
      </w:r>
      <w:r>
        <w:t>that should be</w:t>
      </w:r>
      <w:r w:rsidRPr="0020513F">
        <w:t xml:space="preserve"> further </w:t>
      </w:r>
      <w:r>
        <w:t>researched</w:t>
      </w:r>
      <w:r w:rsidRPr="0020513F">
        <w:t xml:space="preserve"> regarding its outcomes on </w:t>
      </w:r>
      <w:proofErr w:type="spellStart"/>
      <w:r>
        <w:t>gameplay</w:t>
      </w:r>
      <w:r w:rsidRPr="0020513F">
        <w:t>ers</w:t>
      </w:r>
      <w:proofErr w:type="spellEnd"/>
      <w:r w:rsidRPr="0020513F">
        <w:t xml:space="preserve">. Based on the importance of the competition element in video games, this study further investigates the effect of various competition modes and perception of competitiveness during gameplaying. As such, </w:t>
      </w:r>
      <w:r>
        <w:t xml:space="preserve">the </w:t>
      </w:r>
      <w:r w:rsidRPr="0020513F">
        <w:t xml:space="preserve">next chapter will propose a new theoretical model </w:t>
      </w:r>
      <w:r>
        <w:t>to help</w:t>
      </w:r>
      <w:r w:rsidRPr="0020513F">
        <w:t xml:space="preserve"> answer this study’s research question</w:t>
      </w:r>
      <w:r>
        <w:t>s</w:t>
      </w:r>
      <w:r w:rsidRPr="0020513F">
        <w:t xml:space="preserve"> based on two theories of motivation.</w:t>
      </w:r>
    </w:p>
    <w:p w14:paraId="15FB8A1B" w14:textId="77777777" w:rsidR="00574AB0" w:rsidRPr="00574AB0" w:rsidRDefault="00574AB0" w:rsidP="002D3E19">
      <w:pPr>
        <w:pStyle w:val="Figure"/>
        <w:jc w:val="left"/>
      </w:pPr>
    </w:p>
    <w:p w14:paraId="5D1106D0" w14:textId="77777777" w:rsidR="00A85E24" w:rsidRPr="00BC081A" w:rsidRDefault="00A85E24">
      <w:pPr>
        <w:spacing w:line="240" w:lineRule="auto"/>
        <w:ind w:firstLine="0"/>
        <w:rPr>
          <w:rFonts w:asciiTheme="majorHAnsi" w:eastAsiaTheme="majorEastAsia" w:hAnsiTheme="majorHAnsi" w:cstheme="majorBidi"/>
          <w:b/>
          <w:bCs/>
          <w:caps/>
          <w:color w:val="345A8A" w:themeColor="accent1" w:themeShade="B5"/>
          <w:sz w:val="30"/>
          <w:szCs w:val="32"/>
        </w:rPr>
      </w:pPr>
      <w:r w:rsidRPr="00BC081A">
        <w:br w:type="page"/>
      </w:r>
    </w:p>
    <w:p w14:paraId="00B362A1" w14:textId="670C471D" w:rsidR="009503F5" w:rsidRPr="00BC081A" w:rsidRDefault="009503F5" w:rsidP="00863D4C">
      <w:pPr>
        <w:pStyle w:val="Heading1"/>
      </w:pPr>
      <w:bookmarkStart w:id="36" w:name="_Toc275209818"/>
      <w:r w:rsidRPr="00BC081A">
        <w:lastRenderedPageBreak/>
        <w:t>Theoretical Framework and Development of Research Model</w:t>
      </w:r>
      <w:bookmarkEnd w:id="36"/>
    </w:p>
    <w:p w14:paraId="7CDB70A8" w14:textId="786D65E9" w:rsidR="009503F5" w:rsidRPr="00BC081A" w:rsidRDefault="009503F5" w:rsidP="009503F5">
      <w:r w:rsidRPr="00BC081A">
        <w:rPr>
          <w:i/>
        </w:rPr>
        <w:t>Self-Determination Theory</w:t>
      </w:r>
      <w:r w:rsidRPr="00BC081A">
        <w:t xml:space="preserve"> (SDT)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"previouslyFormattedCitation" : "(Deci &amp; Ryan, 1985a)" }, "properties" : { "noteIndex" : 0 }, "schema" : "https://github.com/citation-style-language/schema/raw/master/csl-citation.json" }</w:instrText>
      </w:r>
      <w:r w:rsidRPr="00BC081A">
        <w:fldChar w:fldCharType="separate"/>
      </w:r>
      <w:r w:rsidRPr="00BC081A">
        <w:rPr>
          <w:noProof/>
        </w:rPr>
        <w:t>(Deci &amp; Ryan, 1985a)</w:t>
      </w:r>
      <w:r w:rsidRPr="00BC081A">
        <w:fldChar w:fldCharType="end"/>
      </w:r>
      <w:r w:rsidRPr="00BC081A">
        <w:t xml:space="preserve"> and </w:t>
      </w:r>
      <w:r w:rsidRPr="00BC081A">
        <w:rPr>
          <w:i/>
        </w:rPr>
        <w:t>Flow Theory</w:t>
      </w:r>
      <w:r w:rsidRPr="00BC081A">
        <w:t xml:space="preserve"> (Flow) </w:t>
      </w:r>
      <w:r w:rsidRPr="00BC081A">
        <w:fldChar w:fldCharType="begin" w:fldLock="1"/>
      </w:r>
      <w:r w:rsidR="00AC1F7D">
        <w:instrText>ADDIN CSL_CITATION { "citationItems" : [ { "id" : "ITEM-1", "itemData" : { "author" : [ { "dropping-particle" : "", "family" : "Csikszentmihalyi", "given" : "M.", "non-dropping-particle" : "", "parse-names" : false, "suffix" : "" } ], "id" : "ITEM-1", "issued" : { "date-parts" : [ [ "1975" ] ] }, "publisher" : "Jossey-Bass Publishers San Francisco, CA", "title" : "Beyond boredom and anxiety", "type" : "book" }, "uris" : [ "http://www.mendeley.com/documents/?uuid=4f99508d-2cba-484a-8d32-896866d10032" ] } ], "mendeley" : { "previouslyFormattedCitation" : "(Csikszentmihalyi, 1975)" }, "properties" : { "noteIndex" : 0 }, "schema" : "https://github.com/citation-style-language/schema/raw/master/csl-citation.json" }</w:instrText>
      </w:r>
      <w:r w:rsidRPr="00BC081A">
        <w:fldChar w:fldCharType="separate"/>
      </w:r>
      <w:r w:rsidRPr="00BC081A">
        <w:rPr>
          <w:noProof/>
        </w:rPr>
        <w:t>(Csikszentmihalyi, 1975)</w:t>
      </w:r>
      <w:r w:rsidRPr="00BC081A">
        <w:fldChar w:fldCharType="end"/>
      </w:r>
      <w:r w:rsidRPr="00BC081A">
        <w:t xml:space="preserve"> were chosen as the foundational theories for this study</w:t>
      </w:r>
      <w:r w:rsidR="00515B0F" w:rsidRPr="00BC081A">
        <w:t>.</w:t>
      </w:r>
      <w:r w:rsidRPr="00BC081A">
        <w:t xml:space="preserve"> While these two theories originated in the field of psychology, they have been studied and tested extensively in various disciplines and have been applied to different contexts. Both SDT and Flow are rooted in the investigation of intrinsic motivation among people in their daily activities. As explained below in more detail, both of these theories have a long history of being used to explain the motivational factors in engaging people while they play video games. </w:t>
      </w:r>
      <w:r w:rsidR="00515B0F" w:rsidRPr="00BC081A">
        <w:t>As such, they are well suited for the current investigation.</w:t>
      </w:r>
    </w:p>
    <w:p w14:paraId="3E7D2E69" w14:textId="401BC673" w:rsidR="009503F5" w:rsidRPr="00BC081A" w:rsidRDefault="009503F5" w:rsidP="00C97A66">
      <w:r w:rsidRPr="00BC081A">
        <w:t xml:space="preserve">The strength of SDT is in its richness and rigour in explaining the psychological aspects of humans in seeking intrinsic motivation. As shown in </w:t>
      </w:r>
      <w:r w:rsidRPr="00BC081A">
        <w:fldChar w:fldCharType="begin"/>
      </w:r>
      <w:r w:rsidRPr="00BC081A">
        <w:instrText xml:space="preserve"> REF _Ref196814111 \h </w:instrText>
      </w:r>
      <w:r w:rsidRPr="00BC081A">
        <w:fldChar w:fldCharType="separate"/>
      </w:r>
      <w:r w:rsidR="008C71FB" w:rsidRPr="00BC081A">
        <w:t xml:space="preserve">Figure </w:t>
      </w:r>
      <w:r w:rsidR="008C71FB">
        <w:rPr>
          <w:noProof/>
        </w:rPr>
        <w:t>5</w:t>
      </w:r>
      <w:r w:rsidRPr="00BC081A">
        <w:fldChar w:fldCharType="end"/>
      </w:r>
      <w:r w:rsidRPr="00BC081A">
        <w:t xml:space="preserve">, SDT is able to explain the process through which motivation is distilled for a person, in particular for a video </w:t>
      </w:r>
      <w:proofErr w:type="spellStart"/>
      <w:r w:rsidR="00547B98">
        <w:t>gameplay</w:t>
      </w:r>
      <w:r w:rsidRPr="00BC081A">
        <w:t>er</w:t>
      </w:r>
      <w:proofErr w:type="spellEnd"/>
      <w:r w:rsidRPr="00BC081A">
        <w:t xml:space="preserve">. On the other hand, researchers can use Flow for evaluating individuals’ state of complete absorption during an activity. Flow Theory was first introduced by </w:t>
      </w:r>
      <w:proofErr w:type="spellStart"/>
      <w:r w:rsidRPr="00BC081A">
        <w:t>Mihaly</w:t>
      </w:r>
      <w:proofErr w:type="spellEnd"/>
      <w:r w:rsidRPr="00BC081A">
        <w:t xml:space="preserve"> </w:t>
      </w:r>
      <w:proofErr w:type="spellStart"/>
      <w:r w:rsidRPr="00BC081A">
        <w:t>Csikszentmihalyi</w:t>
      </w:r>
      <w:proofErr w:type="spellEnd"/>
      <w:r w:rsidRPr="00BC081A">
        <w:t xml:space="preserve"> in 1975 </w:t>
      </w:r>
      <w:r w:rsidRPr="00BC081A">
        <w:fldChar w:fldCharType="begin" w:fldLock="1"/>
      </w:r>
      <w:r w:rsidR="00AC1F7D">
        <w:instrText>ADDIN CSL_CITATION { "citationItems" : [ { "id" : "ITEM-1", "itemData" : { "author" : [ { "dropping-particle" : "", "family" : "Csikszentmihalyi", "given" : "M.", "non-dropping-particle" : "", "parse-names" : false, "suffix" : "" } ], "id" : "ITEM-1", "issued" : { "date-parts" : [ [ "1975" ] ] }, "publisher" : "Jossey-Bass Publishers San Francisco, CA", "title" : "Beyond boredom and anxiety", "type" : "book" }, "uris" : [ "http://www.mendeley.com/documents/?uuid=4f99508d-2cba-484a-8d32-896866d10032" ] } ], "mendeley" : { "previouslyFormattedCitation" : "(Csikszentmihalyi, 1975)" }, "properties" : { "noteIndex" : 0 }, "schema" : "https://github.com/citation-style-language/schema/raw/master/csl-citation.json" }</w:instrText>
      </w:r>
      <w:r w:rsidRPr="00BC081A">
        <w:fldChar w:fldCharType="separate"/>
      </w:r>
      <w:r w:rsidRPr="00BC081A">
        <w:rPr>
          <w:noProof/>
        </w:rPr>
        <w:t>(Csikszentmihalyi, 1975)</w:t>
      </w:r>
      <w:r w:rsidRPr="00BC081A">
        <w:fldChar w:fldCharType="end"/>
      </w:r>
      <w:r w:rsidRPr="00BC081A">
        <w:t xml:space="preserve"> and </w:t>
      </w:r>
      <w:r w:rsidR="00515B0F" w:rsidRPr="00BC081A">
        <w:t xml:space="preserve">evolved to its </w:t>
      </w:r>
      <w:r w:rsidRPr="00BC081A">
        <w:t xml:space="preserve">most seminal works in 1990s </w:t>
      </w:r>
      <w:r w:rsidRPr="00BC081A">
        <w:fldChar w:fldCharType="begin" w:fldLock="1"/>
      </w:r>
      <w:r w:rsidR="00AC1F7D">
        <w:instrText>ADDIN CSL_CITATION { "citationItems" : [ { "id" : "ITEM-1", "itemData" : { "author" : [ { "dropping-particle" : "", "family" : "Csikszentmihalyi", "given" : "M", "non-dropping-particle" : "", "parse-names" : false, "suffix" : "" } ], "id" : "ITEM-1", "issued" : { "date-parts" : [ [ "1991" ] ] }, "publisher" : "Harper Collins Publishers", "title" : "Flow: The psychology of optimal experience: Steps toward enhancing the quality of life", "type" : "book" }, "uris" : [ "http://www.mendeley.com/documents/?uuid=c4b97a6d-79bb-4543-b899-eb543cc86b8b" ] }, { "id" : "ITEM-2", "itemData" : { "author" : [ { "dropping-particle" : "", "family" : "Csikszentmihalyi", "given" : "M", "non-dropping-particle" : "", "parse-names" : false, "suffix" : "" } ], "id" : "ITEM-2", "issued" : { "date-parts" : [ [ "1997" ] ] }, "publisher" : "Basic Books", "title" : "Finding flow: The psychology of engagement with everyday life", "type" : "book" }, "uris" : [ "http://www.mendeley.com/documents/?uuid=294e388b-5672-4078-9925-ceecb8292ef7" ] } ], "mendeley" : { "previouslyFormattedCitation" : "(Csikszentmihalyi, 1991, 1997)" }, "properties" : { "noteIndex" : 0 }, "schema" : "https://github.com/citation-style-language/schema/raw/master/csl-citation.json" }</w:instrText>
      </w:r>
      <w:r w:rsidRPr="00BC081A">
        <w:fldChar w:fldCharType="separate"/>
      </w:r>
      <w:r w:rsidRPr="00BC081A">
        <w:rPr>
          <w:noProof/>
        </w:rPr>
        <w:t>(Csikszentmihalyi, 1991, 1997)</w:t>
      </w:r>
      <w:r w:rsidRPr="00BC081A">
        <w:fldChar w:fldCharType="end"/>
      </w:r>
      <w:r w:rsidRPr="00BC081A">
        <w:t xml:space="preserve">. Flow theory </w:t>
      </w:r>
      <w:r w:rsidR="003741E7" w:rsidRPr="00BC081A">
        <w:t xml:space="preserve">explains the </w:t>
      </w:r>
      <w:r w:rsidRPr="00BC081A">
        <w:t xml:space="preserve">state of deep engagement, which is the state that </w:t>
      </w:r>
      <w:proofErr w:type="gramStart"/>
      <w:r w:rsidRPr="00BC081A">
        <w:t>often video</w:t>
      </w:r>
      <w:proofErr w:type="gramEnd"/>
      <w:r w:rsidRPr="00BC081A">
        <w:t xml:space="preserve"> </w:t>
      </w:r>
      <w:proofErr w:type="spellStart"/>
      <w:r w:rsidR="00547B98">
        <w:t>gameplay</w:t>
      </w:r>
      <w:r w:rsidRPr="00BC081A">
        <w:t>ers</w:t>
      </w:r>
      <w:proofErr w:type="spellEnd"/>
      <w:r w:rsidRPr="00BC081A">
        <w:t xml:space="preserve"> experience during gameplay. SDT was a theory developed to understand intrinsic motivation based on psychological needs in 1980s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"previouslyFormattedCitation" : "(Deci &amp; Ryan, 1985a)" }, "properties" : { "noteIndex" : 0 }, "schema" : "https://github.com/citation-style-language/schema/raw/master/csl-citation.json" }</w:instrText>
      </w:r>
      <w:r w:rsidRPr="00BC081A">
        <w:fldChar w:fldCharType="separate"/>
      </w:r>
      <w:r w:rsidRPr="00BC081A">
        <w:rPr>
          <w:noProof/>
        </w:rPr>
        <w:t>(Deci &amp; Ryan, 1985a)</w:t>
      </w:r>
      <w:r w:rsidRPr="00BC081A">
        <w:fldChar w:fldCharType="end"/>
      </w:r>
      <w:r w:rsidRPr="00BC081A">
        <w:t xml:space="preserve"> while acknowledging Flow. </w:t>
      </w:r>
      <w:r w:rsidR="00C97A66" w:rsidRPr="00BC081A">
        <w:t xml:space="preserve">Since their inception, SDT and Flow have evolved together. </w:t>
      </w:r>
      <w:r w:rsidRPr="00BC081A">
        <w:rPr>
          <w:i/>
        </w:rPr>
        <w:fldChar w:fldCharType="begin"/>
      </w:r>
      <w:r w:rsidRPr="00BC081A">
        <w:instrText xml:space="preserve"> REF _Ref196814111 \h </w:instrText>
      </w:r>
      <w:r w:rsidRPr="00BC081A">
        <w:rPr>
          <w:i/>
        </w:rPr>
      </w:r>
      <w:r w:rsidRPr="00BC081A">
        <w:rPr>
          <w:i/>
        </w:rPr>
        <w:fldChar w:fldCharType="separate"/>
      </w:r>
      <w:r w:rsidR="008C71FB" w:rsidRPr="00BC081A">
        <w:t xml:space="preserve">Figure </w:t>
      </w:r>
      <w:r w:rsidR="008C71FB">
        <w:rPr>
          <w:noProof/>
        </w:rPr>
        <w:t>5</w:t>
      </w:r>
      <w:r w:rsidRPr="00BC081A">
        <w:rPr>
          <w:i/>
        </w:rPr>
        <w:fldChar w:fldCharType="end"/>
      </w:r>
      <w:r w:rsidRPr="00BC081A">
        <w:t xml:space="preserve"> presents an overarching theoretical framework, employing and </w:t>
      </w:r>
      <w:proofErr w:type="spellStart"/>
      <w:r w:rsidRPr="00BC081A">
        <w:t>interfusing</w:t>
      </w:r>
      <w:proofErr w:type="spellEnd"/>
      <w:r w:rsidRPr="00BC081A">
        <w:t xml:space="preserve"> SDT and Flow theories. As the figure shows, SDT clarifies the procedure through which competition can create motivation, while Flow captures the state of engagement that results from this motivation. The </w:t>
      </w:r>
      <w:r w:rsidRPr="00BC081A">
        <w:lastRenderedPageBreak/>
        <w:t xml:space="preserve">final outcome of engagement would be to increase performance/adoption/etc. To establish the connection between SDT and Flow, the two theories are explained </w:t>
      </w:r>
      <w:r w:rsidR="00C97A66" w:rsidRPr="00BC081A">
        <w:t>in further detail below</w:t>
      </w:r>
      <w:r w:rsidRPr="00BC081A">
        <w:t xml:space="preserve">. </w:t>
      </w:r>
      <w:r w:rsidR="00C97A66" w:rsidRPr="00BC081A">
        <w:t>T</w:t>
      </w:r>
      <w:r w:rsidRPr="00BC081A">
        <w:t xml:space="preserve">he conjunction of these two of theories </w:t>
      </w:r>
      <w:r w:rsidR="00802EEC">
        <w:t>is</w:t>
      </w:r>
      <w:r w:rsidR="00802EEC" w:rsidRPr="00BC081A">
        <w:t xml:space="preserve"> </w:t>
      </w:r>
      <w:r w:rsidR="00C97A66" w:rsidRPr="00BC081A">
        <w:t xml:space="preserve">also </w:t>
      </w:r>
      <w:r w:rsidRPr="00BC081A">
        <w:t xml:space="preserve">discussed.  </w:t>
      </w:r>
    </w:p>
    <w:p w14:paraId="636A4CCE" w14:textId="77777777" w:rsidR="009503F5" w:rsidRPr="00BC081A" w:rsidRDefault="009503F5" w:rsidP="009503F5">
      <w:pPr>
        <w:keepNext/>
        <w:ind w:firstLine="0"/>
      </w:pPr>
      <w:r w:rsidRPr="00BC081A">
        <w:rPr>
          <w:noProof/>
          <w:lang w:val="en-US"/>
        </w:rPr>
        <w:drawing>
          <wp:inline distT="0" distB="0" distL="0" distR="0" wp14:anchorId="5A79130E" wp14:editId="71DCE144">
            <wp:extent cx="5943600" cy="1888649"/>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88649"/>
                    </a:xfrm>
                    <a:prstGeom prst="rect">
                      <a:avLst/>
                    </a:prstGeom>
                    <a:noFill/>
                    <a:ln>
                      <a:noFill/>
                    </a:ln>
                  </pic:spPr>
                </pic:pic>
              </a:graphicData>
            </a:graphic>
          </wp:inline>
        </w:drawing>
      </w:r>
    </w:p>
    <w:p w14:paraId="001172CD" w14:textId="77777777" w:rsidR="009503F5" w:rsidRPr="00BC081A" w:rsidRDefault="009503F5" w:rsidP="00C92D78">
      <w:pPr>
        <w:pStyle w:val="Caption"/>
      </w:pPr>
      <w:bookmarkStart w:id="37" w:name="_Ref196814111"/>
      <w:bookmarkStart w:id="38" w:name="_Toc278912295"/>
      <w:r w:rsidRPr="00BC081A">
        <w:t xml:space="preserve">Figure </w:t>
      </w:r>
      <w:r w:rsidR="007804FF">
        <w:fldChar w:fldCharType="begin"/>
      </w:r>
      <w:r w:rsidR="007804FF">
        <w:instrText xml:space="preserve"> SEQ Figure \* ARABIC </w:instrText>
      </w:r>
      <w:r w:rsidR="007804FF">
        <w:fldChar w:fldCharType="separate"/>
      </w:r>
      <w:r w:rsidR="008C71FB">
        <w:rPr>
          <w:noProof/>
        </w:rPr>
        <w:t>5</w:t>
      </w:r>
      <w:r w:rsidR="007804FF">
        <w:rPr>
          <w:noProof/>
        </w:rPr>
        <w:fldChar w:fldCharType="end"/>
      </w:r>
      <w:bookmarkEnd w:id="37"/>
      <w:r w:rsidRPr="00BC081A">
        <w:t xml:space="preserve"> – Overarching Theoretical Framework</w:t>
      </w:r>
      <w:bookmarkEnd w:id="38"/>
    </w:p>
    <w:p w14:paraId="679909C0" w14:textId="77777777" w:rsidR="009503F5" w:rsidRPr="00BC081A" w:rsidRDefault="009503F5" w:rsidP="00863D4C">
      <w:pPr>
        <w:pStyle w:val="Heading2"/>
      </w:pPr>
      <w:bookmarkStart w:id="39" w:name="_Toc275209819"/>
      <w:r w:rsidRPr="00BC081A">
        <w:t>Self-Determination Theory</w:t>
      </w:r>
      <w:bookmarkEnd w:id="39"/>
    </w:p>
    <w:p w14:paraId="75180A20" w14:textId="7E15EE3F" w:rsidR="009503F5" w:rsidRPr="00BC081A" w:rsidRDefault="009503F5" w:rsidP="009503F5">
      <w:r w:rsidRPr="00BC081A">
        <w:t xml:space="preserve">One of the main theories scholars deploy for explaining the formation of individual motivation in various fields is Self-Determination Theory (SDT;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"id" : "ITEM-2", "itemData" : { "author" : [ { "dropping-particle" : "", "family" : "Deci", "given" : "Edward L.", "non-dropping-particle" : "", "parse-names" : false, "suffix" : "" }, { "dropping-particle" : "", "family" : "Ryan", "given" : "Richard M.", "non-dropping-particle" : "", "parse-names" : false, "suffix" : "" } ], "container-title" : "Nebraska symposium on motivation", "id" : "ITEM-2", "issued" : { "date-parts" : [ [ "1991" ] ] }, "page" : "237-288", "title" : "A motivational approach to self: Integration in personality", "type" : "paper-conference", "volume" : "38" }, "uris" : [ "http://www.mendeley.com/documents/?uuid=484a0226-ea8e-420d-8ff4-384d7cc87b57" ] } ], "mendeley" : { "manualFormatting" : "Deci &amp; Ryan, 1985a, 1991)", "previouslyFormattedCitation" : "(Deci &amp; Ryan, 1985a, 1991)" }, "properties" : { "noteIndex" : 0 }, "schema" : "https://github.com/citation-style-language/schema/raw/master/csl-citation.json" }</w:instrText>
      </w:r>
      <w:r w:rsidRPr="00BC081A">
        <w:fldChar w:fldCharType="separate"/>
      </w:r>
      <w:r w:rsidRPr="00BC081A">
        <w:rPr>
          <w:noProof/>
        </w:rPr>
        <w:t>Deci &amp; Ryan, 1985a, 1991)</w:t>
      </w:r>
      <w:r w:rsidRPr="00BC081A">
        <w:fldChar w:fldCharType="end"/>
      </w:r>
      <w:r w:rsidRPr="00BC081A">
        <w:t xml:space="preserve">. SDT is not a single theory, but is an “organismic meta-theory” that frames five mini-theories on intrinsic and extrinsic motivation and related personality and behaviour </w:t>
      </w:r>
      <w:r w:rsidRPr="00BC081A">
        <w:rPr>
          <w:noProof/>
        </w:rPr>
        <w:fldChar w:fldCharType="begin" w:fldLock="1"/>
      </w:r>
      <w:r w:rsidR="00AC1F7D">
        <w:rPr>
          <w:noProof/>
        </w:rPr>
        <w:instrText>ADDIN CSL_CITATION { "citationItems" : [ { "id" : "ITEM-1", "itemData" : { "DOI" : "10.1006/ceps.1999.1020", "ISSN" : "0361-476X", "PMID" : "10620381", "abstract" : "Intrinsic and extrinsic types of motivation have been widely studied, and the distinction between them has shed important light on both developmental and educational practices. In this review we revisit the classic definitions of intrinsic and extrinsic motivation in light of contemporary research and theory. Intrinsic motivation remains an important construct, reflecting the natural human propensity to learn and assimilate. However, extrinsic motivation is argued to vary considerably in its relative autonomy and thus can either reflect external control or true self-regulation. The relations of both classes of motives to basic human needs for autonomy, competence and relatedness are discussed. Copyright 2000 Academic Press.", "author" : [ { "dropping-particle" : "", "family" : "Ryan", "given" : "Richard M.", "non-dropping-particle" : "", "parse-names" : false, "suffix" : "" }, { "dropping-particle" : "", "family" : "Deci", "given" : "Edward L.", "non-dropping-particle" : "", "parse-names" : false, "suffix" : "" } ], "container-title" : "Contemporary educational psychology", "id" : "ITEM-1", "issue" : "1", "issued" : { "date-parts" : [ [ "2000", "1" ] ] }, "page" : "54-67", "title" : "Intrinsic and Extrinsic Motivations: Classic Definitions and New Directions.", "type" : "article-journal", "volume" : "25" }, "uris" : [ "http://www.mendeley.com/documents/?uuid=3dce7530-f229-4e57-a9b0-5cfb1fd32a7f" ] } ], "mendeley" : { "previouslyFormattedCitation" : "(Ryan &amp; Deci, 2000a)" }, "properties" : { "noteIndex" : 0 }, "schema" : "https://github.com/citation-style-language/schema/raw/master/csl-citation.json" }</w:instrText>
      </w:r>
      <w:r w:rsidRPr="00BC081A">
        <w:rPr>
          <w:noProof/>
        </w:rPr>
        <w:fldChar w:fldCharType="separate"/>
      </w:r>
      <w:r w:rsidRPr="00BC081A">
        <w:rPr>
          <w:noProof/>
        </w:rPr>
        <w:t>(Ryan &amp; Deci, 2000a)</w:t>
      </w:r>
      <w:r w:rsidRPr="00BC081A">
        <w:rPr>
          <w:noProof/>
        </w:rPr>
        <w:fldChar w:fldCharType="end"/>
      </w:r>
      <w:r w:rsidRPr="00BC081A">
        <w:t xml:space="preserve">. This theory aims to understand the basic psychological needs that are the roots of intrinsic motivation, and consequently, what conditions support or prevent people from satisfying these needs – and as a result intrinsic motivation. These basic innate needs are competence, autonomy, and relatedness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"container-title" : "Nebraska symposium on motivation", "id" : "ITEM-1", "issued" : { "date-parts" : [ [ "1991" ] ] }, "page" : "237-288", "title" : "A motivational approach to self: Integration in personality", "type" : "paper-conference", "volume" : "38" }, "uris" : [ "http://www.mendeley.com/documents/?uuid=484a0226-ea8e-420d-8ff4-384d7cc87b57" ] }, { "id" : "ITEM-2", "itemData" : { "author" : [ { "dropping-particle" : "", "family" : "Deci", "given" : "Edward L", "non-dropping-particle" : "", "parse-names" : false, "suffix" : "" }, { "dropping-particle" : "", "family" : "Ryan", "given" : "Richard M", "non-dropping-particle" : "", "parse-names" : false, "suffix" : "" } ], "container-title" : "Psychological Inquiry", "id" : "ITEM-2", "issue" : "4", "issued" : { "date-parts" : [ [ "2000" ] ] }, "page" : "227-268", "title" : "The \u201c What \u201d and \u201c Why \u201d of Goal Pursuits : Human Needs and the Self-Determination of Behavior", "type" : "article-journal", "volume" : "11" }, "uris" : [ "http://www.mendeley.com/documents/?uuid=63ed9284-f25b-45dd-974c-d73c67f45293" ] }, { "id" : "ITEM-3", "itemData" : { "author" : [ { "dropping-particle" : "", "family" : "Deci", "given" : "Edward L.", "non-dropping-particle" : "", "parse-names" : false, "suffix" : "" }, { "dropping-particle" : "", "family" : "Ryan", "given" : "Richard M.", "non-dropping-particle" : "", "parse-names" : false, "suffix" : "" } ], "container-title" : "Advances in experimental social psychology", "id" : "ITEM-3", "issued" : { "date-parts" : [ [ "1980" ] ] }, "page" : "39-80", "publisher" : "Elsevier", "title" : "The empirical exploration of intrinsic motivational processes", "type" : "article-journal", "volume" : "13" }, "uris" : [ "http://www.mendeley.com/documents/?uuid=24a5be3a-d174-4291-95e6-d2ed5fe6e9f1" ] } ], "mendeley" : { "previouslyFormattedCitation" : "(Deci &amp; Ryan, 1980, 1991, 2000)" }, "properties" : { "noteIndex" : 0 }, "schema" : "https://github.com/citation-style-language/schema/raw/master/csl-citation.json" }</w:instrText>
      </w:r>
      <w:r w:rsidRPr="00BC081A">
        <w:fldChar w:fldCharType="separate"/>
      </w:r>
      <w:r w:rsidRPr="00BC081A">
        <w:rPr>
          <w:noProof/>
        </w:rPr>
        <w:t>(Deci &amp; Ryan, 1980, 1991, 2000)</w:t>
      </w:r>
      <w:r w:rsidRPr="00BC081A">
        <w:fldChar w:fldCharType="end"/>
      </w:r>
      <w:r w:rsidRPr="00BC081A">
        <w:t xml:space="preserve">. The need for competence refers to the tendency of individuals to feel capable </w:t>
      </w:r>
      <w:r w:rsidR="001E540B">
        <w:t xml:space="preserve">of </w:t>
      </w:r>
      <w:r w:rsidRPr="00BC081A">
        <w:t xml:space="preserve">performing a task (sense of self-efficacy). Autonomy, on the other hand is the propensity of people to have control over their actions and see themselves as the locus of causality. Autonomy – the feeling of self-initiation of the task – is also </w:t>
      </w:r>
      <w:r w:rsidRPr="00BC081A">
        <w:lastRenderedPageBreak/>
        <w:t xml:space="preserve">referred to as perceived self-determination </w:t>
      </w:r>
      <w:r w:rsidRPr="00BC081A">
        <w:fldChar w:fldCharType="begin" w:fldLock="1"/>
      </w:r>
      <w:r w:rsidR="00AC1F7D">
        <w:instrText>ADDIN CSL_CITATION { "citationItems" : [ { "id" : "ITEM-1", "itemData" : { "DOI" : "10.1016/0092-6566(85)90023-6", "ISSN" : "00926566", "author" : [ { "dropping-particle" : "", "family" : "Deci", "given" : "Edward L.", "non-dropping-particle" : "", "parse-names" : false, "suffix" : "" }, { "dropping-particle" : "", "family" : "Ryan", "given" : "Richard M.", "non-dropping-particle" : "", "parse-names" : false, "suffix" : "" } ], "container-title" : "Journal of Research in Personality", "id" : "ITEM-1", "issue" : "2", "issued" : { "date-parts" : [ [ "1985", "6" ] ] }, "page" : "109-134", "title" : "The general causality orientations scale: Self-determination in personality", "type" : "article-journal", "volume" : "19" }, "uris" : [ "http://www.mendeley.com/documents/?uuid=471fee10-5b06-4ff7-b96e-00ef7928b9f8" ] } ], "mendeley" : { "previouslyFormattedCitation" : "(Deci &amp; Ryan, 1985b)" }, "properties" : { "noteIndex" : 0 }, "schema" : "https://github.com/citation-style-language/schema/raw/master/csl-citation.json" }</w:instrText>
      </w:r>
      <w:r w:rsidRPr="00BC081A">
        <w:fldChar w:fldCharType="separate"/>
      </w:r>
      <w:r w:rsidRPr="00BC081A">
        <w:rPr>
          <w:noProof/>
        </w:rPr>
        <w:t>(Deci &amp; Ryan, 1985b)</w:t>
      </w:r>
      <w:r w:rsidRPr="00BC081A">
        <w:fldChar w:fldCharType="end"/>
      </w:r>
      <w:r w:rsidRPr="00BC081A">
        <w:t xml:space="preserve">. The last need, relatedness, suggests that people innately demand social connectedness. </w:t>
      </w:r>
    </w:p>
    <w:p w14:paraId="364965BC" w14:textId="3E78FAEA" w:rsidR="009503F5" w:rsidRPr="00BC081A" w:rsidRDefault="009503F5" w:rsidP="009503F5">
      <w:r w:rsidRPr="00BC081A">
        <w:t xml:space="preserve">SDT aims to understand social conditions and contexts as well as individual differences that enable motivation among humans as “active organisms” </w:t>
      </w:r>
      <w:r w:rsidRPr="00BC081A">
        <w:fldChar w:fldCharType="begin" w:fldLock="1"/>
      </w:r>
      <w:r w:rsidR="00AC1F7D">
        <w:instrText>ADDIN CSL_CITATION { "citationItems" : [ { "id" : "ITEM-1", "itemData" : { "DOI" : "10.1006/ceps.1999.1020", "ISSN" : "0361-476X", "PMID" : "10620381", "abstract" : "Intrinsic and extrinsic types of motivation have been widely studied, and the distinction between them has shed important light on both developmental and educational practices. In this review we revisit the classic definitions of intrinsic and extrinsic motivation in light of contemporary research and theory. Intrinsic motivation remains an important construct, reflecting the natural human propensity to learn and assimilate. However, extrinsic motivation is argued to vary considerably in its relative autonomy and thus can either reflect external control or true self-regulation. The relations of both classes of motives to basic human needs for autonomy, competence and relatedness are discussed. Copyright 2000 Academic Press.", "author" : [ { "dropping-particle" : "", "family" : "Ryan", "given" : "Richard M.", "non-dropping-particle" : "", "parse-names" : false, "suffix" : "" }, { "dropping-particle" : "", "family" : "Deci", "given" : "Edward L.", "non-dropping-particle" : "", "parse-names" : false, "suffix" : "" } ], "container-title" : "Contemporary educational psychology", "id" : "ITEM-1", "issue" : "1", "issued" : { "date-parts" : [ [ "2000", "1" ] ] }, "page" : "54-67", "title" : "Intrinsic and Extrinsic Motivations: Classic Definitions and New Directions.", "type" : "article-journal", "volume" : "25" }, "uris" : [ "http://www.mendeley.com/documents/?uuid=3dce7530-f229-4e57-a9b0-5cfb1fd32a7f" ] } ], "mendeley" : { "previouslyFormattedCitation" : "(Ryan &amp; Deci, 2000a)" }, "properties" : { "noteIndex" : 0 }, "schema" : "https://github.com/citation-style-language/schema/raw/master/csl-citation.json" }</w:instrText>
      </w:r>
      <w:r w:rsidRPr="00BC081A">
        <w:fldChar w:fldCharType="separate"/>
      </w:r>
      <w:r w:rsidRPr="00BC081A">
        <w:rPr>
          <w:noProof/>
        </w:rPr>
        <w:t>(Ryan &amp; Deci, 2000a)</w:t>
      </w:r>
      <w:r w:rsidRPr="00BC081A">
        <w:fldChar w:fldCharType="end"/>
      </w:r>
      <w:r w:rsidRPr="00BC081A">
        <w:t xml:space="preserve">. This theory, therefore, explains why and how various forms and levels of motivation are created in people. SDT directed research explain the effects of environment and personality on motivation </w:t>
      </w:r>
      <w:r w:rsidRPr="00BC081A">
        <w:fldChar w:fldCharType="begin" w:fldLock="1"/>
      </w:r>
      <w:r w:rsidR="00AC1F7D">
        <w:instrText>ADDIN CSL_CITATION { "citationItems" : [ { "id" : "ITEM-1", "itemData" : { "DOI" : "10.1006/ceps.1999.1020", "ISSN" : "0361-476X", "PMID" : "10620381", "abstract" : "Intrinsic and extrinsic types of motivation have been widely studied, and the distinction between them has shed important light on both developmental and educational practices. In this review we revisit the classic definitions of intrinsic and extrinsic motivation in light of contemporary research and theory. Intrinsic motivation remains an important construct, reflecting the natural human propensity to learn and assimilate. However, extrinsic motivation is argued to vary considerably in its relative autonomy and thus can either reflect external control or true self-regulation. The relations of both classes of motives to basic human needs for autonomy, competence and relatedness are discussed. Copyright 2000 Academic Press.", "author" : [ { "dropping-particle" : "", "family" : "Ryan", "given" : "Richard M.", "non-dropping-particle" : "", "parse-names" : false, "suffix" : "" }, { "dropping-particle" : "", "family" : "Deci", "given" : "Edward L.", "non-dropping-particle" : "", "parse-names" : false, "suffix" : "" } ], "container-title" : "Contemporary educational psychology", "id" : "ITEM-1", "issue" : "1", "issued" : { "date-parts" : [ [ "2000", "1" ] ] }, "page" : "54-67", "title" : "Intrinsic and Extrinsic Motivations: Classic Definitions and New Directions.", "type" : "article-journal", "volume" : "25" }, "uris" : [ "http://www.mendeley.com/documents/?uuid=3dce7530-f229-4e57-a9b0-5cfb1fd32a7f" ] } ], "mendeley" : { "previouslyFormattedCitation" : "(Ryan &amp; Deci, 2000a)" }, "properties" : { "noteIndex" : 0 }, "schema" : "https://github.com/citation-style-language/schema/raw/master/csl-citation.json" }</w:instrText>
      </w:r>
      <w:r w:rsidRPr="00BC081A">
        <w:fldChar w:fldCharType="separate"/>
      </w:r>
      <w:r w:rsidRPr="00BC081A">
        <w:rPr>
          <w:noProof/>
        </w:rPr>
        <w:t>(Ryan &amp; Deci, 2000a)</w:t>
      </w:r>
      <w:r w:rsidRPr="00BC081A">
        <w:fldChar w:fldCharType="end"/>
      </w:r>
      <w:r w:rsidRPr="00BC081A">
        <w:t>. The studies that are based on SDT also approach motivation research with the goal of understanding the implications of different forms of motivation. Since</w:t>
      </w:r>
      <w:r w:rsidR="00794C51" w:rsidRPr="00BC081A">
        <w:t xml:space="preserve"> SDT’s introduction in 1985</w:t>
      </w:r>
      <w:r w:rsidRPr="00BC081A">
        <w:t xml:space="preserve">, it has been employed in research of various fields and domains such as education, healthcare, organizational behaviour, psychotherapy and counselling, sport and physical education, and video games. As such, SDT provides a very strong addition to the theoretical framework of this study for understanding competition as a defining factor of motivation and engagement.  </w:t>
      </w:r>
    </w:p>
    <w:p w14:paraId="38D0BDBB" w14:textId="77777777" w:rsidR="009503F5" w:rsidRPr="00BC081A" w:rsidRDefault="009503F5" w:rsidP="009503F5">
      <w:pPr>
        <w:pStyle w:val="Heading3"/>
      </w:pPr>
      <w:bookmarkStart w:id="40" w:name="_Ref274345145"/>
      <w:bookmarkStart w:id="41" w:name="_Toc275209820"/>
      <w:r w:rsidRPr="00BC081A">
        <w:t>SDT and Competition</w:t>
      </w:r>
      <w:bookmarkEnd w:id="40"/>
      <w:bookmarkEnd w:id="41"/>
      <w:r w:rsidRPr="00BC081A">
        <w:t xml:space="preserve"> </w:t>
      </w:r>
    </w:p>
    <w:p w14:paraId="3B0B8002" w14:textId="4CD46113" w:rsidR="009503F5" w:rsidRPr="00BC081A" w:rsidRDefault="009503F5" w:rsidP="009503F5">
      <w:r w:rsidRPr="00BC081A">
        <w:t xml:space="preserve">Various scholars have studied competition based on SDT. Since competition can be seen in sports, games, education, jobs, and basically everywhere, </w:t>
      </w:r>
      <w:proofErr w:type="gramStart"/>
      <w:r w:rsidRPr="00BC081A">
        <w:t>it has been examined by researchers in diverse fields</w:t>
      </w:r>
      <w:proofErr w:type="gramEnd"/>
      <w:r w:rsidRPr="00BC081A">
        <w:t xml:space="preserve">. Researchers have attempted to understand if competition is a source of intrinsic or extrinsic motivation and how it affects individuals to compete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"Betley", "given" : "G", "non-dropping-particle" : "", "parse-names" : false, "suffix" : "" }, { "dropping-particle" : "", "family" : "Kahle", "given" : "J", "non-dropping-particle" : "", "parse-names" : false, "suffix" : "" }, { "dropping-particle" : "", "family" : "Abrams", "given" : "L", "non-dropping-particle" : "", "parse-names" : false, "suffix" : "" }, { "dropping-particle" : "", "family" : "Porac", "given" : "J", "non-dropping-particle" : "", "parse-names" : false, "suffix" : "" } ], "container-title" : "Personality and Social Psychology Bulletin", "id" : "ITEM-1", "issue" : "1", "issued" : { "date-parts" : [ [ "1981" ] ] }, "page" : "79-83", "publisher" : "Sage Publications", "title" : "When Trying To Win: Competition and Intrinsic Motivation", "type" : "article-journal", "volume" : "7" }, "uris" : [ "http://www.mendeley.com/documents/?uuid=5c042cea-ca9c-442a-8e70-65042859e356" ] }, { "id" : "ITEM-2", "itemData" : { "author" : [ { "dropping-particle" : "", "family" : "Vallerand", "given" : "Robert J.", "non-dropping-particle" : "", "parse-names" : false, "suffix" : "" }, { "dropping-particle" : "", "family" : "Gauvin", "given" : "Lise I", "non-dropping-particle" : "", "parse-names" : false, "suffix" : "" }, { "dropping-particle" : "", "family" : "Halliwell", "given" : "Wayne R", "non-dropping-particle" : "", "parse-names" : false, "suffix" : "" } ], "container-title" : "Social Psychology", "id" : "ITEM-2", "issued" : { "date-parts" : [ [ "1986" ] ] }, "title" : "Negative Elfects of Competition on Children's Intrinsic Motivation", "type" : "article-journal" }, "uris" : [ "http://www.mendeley.com/documents/?uuid=f422ca73-ea79-4ff3-9ee9-4a216ccc33d5" ] } ], "mendeley" : { "previouslyFormattedCitation" : "(Deci, Betley, Kahle, Abrams, &amp; Porac, 1981; Vallerand, Gauvin, &amp; Halliwell, 1986b)" }, "properties" : { "noteIndex" : 0 }, "schema" : "https://github.com/citation-style-language/schema/raw/master/csl-citation.json" }</w:instrText>
      </w:r>
      <w:r w:rsidRPr="00BC081A">
        <w:fldChar w:fldCharType="separate"/>
      </w:r>
      <w:r w:rsidRPr="00BC081A">
        <w:rPr>
          <w:noProof/>
        </w:rPr>
        <w:t>(Deci, Betley, Kahle, Abrams, &amp; Porac, 1981; Vallerand, Gauvin, &amp; Halliwell, 1986b)</w:t>
      </w:r>
      <w:r w:rsidRPr="00BC081A">
        <w:fldChar w:fldCharType="end"/>
      </w:r>
      <w:r w:rsidRPr="00BC081A">
        <w:t xml:space="preserve">. Extrinsic motivation is often distinguished from intrinsic motivation based on the source or the reward that provokes the motivation. Specifically, “the reward for extrinsically motivated behaviour is something that is separate from and follows the behaviour”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"Betley", "given" : "G", "non-dropping-particle" : "", "parse-names" : false, "suffix" : "" }, { "dropping-particle" : "", "family" : "Kahle", "given" : "J", "non-dropping-particle" : "", "parse-names" : false, "suffix" : "" }, { "dropping-particle" : "", "family" : "Abrams", "given" : "L", "non-dropping-particle" : "", "parse-names" : false, "suffix" : "" }, { "dropping-particle" : "", "family" : "Porac", "given" : "J", "non-dropping-particle" : "", "parse-names" : false, "suffix" : "" } ], "container-title" : "Personality and Social Psychology Bulletin", "id" : "ITEM-1", "issue" : "1", "issued" : { "date-parts" : [ [ "1981" ] ] }, "page" : "79-83", "publisher" : "Sage Publications", "title" : "When Trying To Win: Competition and Intrinsic Motivation", "type" : "article-journal", "volume" : "7" }, "uris" : [ "http://www.mendeley.com/documents/?uuid=5c042cea-ca9c-442a-8e70-65042859e356" ] } ], "mendeley" : { "manualFormatting" : "(Deci et al., 1981, p. 71)", "previouslyFormattedCitation" : "(Deci et al., 1981)" }, "properties" : { "noteIndex" : 0 }, "schema" : "https://github.com/citation-style-language/schema/raw/master/csl-citation.json" }</w:instrText>
      </w:r>
      <w:r w:rsidRPr="00BC081A">
        <w:fldChar w:fldCharType="separate"/>
      </w:r>
      <w:r w:rsidRPr="00BC081A">
        <w:rPr>
          <w:noProof/>
        </w:rPr>
        <w:t>(Deci et al., 1981, p. 71)</w:t>
      </w:r>
      <w:r w:rsidRPr="00BC081A">
        <w:fldChar w:fldCharType="end"/>
      </w:r>
      <w:r w:rsidRPr="00BC081A">
        <w:t xml:space="preserve">. </w:t>
      </w:r>
      <w:proofErr w:type="spellStart"/>
      <w:r w:rsidRPr="00BC081A">
        <w:t>Deci</w:t>
      </w:r>
      <w:proofErr w:type="spellEnd"/>
      <w:r w:rsidRPr="00BC081A">
        <w:t xml:space="preserve"> et al. (1981) have employed a “free-choice time” technique to measure the intrinsic motivation of participants after </w:t>
      </w:r>
      <w:r w:rsidRPr="00BC081A">
        <w:lastRenderedPageBreak/>
        <w:t xml:space="preserve">playing with a puzzle game and concluded that competition, regardless of the impact on performance, changes the nature of motivation from intrinsic to extrinsic. Free-choice time has been used by many other scholars to measure intrinsic motivation </w:t>
      </w:r>
      <w:r w:rsidRPr="00BC081A">
        <w:fldChar w:fldCharType="begin" w:fldLock="1"/>
      </w:r>
      <w:r w:rsidR="00AC1F7D">
        <w:instrText>ADDIN CSL_CITATION { "citationItems" : [ { "id" : "ITEM-1", "itemData" : { "author" : [ { "dropping-particle" : "", "family" : "Vallerand", "given" : "Robert J.", "non-dropping-particle" : "", "parse-names" : false, "suffix" : "" }, { "dropping-particle" : "", "family" : "Gauvin", "given" : "Lise I", "non-dropping-particle" : "", "parse-names" : false, "suffix" : "" }, { "dropping-particle" : "", "family" : "Halliwell", "given" : "Wayne R", "non-dropping-particle" : "", "parse-names" : false, "suffix" : "" } ], "container-title" : "Social Psychology", "id" : "ITEM-1", "issued" : { "date-parts" : [ [ "1986" ] ] }, "title" : "Negative Elfects of Competition on Children's Intrinsic Motivation", "type" : "article-journal" }, "uris" : [ "http://www.mendeley.com/documents/?uuid=f422ca73-ea79-4ff3-9ee9-4a216ccc33d5" ] }, { "id" : "ITEM-2",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"ITEM-2",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"manualFormatting" : "(e.g. Tauer &amp; Harackiewicz, 1999; Vallerand et al., 1986)", "previouslyFormattedCitation" : "(Tauer &amp; Harackiewicz, 1999; Vallerand et al., 1986b)" }, "properties" : { "noteIndex" : 0 }, "schema" : "https://github.com/citation-style-language/schema/raw/master/csl-citation.json" }</w:instrText>
      </w:r>
      <w:r w:rsidRPr="00BC081A">
        <w:fldChar w:fldCharType="separate"/>
      </w:r>
      <w:r w:rsidRPr="00BC081A">
        <w:rPr>
          <w:noProof/>
        </w:rPr>
        <w:t>(e.g. Tauer &amp; Harackiewicz, 1999; Vallerand et al., 1986)</w:t>
      </w:r>
      <w:r w:rsidRPr="00BC081A">
        <w:fldChar w:fldCharType="end"/>
      </w:r>
      <w:r w:rsidRPr="00BC081A">
        <w:t>, where after the conclusion of experimental tasks, participants are left in the experiment room for a few minutes while being observed to see if they spontaneously continue playing the particular game of the experiment.</w:t>
      </w:r>
    </w:p>
    <w:p w14:paraId="433A94BC" w14:textId="7F991FEA" w:rsidR="009503F5" w:rsidRPr="00BC081A" w:rsidRDefault="009503F5" w:rsidP="009503F5">
      <w:r w:rsidRPr="00BC081A">
        <w:t xml:space="preserve">In competitive situations, when the focus is on the outcome of a task, the emotion of individuals is defined by the result of competition, namely winning and losing </w:t>
      </w:r>
      <w:r w:rsidRPr="00BC081A">
        <w:fldChar w:fldCharType="begin" w:fldLock="1"/>
      </w:r>
      <w:r w:rsidR="00AC1F7D">
        <w:instrText>ADDIN CSL_CITATION { "citationItems" : [ { "id" : "ITEM-1", "itemData" : { "author" : [ { "dropping-particle" : "", "family" : "Weinberg", "given" : "R S", "non-dropping-particle" : "", "parse-names" : false, "suffix" : "" }, { "dropping-particle" : "", "family" : "Jackson", "given" : "A", "non-dropping-particle" : "", "parse-names" : false, "suffix" : "" } ], "container-title" : "Research Quarterly", "id" : "ITEM-1", "issue" : "3", "issued" : { "date-parts" : [ [ "1979" ] ] }, "page" : "494-502", "title" : "Competition and Extrinsic Rewards: Effect on Intrinsic Motivation and Attribution.", "type" : "article-journal", "volume" : "50" }, "uris" : [ "http://www.mendeley.com/documents/?uuid=bab90999-52c7-4269-9568-6f632567174a" ] } ], "mendeley" : { "previouslyFormattedCitation" : "(Weinberg &amp; Jackson, 1979)" }, "properties" : { "noteIndex" : 0 }, "schema" : "https://github.com/citation-style-language/schema/raw/master/csl-citation.json" }</w:instrText>
      </w:r>
      <w:r w:rsidRPr="00BC081A">
        <w:fldChar w:fldCharType="separate"/>
      </w:r>
      <w:r w:rsidRPr="00BC081A">
        <w:rPr>
          <w:noProof/>
        </w:rPr>
        <w:t>(Weinberg &amp; Jackson, 1979)</w:t>
      </w:r>
      <w:r w:rsidRPr="00BC081A">
        <w:fldChar w:fldCharType="end"/>
      </w:r>
      <w:r w:rsidRPr="00BC081A">
        <w:t xml:space="preserve">. As </w:t>
      </w:r>
      <w:r w:rsidRPr="00BC081A">
        <w:fldChar w:fldCharType="begin" w:fldLock="1"/>
      </w:r>
      <w:r w:rsidR="00AC1F7D">
        <w:instrText>ADDIN CSL_CITATION { "citationItems" : [ { "id" : "ITEM-1", "itemData" : { "author" : [ { "dropping-particle" : "", "family" : "Vallerand", "given" : "Robert J.", "non-dropping-particle" : "", "parse-names" : false, "suffix" : "" }, { "dropping-particle" : "", "family" : "Gauvin", "given" : "Lise I", "non-dropping-particle" : "", "parse-names" : false, "suffix" : "" }, { "dropping-particle" : "", "family" : "Halliwell", "given" : "Wayne R", "non-dropping-particle" : "", "parse-names" : false, "suffix" : "" } ], "container-title" : "The Journal of social psychology", "id" : "ITEM-1", "issue" : "4", "issued" : { "date-parts" : [ [ "1986" ] ] }, "page" : "465-472", "publisher" : "Taylor &amp; Francis", "title" : "Effects of zero-sum competition on children's intrinsic motivation and perceived competence", "type" : "article-journal", "volume" : "126" }, "uris" : [ "http://www.mendeley.com/documents/?uuid=bd849fa8-4144-4cf5-93a3-8faa0c714d27" ] } ], "mendeley" : { "manualFormatting" : "Vallerand, Gauvin, and Halliwell (1986)", "previouslyFormattedCitation" : "(Vallerand, Gauvin, &amp; Halliwell, 1986a)" }, "properties" : { "noteIndex" : 0 }, "schema" : "https://github.com/citation-style-language/schema/raw/master/csl-citation.json" }</w:instrText>
      </w:r>
      <w:r w:rsidRPr="00BC081A">
        <w:fldChar w:fldCharType="separate"/>
      </w:r>
      <w:r w:rsidRPr="00BC081A">
        <w:rPr>
          <w:noProof/>
        </w:rPr>
        <w:t>Vallerand, Gauvin, and Halliwell (1986)</w:t>
      </w:r>
      <w:r w:rsidRPr="00BC081A">
        <w:fldChar w:fldCharType="end"/>
      </w:r>
      <w:r w:rsidRPr="00BC081A">
        <w:t xml:space="preserve"> have shown, participants who lose in competition, perceive their intrinsic motivation lower than their opponents who won. In fact, after losing a competition, people evaluate their performance lower than their expectation for themselves, resulting in a decrease in their perceived competence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Pr="00BC081A">
        <w:fldChar w:fldCharType="separate"/>
      </w:r>
      <w:r w:rsidR="00AC1F7D" w:rsidRPr="00AC1F7D">
        <w:rPr>
          <w:noProof/>
        </w:rPr>
        <w:t>(Tauer &amp; Harackiewicz, 1999)</w:t>
      </w:r>
      <w:r w:rsidRPr="00BC081A">
        <w:fldChar w:fldCharType="end"/>
      </w:r>
      <w:r w:rsidRPr="00BC081A">
        <w:t xml:space="preserve"> that is a requisite for being intrinsically motivated. In other words, if competition is understood as a tool to provide extrinsic reward (such as monetary rewards, deadlines, and prizes), similar to other types of extrinsic reward</w:t>
      </w:r>
      <w:r w:rsidR="00640B65">
        <w:t>s</w:t>
      </w:r>
      <w:r w:rsidRPr="00BC081A">
        <w:t xml:space="preserve"> it can have a negative effect on intrinsic motivation </w:t>
      </w:r>
      <w:r w:rsidRPr="00BC081A">
        <w:fldChar w:fldCharType="begin" w:fldLock="1"/>
      </w:r>
      <w:r w:rsidR="00AC1F7D">
        <w:instrText>ADDIN CSL_CITATION { "citationItems" : [ { "id" : "ITEM-1", "itemData" : { "ISSN" : "0033-2909", "PMID" : "10589297", "abstract" : "A meta-analysis of 128 studies examined the effects of extrinsic rewards on intrinsic motivation. As predicted, engagement-contingent, completion-contingent, and performance-contingent rewards significantly undermined free-choice intrinsic motivation (d = -0.40, -0.36, and -0.28, respectively), as did all rewards, all tangible rewards, and all expected rewards. Engagement-contingent and completion-contingent rewards also significantly undermined self-reported interest (d = -0.15, and -0.17), as did all tangible rewards and all expected rewards. Positive feedback enhanced both free-choice behavior (d = 0.33) and self-reported interest (d = 0.31). Tangible rewards tended to be more detrimental for children than college students, and verbal rewards tended to be less enhancing for children than college students. The authors review 4 previous meta-analyses of this literature and detail how this study's methods, analyses, and results differed from the previous ones.", "author" : [ { "dropping-particle" : "", "family" : "Deci", "given" : "Edward L.", "non-dropping-particle" : "", "parse-names" : false, "suffix" : "" }, { "dropping-particle" : "", "family" : "Koestner", "given" : "R", "non-dropping-particle" : "", "parse-names" : false, "suffix" : "" }, { "dropping-particle" : "", "family" : "Ryan", "given" : "Richard M.", "non-dropping-particle" : "", "parse-names" : false, "suffix" : "" } ], "container-title" : "Psychological bulletin", "id" : "ITEM-1", "issue" : "6", "issued" : { "date-parts" : [ [ "1999", "11" ] ] }, "page" : "627-68; discussion 692-700", "title" : "A meta-analytic review of experiments examining the effects of extrinsic rewards on intrinsic motivation.", "type" : "article-journal", "volume" : "125" }, "uris" : [ "http://www.mendeley.com/documents/?uuid=911a9830-6ff6-405f-8ec8-63da773359e9" ] } ], "mendeley" : { "previouslyFormattedCitation" : "(Deci, Koestner, &amp; Ryan, 1999)" }, "properties" : { "noteIndex" : 0 }, "schema" : "https://github.com/citation-style-language/schema/raw/master/csl-citation.json" }</w:instrText>
      </w:r>
      <w:r w:rsidRPr="00BC081A">
        <w:fldChar w:fldCharType="separate"/>
      </w:r>
      <w:r w:rsidRPr="00BC081A">
        <w:rPr>
          <w:noProof/>
        </w:rPr>
        <w:t>(Deci, Koestner, &amp; Ryan, 1999)</w:t>
      </w:r>
      <w:r w:rsidRPr="00BC081A">
        <w:fldChar w:fldCharType="end"/>
      </w:r>
      <w:r w:rsidRPr="00BC081A">
        <w:t xml:space="preserve">. </w:t>
      </w:r>
    </w:p>
    <w:p w14:paraId="3968B921" w14:textId="216FA49B" w:rsidR="009503F5" w:rsidRPr="00BC081A" w:rsidRDefault="009503F5" w:rsidP="009503F5">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"manualFormatting" : "Deci and Ryan (1985a)", "previouslyFormattedCitation" : "(Deci &amp; Ryan, 1985a)" }, "properties" : { "noteIndex" : 0 }, "schema" : "https://github.com/citation-style-language/schema/raw/master/csl-citation.json" }</w:instrText>
      </w:r>
      <w:r w:rsidRPr="00BC081A">
        <w:fldChar w:fldCharType="separate"/>
      </w:r>
      <w:r w:rsidRPr="00BC081A">
        <w:rPr>
          <w:noProof/>
        </w:rPr>
        <w:t>Deci and Ryan (1985a)</w:t>
      </w:r>
      <w:r w:rsidRPr="00BC081A">
        <w:fldChar w:fldCharType="end"/>
      </w:r>
      <w:r w:rsidRPr="00BC081A">
        <w:t xml:space="preserve">, based on </w:t>
      </w:r>
      <w:r w:rsidRPr="00BC081A">
        <w:fldChar w:fldCharType="begin" w:fldLock="1"/>
      </w:r>
      <w:r w:rsidR="00AC1F7D">
        <w:instrText>ADDIN CSL_CITATION { "citationItems" : [ { "id" : "ITEM-1", "itemData" : { "author" : [ { "dropping-particle" : "", "family" : "Ross", "given" : "R G", "non-dropping-particle" : "", "parse-names" : false, "suffix" : "" }, { "dropping-particle" : "", "family" : "Haag", "given" : "E", "non-dropping-particle" : "den", "parse-names" : false, "suffix" : "" } ], "id" : "ITEM-1", "issued" : { "date-parts" : [ [ "1957" ] ] }, "publisher" : "Harcourt, Brace &amp; Company", "title" : "The fabric of society", "type" : "book" }, "uris" : [ "http://www.mendeley.com/documents/?uuid=64382f15-13a1-4665-acc3-8751a5e2592f" ] } ], "mendeley" : { "manualFormatting" : "Ross and den Haag's (1957)", "previouslyFormattedCitation" : "(Ross &amp; den Haag, 1957)" }, "properties" : { "noteIndex" : 0 }, "schema" : "https://github.com/citation-style-language/schema/raw/master/csl-citation.json" }</w:instrText>
      </w:r>
      <w:r w:rsidRPr="00BC081A">
        <w:fldChar w:fldCharType="separate"/>
      </w:r>
      <w:r w:rsidRPr="00BC081A">
        <w:rPr>
          <w:noProof/>
        </w:rPr>
        <w:t>Ross and den Haag's (1957)</w:t>
      </w:r>
      <w:r w:rsidRPr="00BC081A">
        <w:fldChar w:fldCharType="end"/>
      </w:r>
      <w:r w:rsidRPr="00BC081A">
        <w:t xml:space="preserve"> work, present two different forms of competition: direct and indirect. In direct competition, individuals compete against one another, while in indirect competition the focus is on impersonal standards such as performance. The results of previous studies show that direct competition decreases intrinsic motivation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"previouslyFormattedCitation" : "(Deci &amp; Ryan, 1985a)" }, "properties" : { "noteIndex" : 0 }, "schema" : "https://github.com/citation-style-language/schema/raw/master/csl-citation.json" }</w:instrText>
      </w:r>
      <w:r w:rsidRPr="00BC081A">
        <w:fldChar w:fldCharType="separate"/>
      </w:r>
      <w:r w:rsidRPr="00BC081A">
        <w:rPr>
          <w:noProof/>
        </w:rPr>
        <w:t>(Deci &amp; Ryan, 1985a)</w:t>
      </w:r>
      <w:r w:rsidRPr="00BC081A">
        <w:fldChar w:fldCharType="end"/>
      </w:r>
      <w:r w:rsidRPr="00BC081A">
        <w:t xml:space="preserve">. Indirect competition, on the other hand, can enhance competence and consequently intrinsic motivation if the attention is diverged from winning to improving performance. When the focus is on increasing performance, people who are successful (success </w:t>
      </w:r>
      <w:r w:rsidRPr="00BC081A">
        <w:lastRenderedPageBreak/>
        <w:t xml:space="preserve">as a subjective measure in contrast to objective measure of winning/losing) in a competitive situation also show higher intrinsic motivation and enjoyment </w:t>
      </w:r>
      <w:r w:rsidRPr="00BC081A">
        <w:fldChar w:fldCharType="begin" w:fldLock="1"/>
      </w:r>
      <w:r w:rsidR="00AC1F7D">
        <w:instrText>ADDIN CSL_CITATION { "citationItems" : [ { "id" : "ITEM-1", "itemData" : { "author" : [ { "dropping-particle" : "", "family" : "McAuley", "given" : "E", "non-dropping-particle" : "", "parse-names" : false, "suffix" : "" }, { "dropping-particle" : "V", "family" : "Tammen", "given" : "V", "non-dropping-particle" : "", "parse-names" : false, "suffix" : "" } ], "container-title" : "Journal of Sport and Exercise Psychology", "id" : "ITEM-1", "issue" : "1", "issued" : { "date-parts" : [ [ "1989" ] ] }, "page" : "84-93", "title" : "The effects of subjective and objective competitive outcomes on intrinsic motivation", "type" : "article-journal", "volume" : "11" }, "uris" : [ "http://www.mendeley.com/documents/?uuid=16973e30-c4fb-4bc2-a723-c857a38ce446" ] } ], "mendeley" : { "previouslyFormattedCitation" : "(McAuley &amp; Tammen, 1989)" }, "properties" : { "noteIndex" : 0 }, "schema" : "https://github.com/citation-style-language/schema/raw/master/csl-citation.json" }</w:instrText>
      </w:r>
      <w:r w:rsidRPr="00BC081A">
        <w:fldChar w:fldCharType="separate"/>
      </w:r>
      <w:r w:rsidRPr="00BC081A">
        <w:rPr>
          <w:noProof/>
        </w:rPr>
        <w:t>(McAuley &amp; Tammen, 1989)</w:t>
      </w:r>
      <w:r w:rsidRPr="00BC081A">
        <w:fldChar w:fldCharType="end"/>
      </w:r>
      <w:r w:rsidRPr="00BC081A">
        <w:t>.</w:t>
      </w:r>
    </w:p>
    <w:p w14:paraId="0192EFBF" w14:textId="673A800C" w:rsidR="009503F5" w:rsidRPr="00BC081A" w:rsidRDefault="009503F5" w:rsidP="009503F5">
      <w:r w:rsidRPr="00BC081A">
        <w:t xml:space="preserve">Despite the negative effect of losing in competition on intrinsic motivation, the competition context in itself is a rich tool to create engagement through feedback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Pr="00BC081A">
        <w:fldChar w:fldCharType="separate"/>
      </w:r>
      <w:r w:rsidR="00AC1F7D" w:rsidRPr="00AC1F7D">
        <w:rPr>
          <w:noProof/>
        </w:rPr>
        <w:t>(Tauer &amp; Harackiewicz, 1999)</w:t>
      </w:r>
      <w:r w:rsidRPr="00BC081A">
        <w:fldChar w:fldCharType="end"/>
      </w:r>
      <w:r w:rsidRPr="00BC081A">
        <w:t xml:space="preserve">. Much of the research on </w:t>
      </w:r>
      <w:r w:rsidR="00640B65">
        <w:t xml:space="preserve">the </w:t>
      </w:r>
      <w:r w:rsidRPr="00BC081A">
        <w:t>motivational aspects of competition ha</w:t>
      </w:r>
      <w:r w:rsidR="00640B65">
        <w:t>s</w:t>
      </w:r>
      <w:r w:rsidRPr="00BC081A">
        <w:t xml:space="preserve"> focused on </w:t>
      </w:r>
      <w:r w:rsidR="00640B65">
        <w:t xml:space="preserve">the </w:t>
      </w:r>
      <w:r w:rsidRPr="00BC081A">
        <w:t xml:space="preserve">consequences of losing versus winning a competitive task. </w:t>
      </w:r>
      <w:r w:rsidR="00F067ED">
        <w:t>B</w:t>
      </w:r>
      <w:r w:rsidRPr="00BC081A">
        <w:t xml:space="preserve">ased on the three mini-theories, SDT </w:t>
      </w:r>
      <w:r w:rsidR="00F067ED">
        <w:t xml:space="preserve">explains </w:t>
      </w:r>
      <w:r w:rsidRPr="00BC081A">
        <w:t xml:space="preserve">the role of competition in creating motivation to participate in an activity </w:t>
      </w:r>
      <w:r w:rsidR="00F067ED">
        <w:t>through</w:t>
      </w:r>
      <w:r w:rsidRPr="00BC081A">
        <w:t xml:space="preserve"> three principles: (1) The focus on competition’s motivational forces should be shifted from the outcome results to the processes of competition regardless of outcomes; (2) Competition should not be seen as a pure extrinsic element; rather, it is best seen as a midpoint of motivation that is valuable in situations where intrinsic motivation does not exist by nature; and (3) Different people have different personality traits; thus, reactions of different people to competition may differ. These arguments will be depicted and the rationale for them will also be provided based on three of SDT mini-theories. These three mini-theories are Cognitive Evaluation Theory, Organismic Integration Theory, and Causality Orientation Theory. Each of these mini-theories have addressed intrinsic/extrinsic motivation, </w:t>
      </w:r>
      <w:r w:rsidR="001B1CF1" w:rsidRPr="00BC081A">
        <w:t>including within competition contexts</w:t>
      </w:r>
      <w:r w:rsidRPr="00BC081A">
        <w:t xml:space="preserve">, </w:t>
      </w:r>
      <w:r w:rsidR="001B1CF1" w:rsidRPr="00BC081A">
        <w:t>forms the basis of this research</w:t>
      </w:r>
      <w:r w:rsidRPr="00BC081A">
        <w:t xml:space="preserve">. </w:t>
      </w:r>
    </w:p>
    <w:p w14:paraId="7D04342C" w14:textId="77777777" w:rsidR="009503F5" w:rsidRPr="00BC081A" w:rsidRDefault="009503F5" w:rsidP="009503F5">
      <w:pPr>
        <w:pStyle w:val="Heading4"/>
      </w:pPr>
      <w:r w:rsidRPr="00BC081A">
        <w:t>Cognitive Evaluation Theory (CET)</w:t>
      </w:r>
    </w:p>
    <w:p w14:paraId="25526842" w14:textId="5821E701" w:rsidR="009503F5" w:rsidRPr="00BC081A" w:rsidRDefault="009503F5" w:rsidP="009503F5">
      <w:r w:rsidRPr="00BC081A">
        <w:t xml:space="preserve">The first and most important mini-theory of SDT is </w:t>
      </w:r>
      <w:r w:rsidRPr="00BC081A">
        <w:rPr>
          <w:i/>
        </w:rPr>
        <w:t>Cognitive Evaluation Theory</w:t>
      </w:r>
      <w:r w:rsidRPr="00BC081A">
        <w:t xml:space="preserve"> (CET). </w:t>
      </w:r>
      <w:proofErr w:type="spellStart"/>
      <w:r w:rsidRPr="00BC081A">
        <w:t>Deci</w:t>
      </w:r>
      <w:proofErr w:type="spellEnd"/>
      <w:r w:rsidRPr="00BC081A">
        <w:t xml:space="preserve"> and Ryan (1985a) presented CET to explain how social context can influence intrinsic motivation (positively or negatively). Based on CET, intrinsic motivation is the result of interpersonal events and structures (such as feedback and rewards) that increase the feeling of </w:t>
      </w:r>
      <w:r w:rsidRPr="00BC081A">
        <w:rPr>
          <w:i/>
        </w:rPr>
        <w:lastRenderedPageBreak/>
        <w:t>competence</w:t>
      </w:r>
      <w:r w:rsidRPr="00BC081A">
        <w:t xml:space="preserve">, accompanied by satisfaction of the need for </w:t>
      </w:r>
      <w:r w:rsidRPr="00BC081A">
        <w:rPr>
          <w:i/>
        </w:rPr>
        <w:t>autonomy</w:t>
      </w:r>
      <w:r w:rsidR="00C33149" w:rsidRPr="00C33149">
        <w:t xml:space="preserve"> </w:t>
      </w:r>
      <w:r w:rsidR="00C33149" w:rsidRPr="00BC081A">
        <w:t>during an action to create intrinsic motivation</w:t>
      </w:r>
      <w:r w:rsidRPr="00BC081A">
        <w:t xml:space="preserve"> </w:t>
      </w:r>
      <w:r w:rsidRPr="00BC081A">
        <w:fldChar w:fldCharType="begin" w:fldLock="1"/>
      </w:r>
      <w:r w:rsidR="00AC1F7D">
        <w:instrText>ADDIN CSL_CITATION { "citationItems" : [ { "id" : "ITEM-1", "itemData" : { "ISSN" : "0003-066X", "PMID" : "11392867", "abstract" : "Human beings can be proactive and engaged or, alternatively, passive and alienated, largely as a function of the social conditions in which they develop and function. Accordingly, research guided by self-determination theory has focused on the social-contextual conditions that facilitate versus forestall the natural processes of self-motivation and healthy psychological development. Specifically, factors have been examined that enhance versus undermine intrinsic motivation, self-regulation, and well-being. The findings have led to the postulate of three innate psychological needs--competence, autonomy, and relatedness--which when satisfied yield enhanced self-motivation and mental health and when thwarted lead to diminished motivation and well-being. Also considered is the significance of these psychological needs and processes within domains such as health care, education, work, sport, religion, and psychotherapy.", "author" : [ { "dropping-particle" : "", "family" : "Ryan", "given" : "Richard M.", "non-dropping-particle" : "", "parse-names" : false, "suffix" : "" }, { "dropping-particle" : "", "family" : "Deci", "given" : "Edward L.", "non-dropping-particle" : "", "parse-names" : false, "suffix" : "" } ], "container-title" : "The American psychologist", "id" : "ITEM-1", "issue" : "1", "issued" : { "date-parts" : [ [ "2000", "1" ] ] }, "page" : "68-78", "title" : "Self-determination theory and the facilitation of intrinsic motivation, social development, and well-being.", "type" : "article-journal", "volume" : "55" }, "uris" : [ "http://www.mendeley.com/documents/?uuid=058c839f-a45f-4c44-895e-ad2597a8e0e9" ] } ], "mendeley" : { "previouslyFormattedCitation" : "(Ryan &amp; Deci, 2000b)" }, "properties" : { "noteIndex" : 0 }, "schema" : "https://github.com/citation-style-language/schema/raw/master/csl-citation.json" }</w:instrText>
      </w:r>
      <w:r w:rsidRPr="00BC081A">
        <w:fldChar w:fldCharType="separate"/>
      </w:r>
      <w:r w:rsidRPr="00BC081A">
        <w:rPr>
          <w:noProof/>
        </w:rPr>
        <w:t>(Ryan &amp; Deci, 2000b)</w:t>
      </w:r>
      <w:r w:rsidRPr="00BC081A">
        <w:fldChar w:fldCharType="end"/>
      </w:r>
      <w:r w:rsidRPr="00BC081A">
        <w:t xml:space="preserve">. </w:t>
      </w:r>
    </w:p>
    <w:p w14:paraId="65767D1F" w14:textId="0D2EBA5B" w:rsidR="009503F5" w:rsidRPr="00BC081A" w:rsidRDefault="009503F5" w:rsidP="009503F5">
      <w:r w:rsidRPr="00BC081A">
        <w:t xml:space="preserve">As mentioned before, competition can be direct or indirect. Indirect competition entails two aspects for providing feedback to the competitors: “Informational” and “Controlling”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"previouslyFormattedCitation" : "(Deci &amp; Ryan, 1985a)" }, "properties" : { "noteIndex" : 0 }, "schema" : "https://github.com/citation-style-language/schema/raw/master/csl-citation.json" }</w:instrText>
      </w:r>
      <w:r w:rsidRPr="00BC081A">
        <w:fldChar w:fldCharType="separate"/>
      </w:r>
      <w:r w:rsidRPr="00BC081A">
        <w:rPr>
          <w:noProof/>
        </w:rPr>
        <w:t>(Deci &amp; Ryan, 1985a)</w:t>
      </w:r>
      <w:r w:rsidRPr="00BC081A">
        <w:fldChar w:fldCharType="end"/>
      </w:r>
      <w:r w:rsidRPr="00BC081A">
        <w:t xml:space="preserve">. The Controlling aspect is dominant when competitors put all their effort into winning or feel pressure to beat a standard. This Controlling aspect is similar to other extrinsic reward systems, which decrease intrinsic motivation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"Betley", "given" : "G", "non-dropping-particle" : "", "parse-names" : false, "suffix" : "" }, { "dropping-particle" : "", "family" : "Kahle", "given" : "J", "non-dropping-particle" : "", "parse-names" : false, "suffix" : "" }, { "dropping-particle" : "", "family" : "Abrams", "given" : "L", "non-dropping-particle" : "", "parse-names" : false, "suffix" : "" }, { "dropping-particle" : "", "family" : "Porac", "given" : "J", "non-dropping-particle" : "", "parse-names" : false, "suffix" : "" } ], "container-title" : "Personality and Social Psychology Bulletin", "id" : "ITEM-1", "issue" : "1", "issued" : { "date-parts" : [ [ "1981" ] ] }, "page" : "79-83", "publisher" : "Sage Publications", "title" : "When Trying To Win: Competition and Intrinsic Motivation", "type" : "article-journal", "volume" : "7" }, "uris" : [ "http://www.mendeley.com/documents/?uuid=5c042cea-ca9c-442a-8e70-65042859e356" ] } ], "mendeley" : { "previouslyFormattedCitation" : "(Deci et al., 1981)" }, "properties" : { "noteIndex" : 0 }, "schema" : "https://github.com/citation-style-language/schema/raw/master/csl-citation.json" }</w:instrText>
      </w:r>
      <w:r w:rsidRPr="00BC081A">
        <w:fldChar w:fldCharType="separate"/>
      </w:r>
      <w:r w:rsidRPr="00BC081A">
        <w:rPr>
          <w:noProof/>
        </w:rPr>
        <w:t>(Deci et al., 1981)</w:t>
      </w:r>
      <w:r w:rsidRPr="00BC081A">
        <w:fldChar w:fldCharType="end"/>
      </w:r>
      <w:r w:rsidRPr="00BC081A">
        <w:t>. On the other hand, the Informational aspect helps a person to increase his</w:t>
      </w:r>
      <w:r w:rsidR="00225CBB">
        <w:t>/her</w:t>
      </w:r>
      <w:r w:rsidRPr="00BC081A">
        <w:t xml:space="preserve"> competence in the task he/she is competing in through mechanisms such as feedback. Through competition, one is able to assess their performance and build competence. As </w:t>
      </w:r>
      <w:r w:rsidRPr="00BC081A">
        <w:fldChar w:fldCharType="begin" w:fldLock="1"/>
      </w:r>
      <w:r w:rsidR="00AC1F7D">
        <w:instrText>ADDIN CSL_CITATION { "citationItems" : [ { "id" : "ITEM-1", "itemData" : { "author" : [ { "dropping-particle" : "", "family" : "Vallerand", "given" : "Robert J.", "non-dropping-particle" : "", "parse-names" : false, "suffix" : "" }, { "dropping-particle" : "", "family" : "Gauvin", "given" : "Lise I", "non-dropping-particle" : "", "parse-names" : false, "suffix" : "" }, { "dropping-particle" : "", "family" : "Halliwell", "given" : "Wayne R", "non-dropping-particle" : "", "parse-names" : false, "suffix" : "" } ], "container-title" : "The Journal of social psychology", "id" : "ITEM-1", "issue" : "4", "issued" : { "date-parts" : [ [ "1986" ] ] }, "page" : "465-472", "publisher" : "Taylor &amp; Francis", "title" : "Effects of zero-sum competition on children's intrinsic motivation and perceived competence", "type" : "article-journal", "volume" : "126" }, "uris" : [ "http://www.mendeley.com/documents/?uuid=bd849fa8-4144-4cf5-93a3-8faa0c714d27" ] } ], "mendeley" : { "manualFormatting" : "Vallerand, Gauvin, et al. (1986)", "previouslyFormattedCitation" : "(Vallerand et al., 1986a)" }, "properties" : { "noteIndex" : 0 }, "schema" : "https://github.com/citation-style-language/schema/raw/master/csl-citation.json" }</w:instrText>
      </w:r>
      <w:r w:rsidRPr="00BC081A">
        <w:fldChar w:fldCharType="separate"/>
      </w:r>
      <w:r w:rsidRPr="00BC081A">
        <w:rPr>
          <w:noProof/>
        </w:rPr>
        <w:t>Vallerand, Gauvin, et al. (1986)</w:t>
      </w:r>
      <w:r w:rsidRPr="00BC081A">
        <w:fldChar w:fldCharType="end"/>
      </w:r>
      <w:r w:rsidRPr="00BC081A">
        <w:t xml:space="preserve"> explain, “competition constitutes a social event that can provide the individual with competence/incompetence information because social comparison processes are very prominent” (p. 467). </w:t>
      </w:r>
    </w:p>
    <w:p w14:paraId="0DAB039A" w14:textId="197C8CF0" w:rsidR="009503F5" w:rsidRPr="00BC081A" w:rsidRDefault="009503F5" w:rsidP="009503F5">
      <w:r w:rsidRPr="00BC081A">
        <w:fldChar w:fldCharType="begin" w:fldLock="1"/>
      </w:r>
      <w:r w:rsidR="00AC1F7D">
        <w:instrText>ADDIN CSL_CITATION { "citationItems" : [ { "id" : "ITEM-1", "itemData" : { "DOI" : "10.1177/0146167296221003", "ISSN" : "0146-1672", "author" : [ { "dropping-particle" : "", "family" : "Reeve", "given" : "Johnmarshall", "non-dropping-particle" : "", "parse-names" : false, "suffix" : "" }, { "dropping-particle" : "", "family" : "Deci", "given" : "Edward L.", "non-dropping-particle" : "", "parse-names" : false, "suffix" : "" } ], "container-title" : "Personality and Social Psychology Bulletin", "id" : "ITEM-1", "issue" : "1", "issued" : { "date-parts" : [ [ "1996", "1", "1" ] ] }, "page" : "24-33", "title" : "Elements of the Competitive Situation that Affect Intrinsic Motivation", "type" : "article-journal", "volume" : "22" }, "uris" : [ "http://www.mendeley.com/documents/?uuid=2f4140eb-3fc8-4b42-9582-32621b3b302b" ] } ], "mendeley" : { "manualFormatting" : "Reeve and Deci (1996)", "previouslyFormattedCitation" : "(Reeve &amp; Deci, 1996)" }, "properties" : { "noteIndex" : 0 }, "schema" : "https://github.com/citation-style-language/schema/raw/master/csl-citation.json" }</w:instrText>
      </w:r>
      <w:r w:rsidRPr="00BC081A">
        <w:fldChar w:fldCharType="separate"/>
      </w:r>
      <w:r w:rsidRPr="00BC081A">
        <w:rPr>
          <w:noProof/>
        </w:rPr>
        <w:t>Reeve and Deci (1996)</w:t>
      </w:r>
      <w:r w:rsidRPr="00BC081A">
        <w:fldChar w:fldCharType="end"/>
      </w:r>
      <w:r w:rsidRPr="00BC081A">
        <w:t xml:space="preserve"> further clarify how external events affect motivation: “External events influence perceived competence via their informational aspect and influence perceived self-determination via their controlling aspect” (p. 24). An “Informational aspect” can have positive or negative influence, having positive effect </w:t>
      </w:r>
      <w:r w:rsidR="00225CBB" w:rsidRPr="00BC081A">
        <w:t>increas</w:t>
      </w:r>
      <w:r w:rsidR="00225CBB">
        <w:t>es the</w:t>
      </w:r>
      <w:r w:rsidR="00225CBB" w:rsidRPr="00BC081A">
        <w:t xml:space="preserve"> </w:t>
      </w:r>
      <w:r w:rsidRPr="00BC081A">
        <w:t xml:space="preserve">competence while negative affect decreases the competence of </w:t>
      </w:r>
      <w:r w:rsidR="00D6535A" w:rsidRPr="00BC081A">
        <w:t>individuals</w:t>
      </w:r>
      <w:r w:rsidRPr="00BC081A">
        <w:t xml:space="preserve">. Therefore, in a competitive environment that supports autonomy of competitors by prohibiting controlling situations, informational feedback can impact intrinsic motivation positively. Moreover, social context of competition is claimed to be motivating by having influence on perception of autonomy and competence of players </w:t>
      </w:r>
      <w:r w:rsidRPr="00BC081A">
        <w:fldChar w:fldCharType="begin" w:fldLock="1"/>
      </w:r>
      <w:r w:rsidR="00AC1F7D">
        <w:instrText>ADDIN CSL_CITATION { "citationItems" : [ { "id" : "ITEM-1", "itemData" : { "author" : [ { "dropping-particle" : "", "family" : "Vallerand", "given" : "Robert J.", "non-dropping-particle" : "", "parse-names" : false, "suffix" : "" }, { "dropping-particle" : "", "family" : "Losier", "given" : "G F", "non-dropping-particle" : "", "parse-names" : false, "suffix" : "" } ], "container-title" : "Journal of applied sport psychology", "id" : "ITEM-1", "issue" : "1", "issued" : { "date-parts" : [ [ "1999" ] ] }, "page" : "142-169", "publisher" : "Taylor &amp; Francis", "title" : "An integrative analysis of intrinsic and extrinsic motivation in sport", "type" : "article-journal", "volume" : "11" }, "uris" : [ "http://www.mendeley.com/documents/?uuid=6bf4793c-6d41-4d59-aace-4a23fca9f398" ] } ], "mendeley" : { "previouslyFormattedCitation" : "(Vallerand &amp; Losier, 1999)" }, "properties" : { "noteIndex" : 0 }, "schema" : "https://github.com/citation-style-language/schema/raw/master/csl-citation.json" }</w:instrText>
      </w:r>
      <w:r w:rsidRPr="00BC081A">
        <w:fldChar w:fldCharType="separate"/>
      </w:r>
      <w:r w:rsidRPr="00BC081A">
        <w:rPr>
          <w:noProof/>
        </w:rPr>
        <w:t>(Vallerand &amp; Losier, 1999)</w:t>
      </w:r>
      <w:r w:rsidRPr="00BC081A">
        <w:fldChar w:fldCharType="end"/>
      </w:r>
      <w:r w:rsidRPr="00BC081A">
        <w:t>.</w:t>
      </w:r>
    </w:p>
    <w:p w14:paraId="1DEF594C" w14:textId="08C0D912" w:rsidR="009D679C" w:rsidRDefault="009503F5" w:rsidP="009D679C">
      <w:r w:rsidRPr="00BC081A">
        <w:lastRenderedPageBreak/>
        <w:t xml:space="preserve">In video games, non-controlling instructions and giving more options in a competitive situation is one approach to enhance informational feedback “and, in turn, intrinsic motivation” </w:t>
      </w:r>
      <w:r w:rsidRPr="00BC081A">
        <w:fldChar w:fldCharType="begin" w:fldLock="1"/>
      </w:r>
      <w:r w:rsidR="00AC1F7D">
        <w:instrText>ADDIN CSL_CITATION { "citationItems" : [ { "id" : "ITEM-1", "itemData" : { "DOI" : "10.1007/s11031-006-9051-8", "ISSN" : "0146-7239", "author" : [ { "dropping-particle" : "", "family" : "Ryan", "given" : "Richard M.", "non-dropping-particle" : "", "parse-names" : false, "suffix" : "" }, { "dropping-particle" : "", "family" : "Rigby", "given" : "C. Scott", "non-dropping-particle" : "", "parse-names" : false, "suffix" : "" }, { "dropping-particle" : "", "family" : "Przybylski", "given" : "Andrew", "non-dropping-particle" : "", "parse-names" : false, "suffix" : "" } ], "container-title" : "Motivation and Emotion", "id" : "ITEM-1", "issue" : "4", "issued" : { "date-parts" : [ [ "2006", "11", "29" ] ] }, "page" : "344-360", "title" : "The Motivational Pull of Video Games: A Self-Determination Theory Approach", "type" : "article-journal", "volume" : "30" }, "uris" : [ "http://www.mendeley.com/documents/?uuid=2a77a0dc-82e5-4408-94bc-30e1b6ddfd1c" ] } ], "mendeley" : { "previouslyFormattedCitation" : "(Ryan, Rigby, &amp; Przybylski, 2006)" }, "properties" : { "noteIndex" : 0 }, "schema" : "https://github.com/citation-style-language/schema/raw/master/csl-citation.json" }</w:instrText>
      </w:r>
      <w:r w:rsidRPr="00BC081A">
        <w:fldChar w:fldCharType="separate"/>
      </w:r>
      <w:r w:rsidRPr="00BC081A">
        <w:rPr>
          <w:noProof/>
        </w:rPr>
        <w:t>(Ryan, Rigby, &amp; Przybylski, 2006)</w:t>
      </w:r>
      <w:r w:rsidRPr="00BC081A">
        <w:fldChar w:fldCharType="end"/>
      </w:r>
      <w:r w:rsidRPr="00BC081A">
        <w:t xml:space="preserve">. Traditionally, the video gaming industry has been very successful </w:t>
      </w:r>
      <w:r w:rsidR="00914E39">
        <w:t>at</w:t>
      </w:r>
      <w:r w:rsidR="00914E39" w:rsidRPr="00BC081A">
        <w:t xml:space="preserve"> </w:t>
      </w:r>
      <w:r w:rsidRPr="00BC081A">
        <w:t xml:space="preserve">providing a medium for </w:t>
      </w:r>
      <w:proofErr w:type="spellStart"/>
      <w:r w:rsidR="00547B98">
        <w:t>gameplay</w:t>
      </w:r>
      <w:r w:rsidRPr="00BC081A">
        <w:t>ers</w:t>
      </w:r>
      <w:proofErr w:type="spellEnd"/>
      <w:r w:rsidRPr="00BC081A">
        <w:t xml:space="preserve"> in which they can satisfy their basic psychological needs. Clear goal structure and scoring systems have always been the main elements of video games, enabling gamers to evaluate and improve their competence. Recently, video games have become more flexible in their goal structures and </w:t>
      </w:r>
      <w:r w:rsidR="008535A7">
        <w:t xml:space="preserve">have </w:t>
      </w:r>
      <w:r w:rsidRPr="00BC081A">
        <w:t>implemented more open</w:t>
      </w:r>
      <w:r w:rsidR="008535A7">
        <w:t xml:space="preserve"> and less structured playing environments</w:t>
      </w:r>
      <w:r w:rsidRPr="00BC081A">
        <w:t xml:space="preserve"> </w:t>
      </w:r>
      <w:r w:rsidRPr="00BC081A">
        <w:fldChar w:fldCharType="begin" w:fldLock="1"/>
      </w:r>
      <w:r w:rsidR="00AC1F7D">
        <w:instrText>ADDIN CSL_CITATION { "citationItems" : [ { "id" : "ITEM-1", "itemData" : { "DOI" : "10.1037/a0019440", "ISSN" : "1939-1552", "author" : [ { "dropping-particle" : "", "family" : "Przybylski", "given" : "Andrew K.", "non-dropping-particle" : "", "parse-names" : false, "suffix" : "" }, { "dropping-particle" : "", "family" : "Rigby", "given" : "C. Scott", "non-dropping-particle" : "", "parse-names" : false, "suffix" : "" }, { "dropping-particle" : "", "family" : "Ryan", "given" : "Richard M.", "non-dropping-particle" : "", "parse-names" : false, "suffix" : "" } ], "container-title" : "Review of General Psychology", "id" : "ITEM-1", "issue" : "2", "issued" : { "date-parts" : [ [ "2010" ] ] }, "page" : "154-166", "title" : "A motivational model of video game engagement.", "type" : "article-journal", "volume" : "14" }, "uris" : [ "http://www.mendeley.com/documents/?uuid=a401c4f8-a2df-461c-86e6-bd805605d397" ] } ], "mendeley" : { "previouslyFormattedCitation" : "(Przybylski, Rigby, &amp; Ryan, 2010)" }, "properties" : { "noteIndex" : 0 }, "schema" : "https://github.com/citation-style-language/schema/raw/master/csl-citation.json" }</w:instrText>
      </w:r>
      <w:r w:rsidRPr="00BC081A">
        <w:fldChar w:fldCharType="separate"/>
      </w:r>
      <w:r w:rsidRPr="00BC081A">
        <w:rPr>
          <w:noProof/>
        </w:rPr>
        <w:t>(Przybylski, Rigby, &amp; Ryan, 2010)</w:t>
      </w:r>
      <w:r w:rsidRPr="00BC081A">
        <w:fldChar w:fldCharType="end"/>
      </w:r>
      <w:r w:rsidRPr="00BC081A">
        <w:t xml:space="preserve">. This change has created a gaming environment that supports autonomy of the users more than the classic styles of video games. In more recent years, video games have also improved their support of relatedness need among the gamers by expanding their territory to online virtual worlds (such as in games like World Of </w:t>
      </w:r>
      <w:proofErr w:type="spellStart"/>
      <w:r w:rsidRPr="00BC081A">
        <w:t>Warcraft</w:t>
      </w:r>
      <w:proofErr w:type="spellEnd"/>
      <w:r w:rsidRPr="00BC081A">
        <w:t xml:space="preserve">). However, one can </w:t>
      </w:r>
      <w:r w:rsidR="000D65D7">
        <w:t xml:space="preserve">still </w:t>
      </w:r>
      <w:r w:rsidRPr="00BC081A">
        <w:t xml:space="preserve">observe the main element that stays dominant and maintains the attractiveness of video games is their simple scoring and goal structure, being a perfect example of an approach of competence enhancement. Competition has always been one of the main reasons that people play video games, which permits the players to compare their performance and evaluate their competence in gameplay </w:t>
      </w:r>
      <w:r w:rsidRPr="00BC081A">
        <w:fldChar w:fldCharType="begin" w:fldLock="1"/>
      </w:r>
      <w:r w:rsidR="00AC1F7D">
        <w:instrText>ADDIN CSL_CITATION { "citationItems" : [ { "id" : "ITEM-1", "itemData" : { "author" : [ { "dropping-particle" : "", "family" : "Sherry", "given" : "J L", "non-dropping-particle" : "", "parse-names" : false, "suffix" : "" }, { "dropping-particle" : "", "family" : "Lucas", "given" : "K", "non-dropping-particle" : "", "parse-names" : false, "suffix" : "" }, { "dropping-particle" : "", "family" : "Greenberg", "given" : "B S", "non-dropping-particle" : "", "parse-names" : false, "suffix" : "" }, { "dropping-particle" : "", "family" : "Lachlan", "given" : "K", "non-dropping-particle" : "", "parse-names" : false, "suffix" : "" } ], "container-title" : "Playing video games: Motives, responses, and consequences", "id" : "ITEM-1", "issued" : { "date-parts" : [ [ "2006" ] ] }, "page" : "213-224", "publisher" : "Erlbaum. Mahwah, NJ", "title" : "Video game uses and gratifications as predictors of use and game preference", "type" : "article-journal" }, "uris" : [ "http://www.mendeley.com/documents/?uuid=69d2d897-fe99-4298-9f9d-faf865defd4d" ] } ], "mendeley" : { "previouslyFormattedCitation" : "(Sherry, Lucas, Greenberg, &amp; Lachlan, 2006)" }, "properties" : { "noteIndex" : 0 }, "schema" : "https://github.com/citation-style-language/schema/raw/master/csl-citation.json" }</w:instrText>
      </w:r>
      <w:r w:rsidRPr="00BC081A">
        <w:fldChar w:fldCharType="separate"/>
      </w:r>
      <w:r w:rsidRPr="00BC081A">
        <w:rPr>
          <w:noProof/>
        </w:rPr>
        <w:t>(Sherry, Lucas, Greenberg, &amp; Lachlan, 2006)</w:t>
      </w:r>
      <w:r w:rsidRPr="00BC081A">
        <w:fldChar w:fldCharType="end"/>
      </w:r>
      <w:r w:rsidRPr="00BC081A">
        <w:t>.</w:t>
      </w:r>
      <w:r w:rsidR="009D679C">
        <w:t xml:space="preserve"> </w:t>
      </w:r>
      <w:r w:rsidRPr="00BC081A">
        <w:t xml:space="preserve">In sum, based on CET, competitive environments can be a factor for increasing motivation among players. Given that a video game avoids controlling elements and justifies autonomy of </w:t>
      </w:r>
      <w:proofErr w:type="spellStart"/>
      <w:r w:rsidR="00547B98">
        <w:t>gameplay</w:t>
      </w:r>
      <w:r w:rsidRPr="00BC081A">
        <w:t>ers</w:t>
      </w:r>
      <w:proofErr w:type="spellEnd"/>
      <w:r w:rsidRPr="00BC081A">
        <w:t xml:space="preserve">, it can use informational feedback to increase competence. </w:t>
      </w:r>
    </w:p>
    <w:p w14:paraId="5FAD0E86" w14:textId="77777777" w:rsidR="009503F5" w:rsidRPr="00BC081A" w:rsidRDefault="009503F5" w:rsidP="009503F5">
      <w:pPr>
        <w:pStyle w:val="Heading4"/>
      </w:pPr>
      <w:r w:rsidRPr="00BC081A">
        <w:t>Organismic Integration Theory (OIT):</w:t>
      </w:r>
    </w:p>
    <w:p w14:paraId="0D13025A" w14:textId="3505663D" w:rsidR="009503F5" w:rsidRPr="00BC081A" w:rsidRDefault="009503F5" w:rsidP="009503F5">
      <w:r w:rsidRPr="00BC081A">
        <w:t xml:space="preserve">The second mini-theory introduced in SDT is Organismic Integration Theory (OIT), which elaborates the concept of extrinsic motivation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"previouslyFormattedCitation" : "(Deci &amp; Ryan, 1985a)" }, "properties" : { "noteIndex" : 0 }, "schema" : "https://github.com/citation-style-language/schema/raw/master/csl-citation.json" }</w:instrText>
      </w:r>
      <w:r w:rsidRPr="00BC081A">
        <w:fldChar w:fldCharType="separate"/>
      </w:r>
      <w:r w:rsidRPr="00BC081A">
        <w:rPr>
          <w:noProof/>
        </w:rPr>
        <w:t>(Deci &amp; Ryan, 1985a)</w:t>
      </w:r>
      <w:r w:rsidRPr="00BC081A">
        <w:fldChar w:fldCharType="end"/>
      </w:r>
      <w:r w:rsidRPr="00BC081A">
        <w:t xml:space="preserve">. Based on OIT, </w:t>
      </w:r>
      <w:r w:rsidRPr="00BC081A">
        <w:lastRenderedPageBreak/>
        <w:t>extrinsic motivation takes distinct forms based on the locus of causality of tasks and how much peop</w:t>
      </w:r>
      <w:r w:rsidR="00B62898">
        <w:t>le internalize and integrate the motivation</w:t>
      </w:r>
      <w:r w:rsidRPr="00BC081A">
        <w:t xml:space="preserve"> of a task. These extrinsic motivation types shape a continuum, ranging from pure extrinsic to pure intrinsic motivations as shown in </w:t>
      </w:r>
      <w:r w:rsidRPr="00BC081A">
        <w:fldChar w:fldCharType="begin"/>
      </w:r>
      <w:r w:rsidRPr="00BC081A">
        <w:instrText xml:space="preserve"> REF _Ref195883879 \h </w:instrText>
      </w:r>
      <w:r w:rsidRPr="00BC081A">
        <w:fldChar w:fldCharType="separate"/>
      </w:r>
      <w:r w:rsidR="008C71FB" w:rsidRPr="00BC081A">
        <w:t xml:space="preserve">Figure </w:t>
      </w:r>
      <w:r w:rsidR="008C71FB">
        <w:rPr>
          <w:noProof/>
        </w:rPr>
        <w:t>6</w:t>
      </w:r>
      <w:r w:rsidRPr="00BC081A">
        <w:fldChar w:fldCharType="end"/>
      </w:r>
      <w:r w:rsidRPr="00BC081A">
        <w:t xml:space="preserve">. On the left side of the continuum is the lack of motivation, which results in </w:t>
      </w:r>
      <w:r w:rsidRPr="00BC081A">
        <w:rPr>
          <w:i/>
        </w:rPr>
        <w:t>Amotivation</w:t>
      </w:r>
      <w:r w:rsidRPr="00BC081A">
        <w:t xml:space="preserve"> of a person who does not care about the task. On the right side of this continuum, the traditional form of intrinsic motivation is depicted, in which behaviour is merely due to complete innate enjoyment of the self. </w:t>
      </w:r>
      <w:r w:rsidRPr="00BC081A">
        <w:rPr>
          <w:i/>
        </w:rPr>
        <w:t>Externally Regulated</w:t>
      </w:r>
      <w:r w:rsidRPr="00BC081A">
        <w:t xml:space="preserve"> motivation can be seen in tasks that are fuelled by external rewards and controlled by an outside factor. This state relates to the classic extrinsic motivation that has been previously discussed. </w:t>
      </w:r>
    </w:p>
    <w:p w14:paraId="2D4DEEBE" w14:textId="4BACF238" w:rsidR="009503F5" w:rsidRDefault="009503F5" w:rsidP="009503F5">
      <w:r w:rsidRPr="00BC081A">
        <w:t xml:space="preserve">Rather than having a binary view of extrinsic and intrinsic motivation, OIT differentiates between various forms of extrinsic motivation based on the approach to </w:t>
      </w:r>
      <w:r w:rsidRPr="00BC081A">
        <w:rPr>
          <w:i/>
        </w:rPr>
        <w:t>internalization</w:t>
      </w:r>
      <w:r w:rsidRPr="00BC081A">
        <w:t xml:space="preserve"> and integration of the extrinsic motivation. This phenomenon attributes to the fact that </w:t>
      </w:r>
      <w:r w:rsidR="0043002A">
        <w:t xml:space="preserve">often </w:t>
      </w:r>
      <w:r w:rsidRPr="00BC081A">
        <w:t xml:space="preserve">for an individual the source of motivation is not </w:t>
      </w:r>
      <w:r w:rsidR="0043002A" w:rsidRPr="00BC081A">
        <w:t>entirely</w:t>
      </w:r>
      <w:r w:rsidR="0043002A">
        <w:t xml:space="preserve"> extrinsic</w:t>
      </w:r>
      <w:r w:rsidRPr="00BC081A">
        <w:t>. Instead, people tend to receive a value or regulation and transform it into their own in a way that the source of value or regulation is no longer external, but rather internal to some extent. This process is referred to as internalization and integration.</w:t>
      </w:r>
    </w:p>
    <w:p w14:paraId="1992C8E4" w14:textId="77777777" w:rsidR="009C7EEE" w:rsidRPr="00BC081A" w:rsidRDefault="009C7EEE" w:rsidP="009C7EEE">
      <w:r w:rsidRPr="00BC081A">
        <w:t xml:space="preserve">The second form of extrinsic motivation, </w:t>
      </w:r>
      <w:r w:rsidRPr="00BC081A">
        <w:rPr>
          <w:i/>
        </w:rPr>
        <w:t>Introjected Regulation</w:t>
      </w:r>
      <w:r w:rsidRPr="00BC081A">
        <w:t>, is the first form of extrinsic motivation that addresses the internalization of an external factor. In this internalization process, people</w:t>
      </w:r>
      <w:r>
        <w:t xml:space="preserve"> expect t</w:t>
      </w:r>
      <w:r w:rsidRPr="00BC081A">
        <w:t xml:space="preserve">he motivation element to be initiated by </w:t>
      </w:r>
      <w:proofErr w:type="gramStart"/>
      <w:r w:rsidRPr="00BC081A">
        <w:t>themselves</w:t>
      </w:r>
      <w:proofErr w:type="gramEnd"/>
      <w:r w:rsidRPr="00BC081A">
        <w:t xml:space="preserve">, but not completely. As a result of this controlled situation, one participates in the act “to avoid guilt or anxiety or to attain ego enhancements such as pride” </w:t>
      </w:r>
      <w:r w:rsidRPr="00BC081A">
        <w:fldChar w:fldCharType="begin" w:fldLock="1"/>
      </w:r>
      <w:r>
        <w:instrText>ADDIN CSL_CITATION { "citationItems" : [ { "id" : "ITEM-1", "itemData" : { "ISSN" : "0003-066X", "PMID" : "11392867", "abstract" : "Human beings can be proactive and engaged or, alternatively, passive and alienated, largely as a function of the social conditions in which they develop and function. Accordingly, research guided by self-determination theory has focused on the social-contextual conditions that facilitate versus forestall the natural processes of self-motivation and healthy psychological development. Specifically, factors have been examined that enhance versus undermine intrinsic motivation, self-regulation, and well-being. The findings have led to the postulate of three innate psychological needs--competence, autonomy, and relatedness--which when satisfied yield enhanced self-motivation and mental health and when thwarted lead to diminished motivation and well-being. Also considered is the significance of these psychological needs and processes within domains such as health care, education, work, sport, religion, and psychotherapy.", "author" : [ { "dropping-particle" : "", "family" : "Ryan", "given" : "Richard M.", "non-dropping-particle" : "", "parse-names" : false, "suffix" : "" }, { "dropping-particle" : "", "family" : "Deci", "given" : "Edward L.", "non-dropping-particle" : "", "parse-names" : false, "suffix" : "" } ], "container-title" : "The American psychologist", "id" : "ITEM-1", "issue" : "1", "issued" : { "date-parts" : [ [ "2000", "1" ] ] }, "page" : "68-78", "title" : "Self-determination theory and the facilitation of intrinsic motivation, social development, and well-being.", "type" : "article-journal", "volume" : "55" }, "uris" : [ "http://www.mendeley.com/documents/?uuid=058c839f-a45f-4c44-895e-ad2597a8e0e9" ] } ], "mendeley" : { "manualFormatting" : "(Ryan &amp; Deci, 2000b, p. 62)", "previouslyFormattedCitation" : "(Ryan &amp; Deci, 2000b)" }, "properties" : { "noteIndex" : 0 }, "schema" : "https://github.com/citation-style-language/schema/raw/master/csl-citation.json" }</w:instrText>
      </w:r>
      <w:r w:rsidRPr="00BC081A">
        <w:fldChar w:fldCharType="separate"/>
      </w:r>
      <w:r w:rsidRPr="00BC081A">
        <w:rPr>
          <w:noProof/>
        </w:rPr>
        <w:t>(Ryan &amp; Deci, 2000b, p. 62)</w:t>
      </w:r>
      <w:r w:rsidRPr="00BC081A">
        <w:fldChar w:fldCharType="end"/>
      </w:r>
      <w:r w:rsidRPr="00BC081A">
        <w:t xml:space="preserve">. The next form of extrinsic motivation, </w:t>
      </w:r>
      <w:r w:rsidRPr="00BC081A">
        <w:rPr>
          <w:i/>
        </w:rPr>
        <w:t>Identified Regulation</w:t>
      </w:r>
      <w:r w:rsidRPr="00BC081A">
        <w:t xml:space="preserve"> is another form of motivation where the source is more internalized for the actor. In this state, people personally value the factor of motivation and feel </w:t>
      </w:r>
      <w:r w:rsidRPr="00BC081A">
        <w:lastRenderedPageBreak/>
        <w:t xml:space="preserve">autonomous in the task. At one end of the spectrum of extrinsic motivations, </w:t>
      </w:r>
      <w:r w:rsidRPr="00BC081A">
        <w:rPr>
          <w:i/>
        </w:rPr>
        <w:t>Integrated Regulation</w:t>
      </w:r>
      <w:r w:rsidRPr="00BC081A">
        <w:t xml:space="preserve"> represents the most consciously self-regulated/self-determined type of motivation that is very similar to pure intrinsic motivation, but has an external motivating element. </w:t>
      </w:r>
    </w:p>
    <w:p w14:paraId="74CDE338" w14:textId="77777777" w:rsidR="009C7EEE" w:rsidRPr="00BC081A" w:rsidRDefault="009C7EEE" w:rsidP="009C7EEE">
      <w:pPr>
        <w:ind w:firstLine="0"/>
      </w:pPr>
    </w:p>
    <w:p w14:paraId="21CCC3C5" w14:textId="77777777" w:rsidR="009503F5" w:rsidRPr="00BC081A" w:rsidRDefault="009503F5" w:rsidP="009503F5">
      <w:pPr>
        <w:keepNext/>
        <w:ind w:firstLine="0"/>
      </w:pPr>
      <w:r w:rsidRPr="00BC081A">
        <w:rPr>
          <w:noProof/>
          <w:lang w:val="en-US"/>
        </w:rPr>
        <w:drawing>
          <wp:inline distT="0" distB="0" distL="0" distR="0" wp14:anchorId="41BADE19" wp14:editId="4A7EA0A6">
            <wp:extent cx="5943600" cy="1570990"/>
            <wp:effectExtent l="0" t="0" r="0" b="3810"/>
            <wp:docPr id="17" name="Picture 17" descr="Macintosh HD:Users:SepSep:Desktop:Screen Shot 2012-04-12 at 8.5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pSep:Desktop:Screen Shot 2012-04-12 at 8.59.0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64" cy="1571324"/>
                    </a:xfrm>
                    <a:prstGeom prst="rect">
                      <a:avLst/>
                    </a:prstGeom>
                    <a:noFill/>
                    <a:ln>
                      <a:noFill/>
                    </a:ln>
                  </pic:spPr>
                </pic:pic>
              </a:graphicData>
            </a:graphic>
          </wp:inline>
        </w:drawing>
      </w:r>
    </w:p>
    <w:p w14:paraId="477F20C0" w14:textId="77777777" w:rsidR="009503F5" w:rsidRPr="00BC081A" w:rsidRDefault="009503F5" w:rsidP="00C92D78">
      <w:pPr>
        <w:pStyle w:val="Caption"/>
      </w:pPr>
      <w:bookmarkStart w:id="42" w:name="_Ref195883879"/>
      <w:bookmarkStart w:id="43" w:name="_Toc278912296"/>
      <w:r w:rsidRPr="00BC081A">
        <w:t xml:space="preserve">Figure </w:t>
      </w:r>
      <w:r w:rsidR="007804FF">
        <w:fldChar w:fldCharType="begin"/>
      </w:r>
      <w:r w:rsidR="007804FF">
        <w:instrText xml:space="preserve"> SEQ Figure \* ARABIC </w:instrText>
      </w:r>
      <w:r w:rsidR="007804FF">
        <w:fldChar w:fldCharType="separate"/>
      </w:r>
      <w:r w:rsidR="008C71FB">
        <w:rPr>
          <w:noProof/>
        </w:rPr>
        <w:t>6</w:t>
      </w:r>
      <w:r w:rsidR="007804FF">
        <w:rPr>
          <w:noProof/>
        </w:rPr>
        <w:fldChar w:fldCharType="end"/>
      </w:r>
      <w:bookmarkEnd w:id="42"/>
      <w:r w:rsidRPr="00BC081A">
        <w:t xml:space="preserve"> - The self-determination continuum (source: Ryan &amp; </w:t>
      </w:r>
      <w:proofErr w:type="spellStart"/>
      <w:r w:rsidRPr="00BC081A">
        <w:t>Deci</w:t>
      </w:r>
      <w:proofErr w:type="spellEnd"/>
      <w:r w:rsidRPr="00BC081A">
        <w:t>, 2000)</w:t>
      </w:r>
      <w:bookmarkEnd w:id="43"/>
    </w:p>
    <w:p w14:paraId="05FB8222" w14:textId="26FFF77B" w:rsidR="009503F5" w:rsidRPr="00BC081A" w:rsidRDefault="00340B50" w:rsidP="009503F5">
      <w:pPr>
        <w:rPr>
          <w:highlight w:val="red"/>
        </w:rPr>
      </w:pPr>
      <w:r w:rsidRPr="00BC081A">
        <w:t>I</w:t>
      </w:r>
      <w:r w:rsidR="009503F5" w:rsidRPr="00BC081A">
        <w:t xml:space="preserve">ntrinsic motivation in the purest form is more desirable compared to any of the extrinsic motivation types. However, in the middle of the continuum, there are other types of extrinsic motivation that can be appropriate in situations of low intrinsic interest. There are situations that an individual lacks intrinsic motivation in an activity – e.g. when goal is to have all the students in the class to pay attention to a subject. In these cases, creating other forms of extrinsic motivation that are closer to intrinsic motivation on the spectrum of extrinsic motivation (i.e. Identified Regulation, Integration Regulation, or Introjected Regulation) could be beneficial for engaging people in the task. Video games are occasionally successful in creating various forms of extrinsic motivation based on the expectations of gamers </w:t>
      </w:r>
      <w:r w:rsidR="009503F5" w:rsidRPr="00BC081A">
        <w:fldChar w:fldCharType="begin" w:fldLock="1"/>
      </w:r>
      <w:r w:rsidR="00AC1F7D">
        <w:instrText>ADDIN CSL_CITATION { "citationItems" : [ { "id" : "ITEM-1", "itemData" : { "author" : [ { "dropping-particle" : "", "family" : "King", "given" : "DL L", "non-dropping-particle" : "", "parse-names" : false, "suffix" : "" }, { "dropping-particle" : "", "family" : "Delfabbro", "given" : "P H", "non-dropping-particle" : "", "parse-names" : false, "suffix" : "" } ], "container-title" : "Journal of Cybertherapy and Rehabilitation", "id" : "ITEM-1", "issue" : "2", "issued" : { "date-parts" : [ [ "2009" ] ] }, "page" : "139-149", "title" : "Motivational differences in problem video game play", "type" : "article-journal", "volume" : "2" }, "uris" : [ "http://www.mendeley.com/documents/?uuid=c410d26d-2636-4b9b-b418-796f32ff23d3" ] } ], "mendeley" : { "previouslyFormattedCitation" : "(King &amp; Delfabbro, 2009)" }, "properties" : { "noteIndex" : 0 }, "schema" : "https://github.com/citation-style-language/schema/raw/master/csl-citation.json" }</w:instrText>
      </w:r>
      <w:r w:rsidR="009503F5" w:rsidRPr="00BC081A">
        <w:fldChar w:fldCharType="separate"/>
      </w:r>
      <w:r w:rsidR="009503F5" w:rsidRPr="00BC081A">
        <w:rPr>
          <w:noProof/>
        </w:rPr>
        <w:t>(King &amp; Delfabbro, 2009)</w:t>
      </w:r>
      <w:r w:rsidR="009503F5" w:rsidRPr="00BC081A">
        <w:fldChar w:fldCharType="end"/>
      </w:r>
      <w:r w:rsidRPr="00BC081A">
        <w:t>. Competition in video games</w:t>
      </w:r>
      <w:r w:rsidR="009503F5" w:rsidRPr="00BC081A">
        <w:t xml:space="preserve"> is one of those tools that can help create a moderate form of extrinsic motivation. During competition, people might become ego-involved –aiming to prove their values– as a result of trying to achieve a certain outcome </w:t>
      </w:r>
      <w:r w:rsidR="009503F5" w:rsidRPr="00BC081A">
        <w:fldChar w:fldCharType="begin" w:fldLock="1"/>
      </w:r>
      <w:r w:rsidR="00AC1F7D">
        <w:instrText>ADDIN CSL_CITATION { "citationItems" : [ { "id" : "ITEM-1", "itemData" : { "author" : [ { "dropping-particle" : "", "family" : "Vansteenkiste", "given" : "Maarten", "non-dropping-particle" : "", "parse-names" : false, "suffix" : "" }, { "dropping-particle" : "", "family" : "Deci", "given" : "Edward L.", "non-dropping-particle" : "", "parse-names" : false, "suffix" : "" } ], "container-title" : "Motivation and emotion", "id" : "ITEM-1", "issue" : "4", "issued" : { "date-parts" : [ [ "2003" ] ] }, "page" : "273-299", "title" : "Competitively contingent rewards and intrinsic motivation: Can losers remain motivated?", "type" : "article-journal", "volume" : "27" }, "uris" : [ "http://www.mendeley.com/documents/?uuid=6a553099-ab59-4b43-87e5-c13646794c8a" ] } ], "mendeley" : { "previouslyFormattedCitation" : "(Vansteenkiste &amp; Deci, 2003)" }, "properties" : { "noteIndex" : 0 }, "schema" : "https://github.com/citation-style-language/schema/raw/master/csl-citation.json" }</w:instrText>
      </w:r>
      <w:r w:rsidR="009503F5" w:rsidRPr="00BC081A">
        <w:fldChar w:fldCharType="separate"/>
      </w:r>
      <w:r w:rsidR="009503F5" w:rsidRPr="00BC081A">
        <w:rPr>
          <w:noProof/>
        </w:rPr>
        <w:t>(Vansteenkiste &amp; Deci, 2003)</w:t>
      </w:r>
      <w:r w:rsidR="009503F5" w:rsidRPr="00BC081A">
        <w:fldChar w:fldCharType="end"/>
      </w:r>
      <w:r w:rsidR="009503F5" w:rsidRPr="00BC081A">
        <w:t xml:space="preserve">. On the extrinsic motivation continuum, this competitive condition can be characterized as </w:t>
      </w:r>
      <w:r w:rsidR="009503F5" w:rsidRPr="00BC081A">
        <w:rPr>
          <w:i/>
        </w:rPr>
        <w:lastRenderedPageBreak/>
        <w:t>Introjected Regulation</w:t>
      </w:r>
      <w:r w:rsidR="009503F5" w:rsidRPr="00BC081A">
        <w:t xml:space="preserve"> form of motivation. As the internalization of the motivation to participate in the task increases, the person increases his/her perception of self-regulation and, as a result, experiences a more intrinsic feeling of motivation. This change of autonomy would be dependent on focusing more on the context of competition rather than the outcomes of competition </w:t>
      </w:r>
      <w:r w:rsidR="009503F5"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009503F5" w:rsidRPr="00BC081A">
        <w:fldChar w:fldCharType="separate"/>
      </w:r>
      <w:r w:rsidR="00AC1F7D" w:rsidRPr="00AC1F7D">
        <w:rPr>
          <w:noProof/>
        </w:rPr>
        <w:t>(Tauer &amp; Harackiewicz, 1999)</w:t>
      </w:r>
      <w:r w:rsidR="009503F5" w:rsidRPr="00BC081A">
        <w:fldChar w:fldCharType="end"/>
      </w:r>
      <w:r w:rsidR="009503F5" w:rsidRPr="00BC081A">
        <w:t>. Increase of autonomy, as mentioned before, is depend</w:t>
      </w:r>
      <w:r w:rsidR="006A01E6" w:rsidRPr="00BC081A">
        <w:t>e</w:t>
      </w:r>
      <w:r w:rsidR="009503F5" w:rsidRPr="00BC081A">
        <w:t xml:space="preserve">nt on lack of a controlling and </w:t>
      </w:r>
      <w:r w:rsidR="00B53DE5">
        <w:t xml:space="preserve">presence of an </w:t>
      </w:r>
      <w:r w:rsidR="009503F5" w:rsidRPr="00BC081A">
        <w:t xml:space="preserve">informative environment. Altogether, a competitive situation can be a desirable tool –in </w:t>
      </w:r>
      <w:r w:rsidR="0014349B">
        <w:t xml:space="preserve">the </w:t>
      </w:r>
      <w:r w:rsidR="009503F5" w:rsidRPr="00BC081A">
        <w:t>absence of intrinsic motivation– to create an environment of modest extrinsic motivation, which can eventually enhance the intrinsi</w:t>
      </w:r>
      <w:r w:rsidR="006A01E6" w:rsidRPr="00BC081A">
        <w:t>c motivation among the players.</w:t>
      </w:r>
    </w:p>
    <w:p w14:paraId="1CBC0109" w14:textId="77777777" w:rsidR="009503F5" w:rsidRPr="00BC081A" w:rsidRDefault="009503F5" w:rsidP="009503F5">
      <w:pPr>
        <w:pStyle w:val="Heading4"/>
      </w:pPr>
      <w:r w:rsidRPr="00BC081A">
        <w:t>Causality Orientation Theory (COT):</w:t>
      </w:r>
    </w:p>
    <w:p w14:paraId="73806FF6" w14:textId="6551CBD8" w:rsidR="009503F5" w:rsidRPr="00BC081A" w:rsidRDefault="009503F5" w:rsidP="009503F5">
      <w:r w:rsidRPr="00BC081A">
        <w:t xml:space="preserve">The last </w:t>
      </w:r>
      <w:r w:rsidR="00DA6E7B">
        <w:t xml:space="preserve">SDT </w:t>
      </w:r>
      <w:r w:rsidRPr="00BC081A">
        <w:t xml:space="preserve">mini-theory that is used here for background of this study’s framework is Causality Orientation Theory (COT), which addresses the differences among people’s behaviour regarding their dominant preference for motivation based on the level of causality in interaction with their environment </w:t>
      </w:r>
      <w:r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"id" : "ITEM-2", "itemData" : { "DOI" : "10.1016/0092-6566(85)90023-6", "ISSN" : "00926566", "author" : [ { "dropping-particle" : "", "family" : "Deci", "given" : "Edward L.", "non-dropping-particle" : "", "parse-names" : false, "suffix" : "" }, { "dropping-particle" : "", "family" : "Ryan", "given" : "Richard M.", "non-dropping-particle" : "", "parse-names" : false, "suffix" : "" } ], "container-title" : "Journal of Research in Personality", "id" : "ITEM-2", "issue" : "2", "issued" : { "date-parts" : [ [ "1985", "6" ] ] }, "page" : "109-134", "title" : "The general causality orientations scale: Self-determination in personality", "type" : "article-journal", "volume" : "19" }, "uris" : [ "http://www.mendeley.com/documents/?uuid=471fee10-5b06-4ff7-b96e-00ef7928b9f8" ] } ], "mendeley" : { "previouslyFormattedCitation" : "(Deci &amp; Ryan, 1985a, 1985b)" }, "properties" : { "noteIndex" : 0 }, "schema" : "https://github.com/citation-style-language/schema/raw/master/csl-citation.json" }</w:instrText>
      </w:r>
      <w:r w:rsidRPr="00BC081A">
        <w:fldChar w:fldCharType="separate"/>
      </w:r>
      <w:r w:rsidRPr="00BC081A">
        <w:rPr>
          <w:noProof/>
        </w:rPr>
        <w:t>(Deci &amp; Ryan, 1985a, 1985b)</w:t>
      </w:r>
      <w:r w:rsidRPr="00BC081A">
        <w:fldChar w:fldCharType="end"/>
      </w:r>
      <w:r w:rsidRPr="00BC081A">
        <w:t>. This categorisation of “causality orientation” includes: 1) a</w:t>
      </w:r>
      <w:r w:rsidRPr="00BC081A">
        <w:rPr>
          <w:i/>
        </w:rPr>
        <w:t>utonomy orientation</w:t>
      </w:r>
      <w:r w:rsidRPr="00BC081A">
        <w:t xml:space="preserve">, 2) </w:t>
      </w:r>
      <w:r w:rsidRPr="00BC081A">
        <w:rPr>
          <w:i/>
        </w:rPr>
        <w:t>control orientation</w:t>
      </w:r>
      <w:r w:rsidRPr="00BC081A">
        <w:t xml:space="preserve">, and 3) </w:t>
      </w:r>
      <w:r w:rsidRPr="00BC081A">
        <w:rPr>
          <w:i/>
        </w:rPr>
        <w:t>impersonal orientation</w:t>
      </w:r>
      <w:r w:rsidRPr="00BC081A">
        <w:t xml:space="preserve">. In Autonomy Orientation, a person’s behaviour sees the locus of causality to be the self (person initiating the behaviour). This group entails behaviours that are rooted in “choices based on an awareness of one’s needs, feelings, and integrated goals” </w:t>
      </w:r>
      <w:r w:rsidRPr="00BC081A">
        <w:fldChar w:fldCharType="begin" w:fldLock="1"/>
      </w:r>
      <w:r w:rsidR="00AC1F7D">
        <w:instrText>ADDIN CSL_CITATION { "citationItems" : [ { "id" : "ITEM-1", "itemData" : { "DOI" : "10.1037//0022-3514.71.2.300", "ISSN" : "0022-3514", "author" : [ { "dropping-particle" : "", "family" : "Hodgins", "given" : "Holley S.", "non-dropping-particle" : "", "parse-names" : false, "suffix" : "" }, { "dropping-particle" : "", "family" : "Liebeskind", "given" : "Elizabeth", "non-dropping-particle" : "", "parse-names" : false, "suffix" : "" }, { "dropping-particle" : "", "family" : "Schwartz", "given" : "Warren", "non-dropping-particle" : "", "parse-names" : false, "suffix" : "" } ], "container-title" : "Journal of Personality and Social Psychology", "id" : "ITEM-1", "issue" : "2", "issued" : { "date-parts" : [ [ "1996" ] ] }, "page" : "300-314", "title" : "Getting out of hot water: Facework in social predicaments.", "type" : "article-journal", "volume" : "71" }, "uris" : [ "http://www.mendeley.com/documents/?uuid=75d5520a-19f1-435d-b258-286ed3eaf67a" ] } ], "mendeley" : { "previouslyFormattedCitation" : "(Hodgins, Liebeskind, &amp; Schwartz, 1996)" }, "properties" : { "noteIndex" : 0 }, "schema" : "https://github.com/citation-style-language/schema/raw/master/csl-citation.json" }</w:instrText>
      </w:r>
      <w:r w:rsidRPr="00BC081A">
        <w:fldChar w:fldCharType="separate"/>
      </w:r>
      <w:r w:rsidRPr="00BC081A">
        <w:rPr>
          <w:noProof/>
        </w:rPr>
        <w:t>(Hodgins, Liebeskind, &amp; Schwartz, 1996)</w:t>
      </w:r>
      <w:r w:rsidRPr="00BC081A">
        <w:fldChar w:fldCharType="end"/>
      </w:r>
      <w:r w:rsidRPr="00BC081A">
        <w:t xml:space="preserve">. Control Orientation, on the other hand, is a characteristic of a person who has the tendency to value external factors such as rewards, approval, or achievements for shaping one’s behaviour. Lastly, in Impersonal Orientation, behaviour is mainly shaped by feelings of helplessness concerning competence, resulting in a lack of intention to perform the related task. This last group is also referred to as Amotivation Orientation </w:t>
      </w:r>
      <w:r w:rsidRPr="00BC081A">
        <w:fldChar w:fldCharType="begin" w:fldLock="1"/>
      </w:r>
      <w:r w:rsidR="00AC1F7D">
        <w:instrText>ADDIN CSL_CITATION { "citationItems" : [ { "id" : "ITEM-1", "itemData" : { "DOI" : "10.1016/0092-6566(85)90023-6", "ISSN" : "00926566", "author" : [ { "dropping-particle" : "", "family" : "Deci", "given" : "Edward L.", "non-dropping-particle" : "", "parse-names" : false, "suffix" : "" }, { "dropping-particle" : "", "family" : "Ryan", "given" : "Richard M.", "non-dropping-particle" : "", "parse-names" : false, "suffix" : "" } ], "container-title" : "Journal of Research in Personality", "id" : "ITEM-1", "issue" : "2", "issued" : { "date-parts" : [ [ "1985", "6" ] ] }, "page" : "109-134", "title" : "The general causality orientations scale: Self-determination in personality", "type" : "article-journal", "volume" : "19" }, "uris" : [ "http://www.mendeley.com/documents/?uuid=471fee10-5b06-4ff7-b96e-00ef7928b9f8" ] } ], "mendeley" : { "previouslyFormattedCitation" : "(Deci &amp; Ryan, 1985b)" }, "properties" : { "noteIndex" : 0 }, "schema" : "https://github.com/citation-style-language/schema/raw/master/csl-citation.json" }</w:instrText>
      </w:r>
      <w:r w:rsidRPr="00BC081A">
        <w:fldChar w:fldCharType="separate"/>
      </w:r>
      <w:r w:rsidRPr="00BC081A">
        <w:rPr>
          <w:noProof/>
        </w:rPr>
        <w:t>(Deci &amp; Ryan, 1985b)</w:t>
      </w:r>
      <w:r w:rsidRPr="00BC081A">
        <w:fldChar w:fldCharType="end"/>
      </w:r>
      <w:r w:rsidRPr="00BC081A">
        <w:t xml:space="preserve">. </w:t>
      </w:r>
    </w:p>
    <w:p w14:paraId="21542B54" w14:textId="439B2869" w:rsidR="009503F5" w:rsidRPr="00BC081A" w:rsidRDefault="009503F5" w:rsidP="009503F5">
      <w:r w:rsidRPr="00BC081A">
        <w:lastRenderedPageBreak/>
        <w:t xml:space="preserve">Respectively, it is expected that during a competitive task in video games, people with different tendencies would react to competition differently based on the value they give to the environmental cues. Thus, we would expect </w:t>
      </w:r>
      <w:r w:rsidR="006A01E6" w:rsidRPr="00BC081A">
        <w:t xml:space="preserve">the </w:t>
      </w:r>
      <w:r w:rsidRPr="00BC081A">
        <w:t xml:space="preserve">personality of people to be an important factor in the process of engaging in competitive tasks. Previous research has also shown that people with higher orientation towards achievement perceive competition </w:t>
      </w:r>
      <w:r w:rsidR="00DA6E7B">
        <w:t xml:space="preserve">to be </w:t>
      </w:r>
      <w:r w:rsidRPr="00BC081A">
        <w:t xml:space="preserve">more challenging and are more intrinsically motivated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Pr="00BC081A">
        <w:fldChar w:fldCharType="separate"/>
      </w:r>
      <w:r w:rsidR="00AC1F7D" w:rsidRPr="00AC1F7D">
        <w:rPr>
          <w:noProof/>
        </w:rPr>
        <w:t>(Tauer &amp; Harackiewicz, 1999)</w:t>
      </w:r>
      <w:r w:rsidRPr="00BC081A">
        <w:fldChar w:fldCharType="end"/>
      </w:r>
      <w:r w:rsidRPr="00BC081A">
        <w:t>. Similar distinction can be noticed between males versus females participating in the same competitive task</w:t>
      </w:r>
      <w:r w:rsidR="00C235B3">
        <w:t xml:space="preserve"> in such a way that females prefer competition that leads to success while males prefer to achieve domination </w:t>
      </w:r>
      <w:r w:rsidR="00C235B3">
        <w:fldChar w:fldCharType="begin" w:fldLock="1"/>
      </w:r>
      <w:r w:rsidR="00AC1F7D">
        <w:instrText>ADDIN CSL_CITATION { "citationItems" : [ { "id" : "ITEM-1", "itemData" : { "DOI" : "10.1037/a0019440", "ISSN" : "1939-1552", "author" : [ { "dropping-particle" : "", "family" : "Przybylski", "given" : "Andrew K.", "non-dropping-particle" : "", "parse-names" : false, "suffix" : "" }, { "dropping-particle" : "", "family" : "Rigby", "given" : "C. Scott", "non-dropping-particle" : "", "parse-names" : false, "suffix" : "" }, { "dropping-particle" : "", "family" : "Ryan", "given" : "Richard M.", "non-dropping-particle" : "", "parse-names" : false, "suffix" : "" } ], "container-title" : "Review of General Psychology", "id" : "ITEM-1", "issue" : "2", "issued" : { "date-parts" : [ [ "2010" ] ] }, "page" : "154-166", "title" : "A motivational model of video game engagement.", "type" : "article-journal", "volume" : "14" }, "uris" : [ "http://www.mendeley.com/documents/?uuid=a401c4f8-a2df-461c-86e6-bd805605d397" ] } ], "mendeley" : { "previouslyFormattedCitation" : "(Przybylski et al., 2010)" }, "properties" : { "noteIndex" : 0 }, "schema" : "https://github.com/citation-style-language/schema/raw/master/csl-citation.json" }</w:instrText>
      </w:r>
      <w:r w:rsidR="00C235B3">
        <w:fldChar w:fldCharType="separate"/>
      </w:r>
      <w:r w:rsidR="00C235B3" w:rsidRPr="00C235B3">
        <w:rPr>
          <w:noProof/>
        </w:rPr>
        <w:t>(Przybylski et al., 2010)</w:t>
      </w:r>
      <w:r w:rsidR="00C235B3">
        <w:fldChar w:fldCharType="end"/>
      </w:r>
      <w:r w:rsidR="00C235B3">
        <w:t xml:space="preserve">, and females who are high in achievement orientation enjoy competitive tasks more than males who are high in achievement orientation </w:t>
      </w:r>
      <w:r w:rsidR="00C235B3">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00C235B3">
        <w:fldChar w:fldCharType="separate"/>
      </w:r>
      <w:r w:rsidR="00AC1F7D" w:rsidRPr="00AC1F7D">
        <w:rPr>
          <w:noProof/>
        </w:rPr>
        <w:t>(Tauer &amp; Harackiewicz, 1999)</w:t>
      </w:r>
      <w:r w:rsidR="00C235B3">
        <w:fldChar w:fldCharType="end"/>
      </w:r>
      <w:r w:rsidRPr="00BC081A">
        <w:t xml:space="preserve">. These studies have not directly examined the individual dissimilarities in competitive evaluation in the context of video games. However, there is no evidence to suggest that compared to non-video games, video games have different influence on the role of personal characteristics regarding orientation towards competition. In contrast, </w:t>
      </w:r>
      <w:r w:rsidRPr="00BC081A">
        <w:fldChar w:fldCharType="begin" w:fldLock="1"/>
      </w:r>
      <w:r w:rsidR="00AC1F7D">
        <w:instrText>ADDIN CSL_CITATION { "citationItems" : [ { "id" : "ITEM-1", "itemData" : { "DOI" : "10.1007/s11031-006-9051-8", "ISSN" : "0146-7239", "author" : [ { "dropping-particle" : "", "family" : "Ryan", "given" : "Richard M.", "non-dropping-particle" : "", "parse-names" : false, "suffix" : "" }, { "dropping-particle" : "", "family" : "Rigby", "given" : "C. Scott", "non-dropping-particle" : "", "parse-names" : false, "suffix" : "" }, { "dropping-particle" : "", "family" : "Przybylski", "given" : "Andrew", "non-dropping-particle" : "", "parse-names" : false, "suffix" : "" } ], "container-title" : "Motivation and Emotion", "id" : "ITEM-1", "issue" : "4", "issued" : { "date-parts" : [ [ "2006", "11", "29" ] ] }, "page" : "344-360", "title" : "The Motivational Pull of Video Games: A Self-Determination Theory Approach", "type" : "article-journal", "volume" : "30" }, "uris" : [ "http://www.mendeley.com/documents/?uuid=2a77a0dc-82e5-4408-94bc-30e1b6ddfd1c" ] } ], "mendeley" : { "manualFormatting" : "Ryan et al. (2006)", "previouslyFormattedCitation" : "(Ryan et al., 2006)" }, "properties" : { "noteIndex" : 0 }, "schema" : "https://github.com/citation-style-language/schema/raw/master/csl-citation.json" }</w:instrText>
      </w:r>
      <w:r w:rsidRPr="00BC081A">
        <w:fldChar w:fldCharType="separate"/>
      </w:r>
      <w:r w:rsidRPr="00BC081A">
        <w:rPr>
          <w:noProof/>
        </w:rPr>
        <w:t>Ryan et al. (2006)</w:t>
      </w:r>
      <w:r w:rsidRPr="00BC081A">
        <w:fldChar w:fldCharType="end"/>
      </w:r>
      <w:r w:rsidRPr="00BC081A">
        <w:t xml:space="preserve"> have shown that “there is considerable variance between individuals in their overall experience of and motivation for computer games” (</w:t>
      </w:r>
      <w:r w:rsidRPr="00BC081A">
        <w:rPr>
          <w:noProof/>
        </w:rPr>
        <w:t>p. 354)</w:t>
      </w:r>
      <w:r w:rsidRPr="00BC081A">
        <w:t xml:space="preserve">. In sum, based on COT it is expected that individual differences such as personality and gender will </w:t>
      </w:r>
      <w:r w:rsidR="000C023F" w:rsidRPr="00BC081A">
        <w:t>influence</w:t>
      </w:r>
      <w:r w:rsidRPr="00BC081A">
        <w:t xml:space="preserve"> the process of motivation caused by competition. </w:t>
      </w:r>
    </w:p>
    <w:p w14:paraId="350EEBD7" w14:textId="77777777" w:rsidR="009503F5" w:rsidRPr="00BC081A" w:rsidRDefault="009503F5" w:rsidP="00863D4C">
      <w:pPr>
        <w:pStyle w:val="Heading2"/>
      </w:pPr>
      <w:bookmarkStart w:id="44" w:name="_Ref271237908"/>
      <w:bookmarkStart w:id="45" w:name="_Toc275209821"/>
      <w:r w:rsidRPr="00BC081A">
        <w:t>Flow Theory</w:t>
      </w:r>
      <w:bookmarkEnd w:id="44"/>
      <w:bookmarkEnd w:id="45"/>
    </w:p>
    <w:p w14:paraId="72F21050" w14:textId="0924718A" w:rsidR="00645CB7" w:rsidRPr="00BC081A" w:rsidRDefault="00645CB7" w:rsidP="00645CB7">
      <w:r w:rsidRPr="00BC081A">
        <w:t xml:space="preserve">In the past decade there has been increased focus on hedonic systems and how people interact with them in the field of Information Systems (IS) </w:t>
      </w:r>
      <w:r w:rsidRPr="00BC081A">
        <w:rPr>
          <w:noProof/>
        </w:rPr>
        <w:fldChar w:fldCharType="begin" w:fldLock="1"/>
      </w:r>
      <w:r w:rsidR="00AC1F7D">
        <w:rPr>
          <w:noProof/>
        </w:rPr>
        <w:instrText>ADDIN CSL_CITATION { "citationItems" : [ { "id" : "ITEM-1", "itemData" : { "author" : [ { "dropping-particle" : "", "family" : "Heijden", "given" : "H.", "non-dropping-particle" : "Van der", "parse-names" : false, "suffix" : "" } ], "container-title" : "MIS quarterly", "id" : "ITEM-1", "issue" : "4", "issued" : { "date-parts" : [ [ "2004" ] ] }, "page" : "695\u2013704", "publisher" : "JSTOR", "title" : "User Acceptance of Hedonic Information Systems", "type" : "article-journal", "volume" : "28" }, "uris" : [ "http://www.mendeley.com/documents/?uuid=16fc84b9-1bf2-4ab7-9a54-cf63cb189fd4" ] }, { "id" : "ITEM-2", "itemData" : { "DOI" : "10.1111/j.1365-2575.2007.00265.x", "ISSN" : "13501917", "author" : [ { "dropping-particle" : "", "family" : "Lin", "given" : "Chieh-Peng", "non-dropping-particle" : "", "parse-names" : false, "suffix" : "" }, { "dropping-particle" : "", "family" : "Bhattacherjee", "given" : "Anol", "non-dropping-particle" : "", "parse-names" : false, "suffix" : "" } ], "container-title" : "Information Systems Journal", "id" : "ITEM-2", "issue" : "2", "issued" : { "date-parts" : [ [ "2010", "3" ] ] }, "page" : "163-181", "title" : "Extending technology usage models to interactive hedonic technologies: a theoretical model and empirical test", "type" : "article-journal", "volume" : "20" }, "uris" : [ "http://www.mendeley.com/documents/?uuid=1d3a298d-3818-4b6e-81d1-de63e619891b" ] } ], "mendeley" : { "manualFormatting" : "(Lin &amp; Bhattacherjee, 2010; Van der Heijden, 2004)", "previouslyFormattedCitation" : "(C.-P. Lin &amp; Bhattacherjee, 2010; Van der Heijden, 2004)" }, "properties" : { "noteIndex" : 0 }, "schema" : "https://github.com/citation-style-language/schema/raw/master/csl-citation.json" }</w:instrText>
      </w:r>
      <w:r w:rsidRPr="00BC081A">
        <w:rPr>
          <w:noProof/>
        </w:rPr>
        <w:fldChar w:fldCharType="separate"/>
      </w:r>
      <w:r w:rsidR="003705F4">
        <w:rPr>
          <w:noProof/>
        </w:rPr>
        <w:t>(</w:t>
      </w:r>
      <w:r w:rsidR="003705F4" w:rsidRPr="003705F4">
        <w:rPr>
          <w:noProof/>
        </w:rPr>
        <w:t>Lin &amp; Bhattacherjee, 2010; Van der Heijden, 2004)</w:t>
      </w:r>
      <w:r w:rsidRPr="00BC081A">
        <w:rPr>
          <w:noProof/>
        </w:rPr>
        <w:fldChar w:fldCharType="end"/>
      </w:r>
      <w:r w:rsidRPr="00BC081A">
        <w:t xml:space="preserve">. With this focus on hedonic systems, researchers have developed constructs to measure concepts such as ‘enjoyment’ and ‘playfulness’ </w:t>
      </w:r>
      <w:r w:rsidRPr="00BC081A">
        <w:rPr>
          <w:noProof/>
        </w:rPr>
        <w:fldChar w:fldCharType="begin" w:fldLock="1"/>
      </w:r>
      <w:r w:rsidR="00AC1F7D">
        <w:rPr>
          <w:noProof/>
        </w:rPr>
        <w:instrText>ADDIN CSL_CITATION { "citationItems" : [ { "id" : "ITEM-1", "itemData" : { "author" : [ { "dropping-particle" : "", "family" : "Holsapple", "given" : "C.W.", "non-dropping-particle" : "", "parse-names" : false, "suffix" : "" }, { "dropping-particle" : "", "family" : "Wu", "given" : "J.", "non-dropping-particle" : "", "parse-names" : false, "suffix" : "" } ], "container-title" : "ACM SIGMIS Database", "id" : "ITEM-1", "issue" : "4", "issued" : { "date-parts" : [ [ "2007" ] ] }, "page" : "86\u201389", "publisher" : "ACM", "title" : "User acceptance of virtual worlds: the Hedonic framework", "type" : "article-journal", "volume" : "38" }, "uris" : [ "http://www.mendeley.com/documents/?uuid=06e7bc3b-a22f-427b-a60f-a5ca7a42e5bb" ] }, { "id" : "ITEM-2", "itemData" : { "DOI" : "10.1016/S0378-7206(00)00061-6", "ISSN" : "03787206", "author" : [ { "dropping-particle" : "", "family" : "Moon", "given" : "J", "non-dropping-particle" : "", "parse-names" : false, "suffix" : "" } ], "container-title" : "Information &amp; Management", "id" : "ITEM-2", "issue" : "4", "issued" : { "date-parts" : [ [ "2001", "2" ] ] }, "page" : "217-230", "title" : "Extending the TAM for a World-Wide-Web context", "type" : "article-journal", "volume" : "38" }, "uris" : [ "http://www.mendeley.com/documents/?uuid=038c4402-e703-4cce-8e3f-9316e6001f77" ] } ], "mendeley" : { "previouslyFormattedCitation" : "(Holsapple &amp; Wu, 2007; Moon, 2001)" }, "properties" : { "noteIndex" : 0 }, "schema" : "https://github.com/citation-style-language/schema/raw/master/csl-citation.json" }</w:instrText>
      </w:r>
      <w:r w:rsidRPr="00BC081A">
        <w:rPr>
          <w:noProof/>
        </w:rPr>
        <w:fldChar w:fldCharType="separate"/>
      </w:r>
      <w:r w:rsidRPr="00BC081A">
        <w:rPr>
          <w:noProof/>
        </w:rPr>
        <w:t>(Holsapple &amp; Wu, 2007; Moon, 2001)</w:t>
      </w:r>
      <w:r w:rsidRPr="00BC081A">
        <w:rPr>
          <w:noProof/>
        </w:rPr>
        <w:fldChar w:fldCharType="end"/>
      </w:r>
      <w:r w:rsidRPr="00BC081A">
        <w:t xml:space="preserve"> of hedonic systems use. However, there is a need for the advancement of theories in the field of </w:t>
      </w:r>
      <w:r w:rsidRPr="00BC081A">
        <w:lastRenderedPageBreak/>
        <w:t xml:space="preserve">IS to better explain the use of hedonic systems. As </w:t>
      </w:r>
      <w:r w:rsidRPr="00BC081A">
        <w:rPr>
          <w:noProof/>
        </w:rPr>
        <w:t xml:space="preserve">Lin and Bhattacherjee </w:t>
      </w:r>
      <w:r w:rsidRPr="00BC081A">
        <w:rPr>
          <w:noProof/>
        </w:rPr>
        <w:fldChar w:fldCharType="begin" w:fldLock="1"/>
      </w:r>
      <w:r w:rsidR="00AC1F7D">
        <w:rPr>
          <w:noProof/>
        </w:rPr>
        <w:instrText>ADDIN CSL_CITATION { "citationItems" : [ { "id" : "ITEM-1", "itemData" : { "DOI" : "10.1111/j.1365-2575.2007.00265.x", "ISSN" : "13501917", "author" : [ { "dropping-particle" : "", "family" : "Lin", "given" : "Chieh-Peng", "non-dropping-particle" : "", "parse-names" : false, "suffix" : "" }, { "dropping-particle" : "", "family" : "Bhattacherjee", "given" : "Anol", "non-dropping-particle" : "", "parse-names" : false, "suffix" : "" } ], "container-title" : "Information Systems Journal", "id" : "ITEM-1", "issue" : "2", "issued" : { "date-parts" : [ [ "2010", "3" ] ] }, "page" : "163-181", "title" : "Extending technology usage models to interactive hedonic technologies: a theoretical model and empirical test", "type" : "article-journal", "volume" : "20" }, "suppress-author" : 1, "uris" : [ "http://www.mendeley.com/documents/?uuid=1d3a298d-3818-4b6e-81d1-de63e619891b" ] } ], "mendeley" : { "previouslyFormattedCitation" : "(2010)" }, "properties" : { "noteIndex" : 0 }, "schema" : "https://github.com/citation-style-language/schema/raw/master/csl-citation.json" }</w:instrText>
      </w:r>
      <w:r w:rsidRPr="00BC081A">
        <w:rPr>
          <w:noProof/>
        </w:rPr>
        <w:fldChar w:fldCharType="separate"/>
      </w:r>
      <w:r w:rsidRPr="00BC081A">
        <w:rPr>
          <w:noProof/>
        </w:rPr>
        <w:t>(2010)</w:t>
      </w:r>
      <w:r w:rsidRPr="00BC081A">
        <w:rPr>
          <w:noProof/>
        </w:rPr>
        <w:fldChar w:fldCharType="end"/>
      </w:r>
      <w:r w:rsidRPr="00BC081A">
        <w:rPr>
          <w:noProof/>
        </w:rPr>
        <w:t xml:space="preserve"> </w:t>
      </w:r>
      <w:r w:rsidRPr="00BC081A">
        <w:t>illustrate: “prior models of utilitarian system usage provide a limited understanding of one’s usage of hedonic systems, given the motivational differences between using these two types of systems” (p. 163). Aside from the concepts that have been well established in this field, there are some theories that have been regularly used for explaining user interaction with hedonic systems. The theory of ‘</w:t>
      </w:r>
      <w:r w:rsidR="007E0EC1">
        <w:t>F</w:t>
      </w:r>
      <w:r w:rsidRPr="00BC081A">
        <w:t xml:space="preserve">low’ is one of those theories </w:t>
      </w:r>
      <w:r w:rsidRPr="00BC081A">
        <w:rPr>
          <w:noProof/>
        </w:rPr>
        <w:fldChar w:fldCharType="begin" w:fldLock="1"/>
      </w:r>
      <w:r w:rsidR="00AC1F7D">
        <w:rPr>
          <w:noProof/>
        </w:rPr>
        <w:instrText>ADDIN CSL_CITATION { "citationItems" : [ { "id" : "ITEM-1", "itemData" : { "author" : [ { "dropping-particle" : "", "family" : "Csikszentmihalyi", "given" : "M", "non-dropping-particle" : "", "parse-names" : false, "suffix" : "" } ], "id" : "ITEM-1", "issued" : { "date-parts" : [ [ "1991" ] ] }, "publisher" : "Harper Collins Publishers", "title" : "Flow: The psychology of optimal experience: Steps toward enhancing the quality of life", "type" : "book" }, "uris" : [ "http://www.mendeley.com/documents/?uuid=c4b97a6d-79bb-4543-b899-eb543cc86b8b" ] } ], "mendeley" : { "previouslyFormattedCitation" : "(Csikszentmihalyi, 1991)" }, "properties" : { "noteIndex" : 0 }, "schema" : "https://github.com/citation-style-language/schema/raw/master/csl-citation.json" }</w:instrText>
      </w:r>
      <w:r w:rsidRPr="00BC081A">
        <w:rPr>
          <w:noProof/>
        </w:rPr>
        <w:fldChar w:fldCharType="separate"/>
      </w:r>
      <w:r w:rsidRPr="00BC081A">
        <w:rPr>
          <w:noProof/>
        </w:rPr>
        <w:t>(Csikszentmihalyi, 1991)</w:t>
      </w:r>
      <w:r w:rsidRPr="00BC081A">
        <w:rPr>
          <w:noProof/>
        </w:rPr>
        <w:fldChar w:fldCharType="end"/>
      </w:r>
      <w:r w:rsidRPr="00BC081A">
        <w:t xml:space="preserve">, which aim to explain the “optimal holistic experience” </w:t>
      </w:r>
      <w:r w:rsidRPr="00BC081A">
        <w:rPr>
          <w:noProof/>
        </w:rPr>
        <w:fldChar w:fldCharType="begin" w:fldLock="1"/>
      </w:r>
      <w:r w:rsidR="00AC1F7D">
        <w:rPr>
          <w:noProof/>
        </w:rPr>
        <w:instrText>ADDIN CSL_CITATION { "citationItems" : [ { "id" : "ITEM-1", "itemData" : { "DOI" : "10.1057/ejis.2009.50", "ISSN" : "0960-085X", "author" : [ { "dropping-particle" : "", "family" : "Deng", "given" : "Liqiong", "non-dropping-particle" : "", "parse-names" : false, "suffix" : "" }, { "dropping-particle" : "", "family" : "Turner", "given" : "Douglas E", "non-dropping-particle" : "", "parse-names" : false, "suffix" : "" }, { "dropping-particle" : "", "family" : "Gehling", "given" : "Robert", "non-dropping-particle" : "", "parse-names" : false, "suffix" : "" }, { "dropping-particle" : "", "family" : "Prince", "given" : "Brad", "non-dropping-particle" : "", "parse-names" : false, "suffix" : "" } ], "container-title" : "European Journal of Information Systems", "id" : "ITEM-1", "issue" : "1", "issued" : { "date-parts" : [ [ "2010", "1", "26" ] ] }, "page" : "60-75", "publisher" : "Palgrave Macmillan", "title" : "User experience, satisfaction, and continual usage intention of IT", "type" : "article-journal", "volume" : "19" }, "uris" : [ "http://www.mendeley.com/documents/?uuid=c11a8e55-03d8-4d26-a4ec-4001bbc2b6a1" ] } ], "mendeley" : { "previouslyFormattedCitation" : "(L. Deng, Turner, Gehling, &amp; Prince, 2010)" }, "properties" : { "noteIndex" : 0 }, "schema" : "https://github.com/citation-style-language/schema/raw/master/csl-citation.json" }</w:instrText>
      </w:r>
      <w:r w:rsidRPr="00BC081A">
        <w:rPr>
          <w:noProof/>
        </w:rPr>
        <w:fldChar w:fldCharType="separate"/>
      </w:r>
      <w:r w:rsidRPr="00BC081A">
        <w:rPr>
          <w:noProof/>
        </w:rPr>
        <w:t>(L. Deng, Turner, Gehling, &amp; Prince, 2010)</w:t>
      </w:r>
      <w:r w:rsidRPr="00BC081A">
        <w:rPr>
          <w:noProof/>
        </w:rPr>
        <w:fldChar w:fldCharType="end"/>
      </w:r>
      <w:r w:rsidRPr="00BC081A">
        <w:t xml:space="preserve"> while performing a task. Flow was initially studied among artists who feel complete involvement in their work </w:t>
      </w:r>
      <w:r w:rsidRPr="00BC081A">
        <w:rPr>
          <w:noProof/>
        </w:rPr>
        <w:fldChar w:fldCharType="begin" w:fldLock="1"/>
      </w:r>
      <w:r w:rsidR="00AC1F7D">
        <w:rPr>
          <w:noProof/>
        </w:rPr>
        <w:instrText>ADDIN CSL_CITATION { "citationItems" : [ { "id" : "ITEM-1", "itemData" : { "author" : [ { "dropping-particle" : "", "family" : "Csikszentmihalyi", "given" : "M", "non-dropping-particle" : "", "parse-names" : false, "suffix" : "" } ], "id" : "ITEM-1", "issued" : { "date-parts" : [ [ "1991" ] ] }, "publisher" : "Harper Collins Publishers", "title" : "Flow: The psychology of optimal experience: Steps toward enhancing the quality of life", "type" : "book" }, "uris" : [ "http://www.mendeley.com/documents/?uuid=c4b97a6d-79bb-4543-b899-eb543cc86b8b" ] } ], "mendeley" : { "previouslyFormattedCitation" : "(Csikszentmihalyi, 1991)" }, "properties" : { "noteIndex" : 0 }, "schema" : "https://github.com/citation-style-language/schema/raw/master/csl-citation.json" }</w:instrText>
      </w:r>
      <w:r w:rsidRPr="00BC081A">
        <w:rPr>
          <w:noProof/>
        </w:rPr>
        <w:fldChar w:fldCharType="separate"/>
      </w:r>
      <w:r w:rsidRPr="00BC081A">
        <w:rPr>
          <w:noProof/>
        </w:rPr>
        <w:t>(Csikszentmihalyi, 1991)</w:t>
      </w:r>
      <w:r w:rsidRPr="00BC081A">
        <w:rPr>
          <w:noProof/>
        </w:rPr>
        <w:fldChar w:fldCharType="end"/>
      </w:r>
      <w:r w:rsidRPr="00BC081A">
        <w:t xml:space="preserve">. This theory was further expanded to </w:t>
      </w:r>
      <w:r w:rsidR="007E0EC1">
        <w:t>other</w:t>
      </w:r>
      <w:r w:rsidR="007E0EC1" w:rsidRPr="00BC081A">
        <w:t xml:space="preserve"> </w:t>
      </w:r>
      <w:r w:rsidRPr="00BC081A">
        <w:t xml:space="preserve">leisure activities in order to study the engagement of people in what they do </w:t>
      </w:r>
      <w:r w:rsidRPr="00BC081A">
        <w:rPr>
          <w:noProof/>
        </w:rPr>
        <w:fldChar w:fldCharType="begin" w:fldLock="1"/>
      </w:r>
      <w:r w:rsidR="00AC1F7D">
        <w:rPr>
          <w:noProof/>
        </w:rPr>
        <w:instrText>ADDIN CSL_CITATION { "citationItems" : [ { "id" : "ITEM-1", "itemData" : { "author" : [ { "dropping-particle" : "", "family" : "Csikszentmihalyi", "given" : "M", "non-dropping-particle" : "", "parse-names" : false, "suffix" : "" } ], "id" : "ITEM-1", "issued" : { "date-parts" : [ [ "1991" ] ] }, "publisher" : "Harper Collins Publishers", "title" : "Flow: The psychology of optimal experience: Steps toward enhancing the quality of life", "type" : "book" }, "uris" : [ "http://www.mendeley.com/documents/?uuid=c4b97a6d-79bb-4543-b899-eb543cc86b8b" ] } ], "mendeley" : { "previouslyFormattedCitation" : "(Csikszentmihalyi, 1991)" }, "properties" : { "noteIndex" : 0 }, "schema" : "https://github.com/citation-style-language/schema/raw/master/csl-citation.json" }</w:instrText>
      </w:r>
      <w:r w:rsidRPr="00BC081A">
        <w:rPr>
          <w:noProof/>
        </w:rPr>
        <w:fldChar w:fldCharType="separate"/>
      </w:r>
      <w:r w:rsidRPr="00BC081A">
        <w:rPr>
          <w:noProof/>
        </w:rPr>
        <w:t>(Csikszentmihalyi, 1991)</w:t>
      </w:r>
      <w:r w:rsidRPr="00BC081A">
        <w:rPr>
          <w:noProof/>
        </w:rPr>
        <w:fldChar w:fldCharType="end"/>
      </w:r>
      <w:r w:rsidRPr="00BC081A">
        <w:t xml:space="preserve">. Flow aims to capture the state in which people are highly immersed in their act and feel intensely involved, which is a positive and desirable state for performing any kind of activity </w:t>
      </w:r>
      <w:r w:rsidRPr="00BC081A">
        <w:rPr>
          <w:noProof/>
        </w:rPr>
        <w:fldChar w:fldCharType="begin" w:fldLock="1"/>
      </w:r>
      <w:r w:rsidR="00AC1F7D">
        <w:rPr>
          <w:noProof/>
        </w:rPr>
        <w:instrText>ADDIN CSL_CITATION { "citationItems" : [ { "id" : "ITEM-1", "itemData" : { "ISSN" : "0022-3514", "PMID" : "2724069", "abstract" : "Followed 78 adult workers for 1 week with the experience sampling method. (This method randomly samples self-reports throughout the day.) The main question was whether the quality of experience was more influenced by whether a person was at work or at leisure or more influenced by whether a person was in flow (i.e., in a condition of high challenges and skills). Results showed that all the variables measuring the quality of experience, except for relaxation and motivation, are more affected by flow than by whether the respondent is working or in leisure. Moreover, the great majority of flow experiences are reported when working, not when in leisure. Regardless of the quality of experience, however, respondents are more motivated in leisure than in work. But individuals more motivated in flow than in apathy reported more positive experiences in work. Results suggest implications for improving the quality of everyday life.", "author" : [ { "dropping-particle" : "", "family" : "Csikszentmihalyi", "given" : "M", "non-dropping-particle" : "", "parse-names" : false, "suffix" : "" }, { "dropping-particle" : "", "family" : "LeFevre", "given" : "J", "non-dropping-particle" : "", "parse-names" : false, "suffix" : "" } ], "container-title" : "Journal of personality and social psychology", "id" : "ITEM-1", "issue" : "5", "issued" : { "date-parts" : [ [ "1989", "5" ] ] }, "page" : "815-22", "title" : "Optimal experience in work and leisure.", "type" : "article-journal", "volume" : "56" }, "uris" : [ "http://www.mendeley.com/documents/?uuid=15389147-f405-4161-80f1-f844676f6535" ] } ], "mendeley" : { "previouslyFormattedCitation" : "(Csikszentmihalyi &amp; LeFevre, 1989)" }, "properties" : { "noteIndex" : 0 }, "schema" : "https://github.com/citation-style-language/schema/raw/master/csl-citation.json" }</w:instrText>
      </w:r>
      <w:r w:rsidRPr="00BC081A">
        <w:rPr>
          <w:noProof/>
        </w:rPr>
        <w:fldChar w:fldCharType="separate"/>
      </w:r>
      <w:r w:rsidRPr="00BC081A">
        <w:rPr>
          <w:noProof/>
        </w:rPr>
        <w:t>(Csikszentmihalyi &amp; LeFevre, 1989)</w:t>
      </w:r>
      <w:r w:rsidRPr="00BC081A">
        <w:rPr>
          <w:noProof/>
        </w:rPr>
        <w:fldChar w:fldCharType="end"/>
      </w:r>
      <w:r w:rsidRPr="00BC081A">
        <w:t xml:space="preserve">. </w:t>
      </w:r>
    </w:p>
    <w:p w14:paraId="187A6509" w14:textId="059DCE1D" w:rsidR="009503F5" w:rsidRPr="00BC081A" w:rsidRDefault="009503F5" w:rsidP="009503F5">
      <w:r w:rsidRPr="00BC081A">
        <w:t>According to Flow</w:t>
      </w:r>
      <w:r w:rsidR="007D1637">
        <w:t xml:space="preserve"> theory</w:t>
      </w:r>
      <w:r w:rsidRPr="00BC081A">
        <w:t xml:space="preserve">, the balance between challenge and skill in a task results in a deeply engaging experience </w:t>
      </w:r>
      <w:r w:rsidRPr="00BC081A">
        <w:rPr>
          <w:noProof/>
        </w:rPr>
        <w:t>(Csikszentmihalyi, 1997; Ellis, Voelkl, &amp; Morris, 1994; Massimini &amp; Carli, 1988)</w:t>
      </w:r>
      <w:r w:rsidRPr="00BC081A">
        <w:t xml:space="preserve">. The original model of Flow was a simple explanation of optimal experience as an equal balance between challenge and skill </w:t>
      </w:r>
      <w:r w:rsidRPr="00BC081A">
        <w:rPr>
          <w:noProof/>
        </w:rPr>
        <w:t>(Csikszentmihalyi, 1975)</w:t>
      </w:r>
      <w:r w:rsidR="004E66FB">
        <w:t xml:space="preserve"> that is shown in </w:t>
      </w:r>
      <w:r w:rsidR="004E66FB">
        <w:fldChar w:fldCharType="begin"/>
      </w:r>
      <w:r w:rsidR="004E66FB">
        <w:instrText xml:space="preserve"> REF _Ref278912157 \h </w:instrText>
      </w:r>
      <w:r w:rsidR="004E66FB">
        <w:fldChar w:fldCharType="separate"/>
      </w:r>
      <w:r w:rsidR="008C71FB">
        <w:t xml:space="preserve">Figure </w:t>
      </w:r>
      <w:r w:rsidR="008C71FB">
        <w:rPr>
          <w:noProof/>
        </w:rPr>
        <w:t>7</w:t>
      </w:r>
      <w:r w:rsidR="004E66FB">
        <w:fldChar w:fldCharType="end"/>
      </w:r>
      <w:r w:rsidR="004E66FB">
        <w:t xml:space="preserve"> </w:t>
      </w:r>
      <w:r w:rsidRPr="00BC081A">
        <w:t xml:space="preserve">(Left diagram). According to the original model, people experience the state of Flow while performing a task that has the same level of challenge as the level of skill the actors require to carry out that task. </w:t>
      </w:r>
      <w:r w:rsidRPr="00BC081A">
        <w:rPr>
          <w:noProof/>
        </w:rPr>
        <w:t>Csikszentmihalyi and Csikszentmihalyi (1988)</w:t>
      </w:r>
      <w:r w:rsidRPr="00BC081A">
        <w:t xml:space="preserve"> later modified this model by proposing a four-state model, which “provides us a description of the experiential component of an activity as people's skill develops through repeated exposure to the activity” </w:t>
      </w:r>
      <w:r w:rsidRPr="00BC081A">
        <w:rPr>
          <w:noProof/>
        </w:rPr>
        <w:t>(Ellis et al., 1994, p. 338)</w:t>
      </w:r>
      <w:r w:rsidRPr="00BC081A">
        <w:t xml:space="preserve">. Based on this model, Flow is experienced only when the level of challenge and skill of </w:t>
      </w:r>
      <w:r w:rsidRPr="00BC081A">
        <w:lastRenderedPageBreak/>
        <w:t xml:space="preserve">an activity is higher than normal day-to-day life experiences. Thus, low levels of challenge and skills that result in lower extremes of Flow experience would create the feeling of apathy. Deep engagement, arousal, enjoyment, or focused immersion that are characteristics of the state of Flow would not be experienced in the stage of apathy. </w:t>
      </w:r>
      <w:proofErr w:type="gramStart"/>
      <w:r w:rsidRPr="00BC081A">
        <w:t>As it can be seen from both of the models, higher than average level of skills with low level</w:t>
      </w:r>
      <w:r w:rsidR="007D1637">
        <w:t>s</w:t>
      </w:r>
      <w:r w:rsidRPr="00BC081A">
        <w:t xml:space="preserve"> of challenge in a task causes a person to feel bored or in other words, to be in ‘boredom’ phase.</w:t>
      </w:r>
      <w:proofErr w:type="gramEnd"/>
      <w:r w:rsidRPr="00BC081A">
        <w:t xml:space="preserve"> On the other hand, when people are highly challenged and the level of challenge does not match their potential skills, this would make one anxious or to be in the state that Flow Theory classifies as “anxiety.”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503F5" w:rsidRPr="00BC081A" w14:paraId="446608B0" w14:textId="77777777" w:rsidTr="00FC3905">
        <w:trPr>
          <w:jc w:val="center"/>
        </w:trPr>
        <w:tc>
          <w:tcPr>
            <w:tcW w:w="4788" w:type="dxa"/>
          </w:tcPr>
          <w:p w14:paraId="5BDEB016" w14:textId="7CD7BB76" w:rsidR="009503F5" w:rsidRPr="00BC081A" w:rsidRDefault="009503F5" w:rsidP="00CD29FF">
            <w:pPr>
              <w:keepNext/>
              <w:tabs>
                <w:tab w:val="left" w:pos="326"/>
                <w:tab w:val="center" w:pos="4680"/>
              </w:tabs>
            </w:pPr>
            <w:r w:rsidRPr="00BC081A">
              <w:rPr>
                <w:noProof/>
                <w:lang w:val="en-US"/>
              </w:rPr>
              <w:drawing>
                <wp:inline distT="0" distB="0" distL="0" distR="0" wp14:anchorId="174C591A" wp14:editId="67030658">
                  <wp:extent cx="2514600" cy="2095500"/>
                  <wp:effectExtent l="0" t="0" r="0" b="0"/>
                  <wp:docPr id="18" name="Picture 18" descr="Macintosh HD:Users:SepSep:Dropbox:CV and more:OGS &amp; SSHRC:SSHRC:Pics: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pSep:Dropbox:CV and more:OGS &amp; SSHRC:SSHRC:Pics:Fl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095500"/>
                          </a:xfrm>
                          <a:prstGeom prst="rect">
                            <a:avLst/>
                          </a:prstGeom>
                          <a:noFill/>
                          <a:ln>
                            <a:noFill/>
                          </a:ln>
                        </pic:spPr>
                      </pic:pic>
                    </a:graphicData>
                  </a:graphic>
                </wp:inline>
              </w:drawing>
            </w:r>
          </w:p>
        </w:tc>
        <w:tc>
          <w:tcPr>
            <w:tcW w:w="4788" w:type="dxa"/>
          </w:tcPr>
          <w:p w14:paraId="0DA9C137" w14:textId="1EBA93E8" w:rsidR="009503F5" w:rsidRPr="00BC081A" w:rsidRDefault="009503F5" w:rsidP="00CD29FF">
            <w:pPr>
              <w:keepNext/>
              <w:tabs>
                <w:tab w:val="left" w:pos="326"/>
                <w:tab w:val="center" w:pos="4680"/>
              </w:tabs>
              <w:jc w:val="center"/>
            </w:pPr>
            <w:r w:rsidRPr="00BC081A">
              <w:rPr>
                <w:noProof/>
                <w:lang w:val="en-US"/>
              </w:rPr>
              <w:drawing>
                <wp:inline distT="0" distB="0" distL="0" distR="0" wp14:anchorId="7A175E3E" wp14:editId="6D876F86">
                  <wp:extent cx="2324455" cy="2085654"/>
                  <wp:effectExtent l="0" t="0" r="1270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325809" cy="2086868"/>
                          </a:xfrm>
                          <a:prstGeom prst="rect">
                            <a:avLst/>
                          </a:prstGeom>
                          <a:noFill/>
                          <a:ln w="9525">
                            <a:noFill/>
                            <a:miter lim="800000"/>
                            <a:headEnd/>
                            <a:tailEnd/>
                          </a:ln>
                        </pic:spPr>
                      </pic:pic>
                    </a:graphicData>
                  </a:graphic>
                </wp:inline>
              </w:drawing>
            </w:r>
          </w:p>
        </w:tc>
      </w:tr>
    </w:tbl>
    <w:p w14:paraId="00A26E2C" w14:textId="116CACE5" w:rsidR="00CD29FF" w:rsidRDefault="00CD29FF" w:rsidP="00C92D78">
      <w:pPr>
        <w:pStyle w:val="Caption"/>
      </w:pPr>
      <w:bookmarkStart w:id="46" w:name="_Ref278912157"/>
      <w:bookmarkStart w:id="47" w:name="_Toc278912297"/>
      <w:r>
        <w:t xml:space="preserve">Figure </w:t>
      </w:r>
      <w:r w:rsidR="007804FF">
        <w:fldChar w:fldCharType="begin"/>
      </w:r>
      <w:r w:rsidR="007804FF">
        <w:instrText xml:space="preserve"> SEQ Figure \* ARABIC </w:instrText>
      </w:r>
      <w:r w:rsidR="007804FF">
        <w:fldChar w:fldCharType="separate"/>
      </w:r>
      <w:r w:rsidR="008C71FB">
        <w:rPr>
          <w:noProof/>
        </w:rPr>
        <w:t>7</w:t>
      </w:r>
      <w:r w:rsidR="007804FF">
        <w:rPr>
          <w:noProof/>
        </w:rPr>
        <w:fldChar w:fldCharType="end"/>
      </w:r>
      <w:bookmarkEnd w:id="46"/>
      <w:r>
        <w:t xml:space="preserve"> - Flow Models: Original Flow Model on the left and Four-State Flow Model on the right</w:t>
      </w:r>
      <w:bookmarkEnd w:id="47"/>
    </w:p>
    <w:p w14:paraId="19681A23" w14:textId="4C7B59A0" w:rsidR="009503F5" w:rsidRPr="00BC081A" w:rsidRDefault="00D6640B" w:rsidP="009503F5">
      <w:r w:rsidRPr="00BC081A">
        <w:t>S</w:t>
      </w:r>
      <w:r w:rsidR="009503F5" w:rsidRPr="00BC081A">
        <w:t xml:space="preserve">ince the advent of the original Flow model, there have been some other variations introduced, based on the level of skill and challenge. The most well-known model is the eight-state model </w:t>
      </w:r>
      <w:r w:rsidR="009503F5" w:rsidRPr="00BC081A">
        <w:rPr>
          <w:noProof/>
        </w:rPr>
        <w:t>(Csikszentmihalyi, 1997; Csikszentmihalyi &amp; LeFevre, 1989; Massimini &amp; Carli, 1988; Takatalo, Nyman, &amp; Laaksonen, 2008)</w:t>
      </w:r>
      <w:r w:rsidR="004E66FB">
        <w:t xml:space="preserve"> shown in </w:t>
      </w:r>
      <w:r w:rsidR="004E66FB">
        <w:fldChar w:fldCharType="begin"/>
      </w:r>
      <w:r w:rsidR="004E66FB">
        <w:instrText xml:space="preserve"> REF _Ref278912209 \h </w:instrText>
      </w:r>
      <w:r w:rsidR="004E66FB">
        <w:fldChar w:fldCharType="separate"/>
      </w:r>
      <w:r w:rsidR="008C71FB">
        <w:t xml:space="preserve">Figure </w:t>
      </w:r>
      <w:r w:rsidR="008C71FB">
        <w:rPr>
          <w:noProof/>
        </w:rPr>
        <w:t>8</w:t>
      </w:r>
      <w:r w:rsidR="004E66FB">
        <w:fldChar w:fldCharType="end"/>
      </w:r>
      <w:r w:rsidR="009503F5" w:rsidRPr="00BC081A">
        <w:t>, which extends the previous models by adding four new states of Arousal, Control, Worry, and Relaxation that can be seen in the diagram in the respective regions of each state. The eight-state model is a more comprehensive model than the earlier versions and still has more parsimony compared to more complicated models (such as the 16-state model). This model als</w:t>
      </w:r>
      <w:r w:rsidRPr="00BC081A">
        <w:t>o includes the state of Arousal</w:t>
      </w:r>
      <w:r w:rsidR="009503F5" w:rsidRPr="00BC081A">
        <w:t xml:space="preserve">. </w:t>
      </w:r>
    </w:p>
    <w:p w14:paraId="0D834460" w14:textId="77777777" w:rsidR="004E66FB" w:rsidRDefault="009503F5" w:rsidP="004E66FB">
      <w:pPr>
        <w:keepNext/>
        <w:jc w:val="center"/>
      </w:pPr>
      <w:r w:rsidRPr="00BC081A">
        <w:rPr>
          <w:noProof/>
          <w:lang w:val="en-US"/>
        </w:rPr>
        <w:lastRenderedPageBreak/>
        <w:drawing>
          <wp:inline distT="0" distB="0" distL="0" distR="0" wp14:anchorId="7FCE6362" wp14:editId="2BC7A29C">
            <wp:extent cx="3113795" cy="2743200"/>
            <wp:effectExtent l="0" t="0" r="0" b="0"/>
            <wp:docPr id="20" name="Picture 20" descr="Macintosh HD:Users:SepSep:Dropbox:CV and more:OGS &amp; SSHRC:SSHRC:Pics:Screen Shot 2011-11-08 at 6.3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pSep:Dropbox:CV and more:OGS &amp; SSHRC:SSHRC:Pics:Screen Shot 2011-11-08 at 6.38.0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3795" cy="2743200"/>
                    </a:xfrm>
                    <a:prstGeom prst="rect">
                      <a:avLst/>
                    </a:prstGeom>
                    <a:noFill/>
                    <a:ln>
                      <a:noFill/>
                    </a:ln>
                  </pic:spPr>
                </pic:pic>
              </a:graphicData>
            </a:graphic>
          </wp:inline>
        </w:drawing>
      </w:r>
    </w:p>
    <w:p w14:paraId="49BF6E28" w14:textId="71049CDC" w:rsidR="009503F5" w:rsidRPr="00BC081A" w:rsidRDefault="004E66FB" w:rsidP="00C92D78">
      <w:pPr>
        <w:pStyle w:val="Caption"/>
      </w:pPr>
      <w:bookmarkStart w:id="48" w:name="_Ref278912209"/>
      <w:bookmarkStart w:id="49" w:name="_Toc278912298"/>
      <w:r>
        <w:t xml:space="preserve">Figure </w:t>
      </w:r>
      <w:r w:rsidR="007804FF">
        <w:fldChar w:fldCharType="begin"/>
      </w:r>
      <w:r w:rsidR="007804FF">
        <w:instrText xml:space="preserve"> SEQ Figure \* ARABIC </w:instrText>
      </w:r>
      <w:r w:rsidR="007804FF">
        <w:fldChar w:fldCharType="separate"/>
      </w:r>
      <w:r w:rsidR="008C71FB">
        <w:rPr>
          <w:noProof/>
        </w:rPr>
        <w:t>8</w:t>
      </w:r>
      <w:r w:rsidR="007804FF">
        <w:rPr>
          <w:noProof/>
        </w:rPr>
        <w:fldChar w:fldCharType="end"/>
      </w:r>
      <w:bookmarkEnd w:id="48"/>
      <w:r>
        <w:t xml:space="preserve"> - Eight State Flow Model</w:t>
      </w:r>
      <w:bookmarkEnd w:id="49"/>
    </w:p>
    <w:p w14:paraId="64392386" w14:textId="4B771599" w:rsidR="009503F5" w:rsidRPr="00BC081A" w:rsidRDefault="009503F5" w:rsidP="009503F5">
      <w:r w:rsidRPr="00BC081A">
        <w:t xml:space="preserve">Flow Theory has been adapted to the field of IS by </w:t>
      </w:r>
      <w:r w:rsidRPr="00BC081A">
        <w:rPr>
          <w:noProof/>
        </w:rPr>
        <w:t>Agarwal &amp; Karahanna (2000)</w:t>
      </w:r>
      <w:r w:rsidRPr="00BC081A">
        <w:t xml:space="preserve">, where it is referred to as “Cognitive Absorption” (CA). CA is defined as a multidimensional construct, which reflects the satisfaction of users with IT systems, and consequently, their continuing usage intension </w:t>
      </w:r>
      <w:r w:rsidRPr="00BC081A">
        <w:rPr>
          <w:noProof/>
        </w:rPr>
        <w:t>(Agarwal &amp; Karahanna, 2000, p. 665)</w:t>
      </w:r>
      <w:r w:rsidRPr="00BC081A">
        <w:t xml:space="preserve">. By incorporating the dimensions of constructs that were previously developed based on Flow, CA encapsulates five dimensions of temporal dissociation, focused immersion, heightened enjoyment, control, and curiosity, overarching Flow and engagement dimensions </w:t>
      </w:r>
      <w:r w:rsidRPr="00BC081A">
        <w:rPr>
          <w:noProof/>
        </w:rPr>
        <w:t>(Choi et al., 2007; Chou &amp; Ting, 2003; Korzaan, 2003; Novak, Hoffman, &amp; Yung, 2000; Shin, 2006; Skadberg &amp; Kimmel, 2004)</w:t>
      </w:r>
      <w:r w:rsidRPr="00BC081A">
        <w:t xml:space="preserve">. Similarly, based on SDT (explained below), competitiveness of video games is hypothesized to be a tool to create the state of Flow (CA). </w:t>
      </w:r>
    </w:p>
    <w:p w14:paraId="3FD3C3AA" w14:textId="5B4C83B5" w:rsidR="009014EB" w:rsidRPr="00BC081A" w:rsidRDefault="0005187D" w:rsidP="0005187D">
      <w:pPr>
        <w:pStyle w:val="Heading3"/>
      </w:pPr>
      <w:bookmarkStart w:id="50" w:name="_Toc275209822"/>
      <w:r w:rsidRPr="00BC081A">
        <w:t>Meta-analysis of Flow</w:t>
      </w:r>
      <w:bookmarkEnd w:id="50"/>
    </w:p>
    <w:p w14:paraId="70DF73A9" w14:textId="56C0F75D" w:rsidR="00777242" w:rsidRPr="00BC081A" w:rsidRDefault="009014EB" w:rsidP="00ED529A">
      <w:r w:rsidRPr="00BC081A">
        <w:t>Different scholars have studied the positive effects of being in the state of Flow on various outcomes</w:t>
      </w:r>
      <w:r w:rsidR="00ED529A" w:rsidRPr="00BC081A">
        <w:t>.</w:t>
      </w:r>
      <w:r w:rsidRPr="00BC081A">
        <w:t xml:space="preserve"> </w:t>
      </w:r>
      <w:r w:rsidR="00ED529A" w:rsidRPr="00BC081A">
        <w:t xml:space="preserve">These outcomes include positive attitudes and behavioural intentions </w:t>
      </w:r>
      <w:r w:rsidR="00DA2168" w:rsidRPr="00BC081A">
        <w:rPr>
          <w:noProof/>
        </w:rPr>
        <w:lastRenderedPageBreak/>
        <w:fldChar w:fldCharType="begin" w:fldLock="1"/>
      </w:r>
      <w:r w:rsidR="00AC1F7D">
        <w:rPr>
          <w:noProof/>
        </w:rPr>
        <w:instrText>ADDIN CSL_CITATION { "citationItems" : [ { "id" : "ITEM-1", "itemData" : { "DOI" : "10.2307/3250951", "ISSN" : "02767783", "author" : [ { "dropping-particle" : "", "family" : "Agarwal", "given" : "Ritu", "non-dropping-particle" : "", "parse-names" : false, "suffix" : "" }, { "dropping-particle" : "", "family" : "Karahanna", "given" : "Elena", "non-dropping-particle" : "", "parse-names" : false, "suffix" : "" } ], "container-title" : "MIS quarterly", "id" : "ITEM-1", "issue" : "4", "issued" : { "date-parts" : [ [ "2000", "12" ] ] }, "page" : "665-694", "title" : "Time flies when you're having fun: cognitive absorption and beliefs about information technology usage 1", "type" : "article-journal", "volume" : "24" }, "uris" : [ "http://www.mendeley.com/documents/?uuid=fe9ae25b-41a9-496b-bd50-859eb6651219" ] }, { "id" : "ITEM-2", "itemData" : { "DOI" : "10.1016/j.im.2003.08.014", "ISSN" : "03787206", "author" : [ { "dropping-particle" : "", "family" : "Hsu", "given" : "Chin-Lung", "non-dropping-particle" : "", "parse-names" : false, "suffix" : "" }, { "dropping-particle" : "", "family" : "Lu", "given" : "Hsi-Peng", "non-dropping-particle" : "", "parse-names" : false, "suffix" : "" } ], "container-title" : "Information &amp; Management", "id" : "ITEM-2", "issue" : "7", "issued" : { "date-parts" : [ [ "2004", "9" ] ] }, "page" : "853-868", "title" : "Why do people play on-line games? An extended TAM with social influences and flow experience", "type" : "article-journal", "volume" : "41" }, "uris" : [ "http://www.mendeley.com/documents/?uuid=ab94e247-e8d2-41e8-af86-c112fa20545e" ] }, { "id" : "ITEM-3", "itemData" : { "author" : [ { "dropping-particle" : "", "family" : "Korzaan", "given" : "M.L.", "non-dropping-particle" : "", "parse-names" : false, "suffix" : "" } ], "container-title" : "Journal of Computer Information Systems", "id" : "ITEM-3", "issue" : "4", "issued" : { "date-parts" : [ [ "2003" ] ] }, "page" : "25\u201331", "publisher" : "ASSOCIATION FOR COMPUTER EDUCATORS", "title" : "Going with the flow: Predicting online purchase intentions", "type" : "article-journal", "volume" : "43" }, "uris" : [ "http://www.mendeley.com/documents/?uuid=0aed2367-f621-4eae-b23a-559e3fc7ae0f" ] }, { "id" : "ITEM-4", "itemData" : { "DOI" : "10.1287/isre.13.2.205.83", "ISSN" : "1047-7047", "author" : [ { "dropping-particle" : "", "family" : "Koufaris", "given" : "Marios", "non-dropping-particle" : "", "parse-names" : false, "suffix" : "" } ], "container-title" : "Information Systems Research", "id" : "ITEM-4", "issue" : "2", "issued" : { "date-parts" : [ [ "2002", "6" ] ] }, "page" : "205-223", "title" : "Applying the Technology Acceptance Model and Flow Theory to Online Consumer Behavior", "type" : "article-journal", "volume" : "13" }, "uris" : [ "http://www.mendeley.com/documents/?uuid=39581e5f-9f22-4922-a21b-fdd1aefc7297" ] } ], "mendeley" : { "previouslyFormattedCitation" : "(Agarwal &amp; Karahanna, 2000; Chin-Lung Hsu &amp; Lu, 2004; Korzaan, 2003; Koufaris, 2002)" }, "properties" : { "noteIndex" : 0 }, "schema" : "https://github.com/citation-style-language/schema/raw/master/csl-citation.json" }</w:instrText>
      </w:r>
      <w:r w:rsidR="00DA2168" w:rsidRPr="00BC081A">
        <w:rPr>
          <w:noProof/>
        </w:rPr>
        <w:fldChar w:fldCharType="separate"/>
      </w:r>
      <w:r w:rsidR="00DA2168" w:rsidRPr="00BC081A">
        <w:rPr>
          <w:noProof/>
        </w:rPr>
        <w:t>(Agarwal &amp; Karahanna, 2000; Chin-Lung Hsu &amp; Lu, 2004; Korzaan, 2003; Koufaris, 2002)</w:t>
      </w:r>
      <w:r w:rsidR="00DA2168" w:rsidRPr="00BC081A">
        <w:rPr>
          <w:noProof/>
        </w:rPr>
        <w:fldChar w:fldCharType="end"/>
      </w:r>
      <w:r w:rsidR="00DA2168" w:rsidRPr="00BC081A">
        <w:rPr>
          <w:noProof/>
        </w:rPr>
        <w:t xml:space="preserve">, </w:t>
      </w:r>
      <w:r w:rsidR="00ED529A" w:rsidRPr="00BC081A">
        <w:t xml:space="preserve">learning performance </w:t>
      </w:r>
      <w:r w:rsidR="00DA2168" w:rsidRPr="00BC081A">
        <w:rPr>
          <w:noProof/>
        </w:rPr>
        <w:fldChar w:fldCharType="begin" w:fldLock="1"/>
      </w:r>
      <w:r w:rsidR="00AC1F7D">
        <w:rPr>
          <w:noProof/>
        </w:rPr>
        <w:instrText>ADDIN CSL_CITATION { "citationItems" : [ { "id" : "ITEM-1", "itemData" : { "DOI" : "10.1016/j.ijhcs.2006.10.002", "ISSN" : "10715819", "author" : [ { "dropping-particle" : "", "family" : "Choi", "given" : "D", "non-dropping-particle" : "", "parse-names" : false, "suffix" : "" }, { "dropping-particle" : "", "family" : "Kim", "given" : "J", "non-dropping-particle" : "", "parse-names" : false, "suffix" : "" }, { "dropping-particle" : "", "family" : "Kim", "given" : "S", "non-dropping-particle" : "", "parse-names" : false, "suffix" : "" } ], "container-title" : "International Journal of Human-Computer Studies", "id" : "ITEM-1", "issue" : "3", "issued" : { "date-parts" : [ [ "2007", "3" ] ] }, "page" : "223-243", "title" : "ERP training with a web-based electronic learning system: The flow theory perspective", "type" : "article-journal", "volume" : "65" }, "uris" : [ "http://www.mendeley.com/documents/?uuid=def02651-71b1-4166-afcc-2449ee873cdd" ] }, { "id" : "ITEM-2", "itemData" : { "DOI" : "10.1016/S0747-5632(03)00050-5", "ISSN" : "07475632", "author" : [ { "dropping-particle" : "", "family" : "Xia Skadberg", "given" : "Y", "non-dropping-particle" : "", "parse-names" : false, "suffix" : "" }, { "dropping-particle" : "", "family" : "Kimmel", "given" : "J.R.", "non-dropping-particle" : "", "parse-names" : false, "suffix" : "" } ], "container-title" : "Computers in human behavior", "id" : "ITEM-2", "issue" : "3", "issued" : { "date-parts" : [ [ "2004", "5" ] ] }, "page" : "403\u2013422", "publisher" : "Elsevier", "title" : "Visitors' Flow experience while browsing a web site: its measurement, contributing factors and consequences", "type" : "article-journal", "volume" : "20" }, "uris" : [ "http://www.mendeley.com/documents/?uuid=6e3fe50a-5561-4f27-8855-f7f2af5310db" ] } ], "mendeley" : { "previouslyFormattedCitation" : "(Choi, Kim, &amp; Kim, 2007; Xia Skadberg &amp; Kimmel, 2004)" }, "properties" : { "noteIndex" : 0 }, "schema" : "https://github.com/citation-style-language/schema/raw/master/csl-citation.json" }</w:instrText>
      </w:r>
      <w:r w:rsidR="00DA2168" w:rsidRPr="00BC081A">
        <w:rPr>
          <w:noProof/>
        </w:rPr>
        <w:fldChar w:fldCharType="separate"/>
      </w:r>
      <w:r w:rsidR="00DA2168" w:rsidRPr="00BC081A">
        <w:rPr>
          <w:noProof/>
        </w:rPr>
        <w:t>(Choi, Kim, &amp; Kim, 2007; Xia Skadberg &amp; Kimmel, 2004)</w:t>
      </w:r>
      <w:r w:rsidR="00DA2168" w:rsidRPr="00BC081A">
        <w:rPr>
          <w:noProof/>
        </w:rPr>
        <w:fldChar w:fldCharType="end"/>
      </w:r>
      <w:r w:rsidR="00ED529A" w:rsidRPr="00BC081A">
        <w:t xml:space="preserve">, and exploratory behaviour </w:t>
      </w:r>
      <w:r w:rsidR="00ED529A" w:rsidRPr="00BC081A">
        <w:rPr>
          <w:noProof/>
        </w:rPr>
        <w:fldChar w:fldCharType="begin" w:fldLock="1"/>
      </w:r>
      <w:r w:rsidR="00AC1F7D">
        <w:rPr>
          <w:noProof/>
        </w:rPr>
        <w:instrText>ADDIN CSL_CITATION { "citationItems" : [ { "id" : "ITEM-1", "itemData" : { "DOI" : "10.1089/109493103322725469", "ISSN" : "1094-9313", "PMID" : "14756934", "abstract" : "Consumer habit, an important key to repetitive consumption, is an interesting yet puzzling phenomenon. Sometimes this consumption becomes obsessive--consumers will continue to act a certain way even when they feel it is not in their best interests. However, not all consumers develop such addictions. This study uses cyber-game addiction syndrome as an analogue to trace the possible causes of consumer addiction. Results from structure equation modeling show that repetition of favorite activities has a moderate effect upon addiction, which is in line with the assertion of rational addiction theory. However, flow experience--the emotional state embracing perceptional distortion and enjoyment--shows a much stronger impact on addiction. This suggests that consumers who have experienced flow are more likely to be addicted.", "author" : [ { "dropping-particle" : "", "family" : "Chou", "given" : "Ting-Jui", "non-dropping-particle" : "", "parse-names" : false, "suffix" : "" }, { "dropping-particle" : "", "family" : "Ting", "given" : "Chih-Chen", "non-dropping-particle" : "", "parse-names" : false, "suffix" : "" } ], "container-title" : "Cyberpsychology &amp; behavior : the impact of the Internet, multimedia and virtual reality on behavior and society", "id" : "ITEM-1", "issue" : "6", "issued" : { "date-parts" : [ [ "2003", "12" ] ] }, "page" : "663-75", "title" : "The role of flow experience in cyber-game addiction.", "type" : "article-journal", "volume" : "6" }, "uris" : [ "http://www.mendeley.com/documents/?uuid=a0873fc3-140e-499e-91e6-9fd135db185f" ] }, { "id" : "ITEM-2", "itemData" : { "DOI" : "10.2307/1251841", "ISSN" : "00222429", "author" : [ { "dropping-particle" : "", "family" : "Hoffman", "given" : "Donna L.", "non-dropping-particle" : "", "parse-names" : false, "suffix" : "" }, { "dropping-particle" : "", "family" : "Novak", "given" : "Thomas P.", "non-dropping-particle" : "", "parse-names" : false, "suffix" : "" } ], "container-title" : "Journal of Marketing", "id" : "ITEM-2", "issue" : "3", "issued" : { "date-parts" : [ [ "1996", "7" ] ] }, "page" : "50", "title" : "Marketing in Hypermedia Computer-Mediated Environments: Conceptual Foundations", "type" : "article-journal", "volume" : "60" }, "uris" : [ "http://www.mendeley.com/documents/?uuid=d38351a6-f723-4d7d-9a3a-0bebc04df615" ] } ], "mendeley" : { "previouslyFormattedCitation" : "(Chou &amp; Ting, 2003; Hoffman &amp; Novak, 1996)" }, "properties" : { "noteIndex" : 0 }, "schema" : "https://github.com/citation-style-language/schema/raw/master/csl-citation.json" }</w:instrText>
      </w:r>
      <w:r w:rsidR="00ED529A" w:rsidRPr="00BC081A">
        <w:rPr>
          <w:noProof/>
        </w:rPr>
        <w:fldChar w:fldCharType="separate"/>
      </w:r>
      <w:r w:rsidR="00ED529A" w:rsidRPr="00BC081A">
        <w:rPr>
          <w:noProof/>
        </w:rPr>
        <w:t>(Chou &amp; Ting, 2003; Hoffman &amp; Novak, 1996)</w:t>
      </w:r>
      <w:r w:rsidR="00ED529A" w:rsidRPr="00BC081A">
        <w:rPr>
          <w:noProof/>
        </w:rPr>
        <w:fldChar w:fldCharType="end"/>
      </w:r>
      <w:r w:rsidRPr="00BC081A">
        <w:t xml:space="preserve">. </w:t>
      </w:r>
      <w:r w:rsidR="00777242" w:rsidRPr="00BC081A">
        <w:t xml:space="preserve">However, despite the general agreement on the basic conceptualization of </w:t>
      </w:r>
      <w:r w:rsidR="000A77B1" w:rsidRPr="00BC081A">
        <w:t>F</w:t>
      </w:r>
      <w:r w:rsidR="00777242" w:rsidRPr="00BC081A">
        <w:t xml:space="preserve">low by </w:t>
      </w:r>
      <w:proofErr w:type="spellStart"/>
      <w:r w:rsidR="00777242" w:rsidRPr="00BC081A">
        <w:t>Csikszentmihalyi</w:t>
      </w:r>
      <w:proofErr w:type="spellEnd"/>
      <w:r w:rsidR="00777242" w:rsidRPr="00BC081A">
        <w:t xml:space="preserve"> </w:t>
      </w:r>
      <w:r w:rsidR="00777242" w:rsidRPr="00BC081A">
        <w:fldChar w:fldCharType="begin" w:fldLock="1"/>
      </w:r>
      <w:r w:rsidR="00AC1F7D">
        <w:instrText>ADDIN CSL_CITATION { "citationItems" : [ { "id" : "ITEM-1", "itemData" : { "author" : [ { "dropping-particle" : "", "family" : "Csikszentmihalyi", "given" : "M", "non-dropping-particle" : "", "parse-names" : false, "suffix" : "" } ], "id" : "ITEM-1", "issued" : { "date-parts" : [ [ "1997" ] ] }, "publisher" : "Basic Books", "title" : "Finding flow: The psychology of engagement with everyday life", "type" : "book" }, "suppress-author" : 1, "uris" : [ "http://www.mendeley.com/documents/?uuid=294e388b-5672-4078-9925-ceecb8292ef7" ] } ], "mendeley" : { "previouslyFormattedCitation" : "(1997)" }, "properties" : { "noteIndex" : 0 }, "schema" : "https://github.com/citation-style-language/schema/raw/master/csl-citation.json" }</w:instrText>
      </w:r>
      <w:r w:rsidR="00777242" w:rsidRPr="00BC081A">
        <w:fldChar w:fldCharType="separate"/>
      </w:r>
      <w:r w:rsidR="00777242" w:rsidRPr="00BC081A">
        <w:rPr>
          <w:noProof/>
        </w:rPr>
        <w:t>(1997)</w:t>
      </w:r>
      <w:r w:rsidR="00777242" w:rsidRPr="00BC081A">
        <w:fldChar w:fldCharType="end"/>
      </w:r>
      <w:r w:rsidR="00777242" w:rsidRPr="00BC081A">
        <w:t xml:space="preserve">, there is no consensus on the instruments that are developed to operationalize </w:t>
      </w:r>
      <w:r w:rsidR="000A77B1" w:rsidRPr="00BC081A">
        <w:t>F</w:t>
      </w:r>
      <w:r w:rsidR="00777242" w:rsidRPr="00BC081A">
        <w:t xml:space="preserve">low. Researchers have argued that this construct is “too broad and ill-defined due to the numerous ways it has been operationalized, tested, and applied” </w:t>
      </w:r>
      <w:r w:rsidR="00777242" w:rsidRPr="00BC081A">
        <w:fldChar w:fldCharType="begin" w:fldLock="1"/>
      </w:r>
      <w:r w:rsidR="00AC1F7D">
        <w:instrText>ADDIN CSL_CITATION { "citationItems" : [ { "id" : "ITEM-1", "itemData" : { "DOI" : "10.1016/j.ijhcs.2006.10.002", "ISSN" : "10715819", "author" : [ { "dropping-particle" : "", "family" : "Choi", "given" : "D", "non-dropping-particle" : "", "parse-names" : false, "suffix" : "" }, { "dropping-particle" : "", "family" : "Kim", "given" : "J", "non-dropping-particle" : "", "parse-names" : false, "suffix" : "" }, { "dropping-particle" : "", "family" : "Kim", "given" : "S", "non-dropping-particle" : "", "parse-names" : false, "suffix" : "" } ], "container-title" : "International Journal of Human-Computer Studies", "id" : "ITEM-1", "issue" : "3", "issued" : { "date-parts" : [ [ "2007", "3" ] ] }, "page" : "223-243", "title" : "ERP training with a web-based electronic learning system: The flow theory perspective", "type" : "article-journal", "volume" : "65" }, "uris" : [ "http://www.mendeley.com/documents/?uuid=def02651-71b1-4166-afcc-2449ee873cdd" ] } ], "mendeley" : { "previouslyFormattedCitation" : "(Choi et al., 2007)" }, "properties" : { "noteIndex" : 0 }, "schema" : "https://github.com/citation-style-language/schema/raw/master/csl-citation.json" }</w:instrText>
      </w:r>
      <w:r w:rsidR="00777242" w:rsidRPr="00BC081A">
        <w:fldChar w:fldCharType="separate"/>
      </w:r>
      <w:r w:rsidR="00777242" w:rsidRPr="00BC081A">
        <w:rPr>
          <w:noProof/>
        </w:rPr>
        <w:t>(Choi et al., 2007)</w:t>
      </w:r>
      <w:r w:rsidR="00777242" w:rsidRPr="00BC081A">
        <w:fldChar w:fldCharType="end"/>
      </w:r>
      <w:r w:rsidR="00777242" w:rsidRPr="00BC081A">
        <w:t>.</w:t>
      </w:r>
    </w:p>
    <w:p w14:paraId="328461C1" w14:textId="5D3045DF" w:rsidR="009014EB" w:rsidRPr="00BC081A" w:rsidRDefault="00F84E31" w:rsidP="00B06C83">
      <w:r>
        <w:t>Given the importance of Flow in the current investigation, a meta-analysis was conducted to provide insight into the following Flow-related questions</w:t>
      </w:r>
      <w:r w:rsidR="00B06C83" w:rsidRPr="00BC081A">
        <w:t xml:space="preserve">: </w:t>
      </w:r>
      <w:r w:rsidR="005A100D">
        <w:t xml:space="preserve">(1) </w:t>
      </w:r>
      <w:r w:rsidR="00B06C83" w:rsidRPr="00BC081A">
        <w:t xml:space="preserve">Among the empirical studies that have examined the positive impacts of </w:t>
      </w:r>
      <w:r w:rsidR="000A77B1" w:rsidRPr="00BC081A">
        <w:t>F</w:t>
      </w:r>
      <w:r w:rsidR="00B06C83" w:rsidRPr="00BC081A">
        <w:t xml:space="preserve">low for particular hedonic systems, is there a consensus in their findings? </w:t>
      </w:r>
      <w:r w:rsidR="005A100D">
        <w:t>(2)</w:t>
      </w:r>
      <w:r w:rsidR="00B06C83" w:rsidRPr="00BC081A">
        <w:rPr>
          <w:b/>
        </w:rPr>
        <w:t xml:space="preserve"> </w:t>
      </w:r>
      <w:r w:rsidR="00B06C83" w:rsidRPr="00BC081A">
        <w:t xml:space="preserve">Are there any significant differences in the impact of findings between the measurements that are developed for the construct of </w:t>
      </w:r>
      <w:r w:rsidR="000A77B1" w:rsidRPr="00BC081A">
        <w:t>F</w:t>
      </w:r>
      <w:r w:rsidR="00B06C83" w:rsidRPr="00BC081A">
        <w:t xml:space="preserve">low? </w:t>
      </w:r>
    </w:p>
    <w:p w14:paraId="2DFAEEBC" w14:textId="61FD6FD6" w:rsidR="00B06C83" w:rsidRPr="00BC081A" w:rsidRDefault="00B06C83" w:rsidP="00B06C83">
      <w:r w:rsidRPr="00BC081A">
        <w:t xml:space="preserve">To answer these questions, a meta-analysis was conducted in order to consolidate the findings of previous studies that have used the theory of </w:t>
      </w:r>
      <w:r w:rsidR="000A77B1" w:rsidRPr="00BC081A">
        <w:t>F</w:t>
      </w:r>
      <w:r w:rsidRPr="00BC081A">
        <w:t xml:space="preserve">low to investigate hedonic IT use. Meta-analysis is an appropriate research method for answering the research questions mentioned above due to the richness and diversity of previous research in this domain. </w:t>
      </w:r>
      <w:r w:rsidR="00AA763C" w:rsidRPr="00BC081A">
        <w:t xml:space="preserve">Details of the meta-analysis study can be found in Appendix 1. </w:t>
      </w:r>
    </w:p>
    <w:p w14:paraId="7C25F495" w14:textId="13C2BD02" w:rsidR="004E1D5B" w:rsidRPr="00BC081A" w:rsidRDefault="004E1D5B" w:rsidP="004E1D5B">
      <w:r w:rsidRPr="00BC081A">
        <w:t xml:space="preserve">Previous studies have shown that the construct of </w:t>
      </w:r>
      <w:r w:rsidR="000A77B1" w:rsidRPr="00BC081A">
        <w:t>F</w:t>
      </w:r>
      <w:r w:rsidRPr="00BC081A">
        <w:t xml:space="preserve">low has a moderate to large effect size on predicting relevant constructs of </w:t>
      </w:r>
      <w:r w:rsidR="00F84E31">
        <w:t>the Technology Acceptance Model (</w:t>
      </w:r>
      <w:r w:rsidRPr="00BC081A">
        <w:t>TAM</w:t>
      </w:r>
      <w:r w:rsidR="00F84E31">
        <w:t>)</w:t>
      </w:r>
      <w:r w:rsidRPr="00BC081A">
        <w:t xml:space="preserve"> in IT usage, namely attitude towards use and intention to use. The number of published studies on the influence of </w:t>
      </w:r>
      <w:r w:rsidR="000A77B1" w:rsidRPr="00BC081A">
        <w:t>F</w:t>
      </w:r>
      <w:r w:rsidRPr="00BC081A">
        <w:t xml:space="preserve">low on attitude was not sufficient to draw a certain conclusion about its influence on attitude, despite the proper confidence interval. On the other hand, many empirical studies have been conducted that could be used for performing meta-analysis on the relation of </w:t>
      </w:r>
      <w:r w:rsidR="000A77B1" w:rsidRPr="00BC081A">
        <w:t>F</w:t>
      </w:r>
      <w:r w:rsidRPr="00BC081A">
        <w:t xml:space="preserve">low/CA </w:t>
      </w:r>
      <w:r w:rsidRPr="00BC081A">
        <w:lastRenderedPageBreak/>
        <w:t xml:space="preserve">on intention to use. These studies support the claim that </w:t>
      </w:r>
      <w:r w:rsidR="000A77B1" w:rsidRPr="00BC081A">
        <w:t>F</w:t>
      </w:r>
      <w:r w:rsidRPr="00BC081A">
        <w:t xml:space="preserve">low is a suitable construct to predict the intention to use of IT. Additionally, it was shown that the operationalization approach of </w:t>
      </w:r>
      <w:r w:rsidR="000A77B1" w:rsidRPr="00BC081A">
        <w:t>F</w:t>
      </w:r>
      <w:r w:rsidRPr="00BC081A">
        <w:t xml:space="preserve">low plays an important role on the effect size of the relation between this construct and intention to use. This moderation effect indicates that the unidimensional instrument has medium prediction power compared to the high prediction power of multidimensional instruments (CA, engagement, and their variations) on intention to use hedonic systems. The </w:t>
      </w:r>
      <w:r w:rsidRPr="00BC081A">
        <w:rPr>
          <w:i/>
        </w:rPr>
        <w:t>Q</w:t>
      </w:r>
      <w:r w:rsidR="000A77B1" w:rsidRPr="00BC081A">
        <w:t>-test</w:t>
      </w:r>
      <w:r w:rsidR="00956BA8" w:rsidRPr="00BC081A">
        <w:rPr>
          <w:rStyle w:val="FootnoteReference"/>
        </w:rPr>
        <w:footnoteReference w:id="8"/>
      </w:r>
      <w:r w:rsidR="00956BA8" w:rsidRPr="00BC081A">
        <w:t xml:space="preserve"> </w:t>
      </w:r>
      <w:r w:rsidR="000A77B1" w:rsidRPr="00BC081A">
        <w:t>also showed</w:t>
      </w:r>
      <w:r w:rsidRPr="00BC081A">
        <w:t xml:space="preserve"> that the studies used for this meta-analysis were homogeneous in their effect size and the results are stable for this relationship, for both operationalization approaches. It was shown that multidimensional instruments for </w:t>
      </w:r>
      <w:r w:rsidR="000A77B1" w:rsidRPr="00BC081A">
        <w:t>F</w:t>
      </w:r>
      <w:r w:rsidRPr="00BC081A">
        <w:t xml:space="preserve">low/CA, to some extent, have similar effect size based on the low </w:t>
      </w:r>
      <w:r w:rsidRPr="00BC081A">
        <w:rPr>
          <w:i/>
        </w:rPr>
        <w:t>Q</w:t>
      </w:r>
      <w:r w:rsidRPr="00BC081A">
        <w:t xml:space="preserve"> level in the meta-analysis (high homogeneity, showing high reliability of the general findings). </w:t>
      </w:r>
    </w:p>
    <w:p w14:paraId="5724E9F2" w14:textId="25A51DD7" w:rsidR="004E1D5B" w:rsidRPr="00BC081A" w:rsidRDefault="004E1D5B" w:rsidP="004E1D5B">
      <w:r w:rsidRPr="00BC081A">
        <w:t xml:space="preserve">There are both advantages and disadvantages in using any of the measurements with unidimensional or multidimensional questionnaires. The disadvantage of the multidimensional approach is that it increases the complexity of study, resulting in more complicated analysis and extending the length of questionnaire. However, unidimensional measures may not have the predictability power of multidimensional ones (like CA) and may not reflect the conceptual idea of </w:t>
      </w:r>
      <w:r w:rsidR="000A77B1" w:rsidRPr="00BC081A">
        <w:t>F</w:t>
      </w:r>
      <w:r w:rsidRPr="00BC081A">
        <w:t>low as well, despite their ease of administration and simplicity. In fact, unidimensional measures fail to include different dimensions of the main concept. In addition, using structural equation modeling (SEM) techniques, evaluation of models with multidimensional constructs would be easier</w:t>
      </w:r>
      <w:r w:rsidRPr="00BC081A">
        <w:rPr>
          <w:rStyle w:val="FootnoteReference"/>
        </w:rPr>
        <w:footnoteReference w:id="9"/>
      </w:r>
      <w:r w:rsidRPr="00BC081A">
        <w:t xml:space="preserve">. </w:t>
      </w:r>
    </w:p>
    <w:p w14:paraId="3078BF46" w14:textId="2701E574" w:rsidR="00E24EF0" w:rsidRPr="00BC081A" w:rsidRDefault="004E1D5B" w:rsidP="004E1D5B">
      <w:r w:rsidRPr="00BC081A">
        <w:rPr>
          <w:noProof/>
        </w:rPr>
        <w:lastRenderedPageBreak/>
        <w:t>Hoffman and Novak (2009)</w:t>
      </w:r>
      <w:r w:rsidRPr="00BC081A">
        <w:t xml:space="preserve"> recommend that whenever possible, both multidimensional and unidimensional measures should be deployed to strengthen the power of the instrument in </w:t>
      </w:r>
      <w:r w:rsidR="002A00C0">
        <w:t xml:space="preserve">a </w:t>
      </w:r>
      <w:r w:rsidRPr="00BC081A">
        <w:t xml:space="preserve">study. In other words, using multiple measurements, “the researcher would be in a position to analyze the data in multiple ways, observe consistencies or inconsistencies, and most importantly, to compare their results with researchers who used different approaches to measuring </w:t>
      </w:r>
      <w:r w:rsidR="000A77B1" w:rsidRPr="00BC081A">
        <w:t>F</w:t>
      </w:r>
      <w:r w:rsidRPr="00BC081A">
        <w:t xml:space="preserve">low” </w:t>
      </w:r>
      <w:r w:rsidRPr="00BC081A">
        <w:rPr>
          <w:noProof/>
        </w:rPr>
        <w:fldChar w:fldCharType="begin" w:fldLock="1"/>
      </w:r>
      <w:r w:rsidR="00AC1F7D">
        <w:rPr>
          <w:noProof/>
        </w:rPr>
        <w:instrText>ADDIN CSL_CITATION { "citationItems" : [ { "id" : "ITEM-1", "itemData" : { "DOI" : "10.1016/j.intmar.2008.10.003", "ISSN" : "10949968", "author" : [ { "dropping-particle" : "", "family" : "Hoffman", "given" : "Donna L.", "non-dropping-particle" : "", "parse-names" : false, "suffix" : "" }, { "dropping-particle" : "", "family" : "Novak", "given" : "Thomas P.", "non-dropping-particle" : "", "parse-names" : false, "suffix" : "" } ], "container-title" : "Journal of Interactive Marketing", "id" : "ITEM-1", "issue" : "1", "issued" : { "date-parts" : [ [ "2009", "2" ] ] }, "page" : "23-34", "publisher" : "Direct Marketing Educational Foundation, Inc.", "title" : "Flow Online: Lessons Learned and Future Prospects", "type" : "article-journal", "volume" : "23" }, "locator" : "29", "uris" : [ "http://www.mendeley.com/documents/?uuid=0a155295-9b9e-4cce-b4f3-81f5430b31ee" ] } ], "mendeley" : { "previouslyFormattedCitation" : "(Hoffman &amp; Novak, 2009, p. 29)" }, "properties" : { "noteIndex" : 0 }, "schema" : "https://github.com/citation-style-language/schema/raw/master/csl-citation.json" }</w:instrText>
      </w:r>
      <w:r w:rsidRPr="00BC081A">
        <w:rPr>
          <w:noProof/>
        </w:rPr>
        <w:fldChar w:fldCharType="separate"/>
      </w:r>
      <w:r w:rsidRPr="00BC081A">
        <w:rPr>
          <w:noProof/>
        </w:rPr>
        <w:t>(Hoffman &amp; Novak, 2009, p. 29)</w:t>
      </w:r>
      <w:r w:rsidRPr="00BC081A">
        <w:rPr>
          <w:noProof/>
        </w:rPr>
        <w:fldChar w:fldCharType="end"/>
      </w:r>
      <w:r w:rsidRPr="00BC081A">
        <w:t xml:space="preserve">. Nevertheless, it is not clear how using both measurements can augment the calculations other than a simple comparison of two measurements (while creating a longer questionnaire). One use of gathering both measurements would be to follow the modeling of </w:t>
      </w:r>
      <w:r w:rsidRPr="00BC081A">
        <w:rPr>
          <w:noProof/>
        </w:rPr>
        <w:t>Guo and Ro (2008)</w:t>
      </w:r>
      <w:r w:rsidRPr="00BC081A">
        <w:t xml:space="preserve">, in which one can use unidimensional measure’s correlation with different dimensions in order to find the dimensions of the concept of </w:t>
      </w:r>
      <w:r w:rsidR="000A77B1" w:rsidRPr="00BC081A">
        <w:t>F</w:t>
      </w:r>
      <w:r w:rsidRPr="00BC081A">
        <w:t xml:space="preserve">low that are relevant to the context; thus, eliminate the dimensions that are not correlating with the unidimensional measure. Yet, using techniques such as PLS outer model loadings it is possible to identify the dimensions that would be proper for measuring </w:t>
      </w:r>
      <w:r w:rsidR="000A77B1" w:rsidRPr="00BC081A">
        <w:t>F</w:t>
      </w:r>
      <w:r w:rsidRPr="00BC081A">
        <w:t xml:space="preserve">low (similar to </w:t>
      </w:r>
      <w:proofErr w:type="spellStart"/>
      <w:r w:rsidRPr="00BC081A">
        <w:t>Agarwal</w:t>
      </w:r>
      <w:proofErr w:type="spellEnd"/>
      <w:r w:rsidRPr="00BC081A">
        <w:t xml:space="preserve"> and </w:t>
      </w:r>
      <w:proofErr w:type="spellStart"/>
      <w:r w:rsidRPr="00BC081A">
        <w:t>Karahanna</w:t>
      </w:r>
      <w:proofErr w:type="spellEnd"/>
      <w:r w:rsidRPr="00BC081A">
        <w:t xml:space="preserve">, 2000). This approach can be based on a qualitative and/or pilot study and/or literature review to detect the relevant dimensions of </w:t>
      </w:r>
      <w:r w:rsidR="00FD5EA6" w:rsidRPr="00BC081A">
        <w:t>F</w:t>
      </w:r>
      <w:r w:rsidRPr="00BC081A">
        <w:t xml:space="preserve">low in a specific context (e.g. in interaction with recommendation agents or avatars). Hence, </w:t>
      </w:r>
      <w:r w:rsidR="00A11EC8" w:rsidRPr="00BC081A">
        <w:t>it is</w:t>
      </w:r>
      <w:r w:rsidRPr="00BC081A">
        <w:t xml:space="preserve"> expect</w:t>
      </w:r>
      <w:r w:rsidR="00A11EC8" w:rsidRPr="00BC081A">
        <w:t>ed that</w:t>
      </w:r>
      <w:r w:rsidRPr="00BC081A">
        <w:t xml:space="preserve"> using multidimensional measurements – whenever possible – to be more comprehensive and create less ambiguity for participants, therefore, to reduce measurement error. It is also possible for researchers to select a subset of the multidimensional construct, based on the relevance to the context and/or outcome of interest in their studies grounded in sound and reasonable theoretical justification </w:t>
      </w:r>
      <w:r w:rsidRPr="00BC081A">
        <w:fldChar w:fldCharType="begin" w:fldLock="1"/>
      </w:r>
      <w:r w:rsidR="00AC1F7D">
        <w:instrText>ADDIN CSL_CITATION { "citationItems" : [ { "id" : "ITEM-1", "itemData" : { "DOI" : "10.1057/ejis.2011.10", "ISSN" : "0960-085X", "author" : [ { "dropping-particle" : "", "family" : "Polites", "given" : "Greta L", "non-dropping-particle" : "", "parse-names" : false, "suffix" : "" }, { "dropping-particle" : "", "family" : "Roberts", "given" : "Nicholas", "non-dropping-particle" : "", "parse-names" : false, "suffix" : "" }, { "dropping-particle" : "", "family" : "Thatcher", "given" : "Jason", "non-dropping-particle" : "", "parse-names" : false, "suffix" : "" } ], "container-title" : "European Journal of Information Systems", "id" : "ITEM-1", "issue" : "1", "issued" : { "date-parts" : [ [ "2012", "4", "19" ] ] }, "page" : "22-48", "publisher" : "Nature Publishing Group", "title" : "Conceptualizing models using multidimensional constructs: a review and guidelines for their use", "type" : "article-journal", "volume" : "21" }, "uris" : [ "http://www.mendeley.com/documents/?uuid=db26e109-a5c4-49c8-b235-3550795ae4e8" ] } ], "mendeley" : { "previouslyFormattedCitation" : "(Polites, Roberts, &amp; Thatcher, 2012)" }, "properties" : { "noteIndex" : 0 }, "schema" : "https://github.com/citation-style-language/schema/raw/master/csl-citation.json" }</w:instrText>
      </w:r>
      <w:r w:rsidRPr="00BC081A">
        <w:fldChar w:fldCharType="separate"/>
      </w:r>
      <w:r w:rsidRPr="00BC081A">
        <w:rPr>
          <w:noProof/>
        </w:rPr>
        <w:t>(Polites, Roberts, &amp; Thatcher, 2012)</w:t>
      </w:r>
      <w:r w:rsidRPr="00BC081A">
        <w:fldChar w:fldCharType="end"/>
      </w:r>
      <w:r w:rsidRPr="00BC081A">
        <w:t xml:space="preserve">. </w:t>
      </w:r>
      <w:proofErr w:type="spellStart"/>
      <w:r w:rsidRPr="00BC081A">
        <w:t>Siekpe</w:t>
      </w:r>
      <w:proofErr w:type="spellEnd"/>
      <w:r w:rsidRPr="00BC081A">
        <w:t xml:space="preserve"> </w:t>
      </w:r>
      <w:r w:rsidRPr="00BC081A">
        <w:fldChar w:fldCharType="begin" w:fldLock="1"/>
      </w:r>
      <w:r w:rsidR="00AC1F7D">
        <w:instrText>ADDIN CSL_CITATION { "citationItems" : [ { "id" : "ITEM-1", "itemData" : { "author" : [ { "dropping-particle" : "", "family" : "Siekpe", "given" : "JS", "non-dropping-particle" : "", "parse-names" : false, "suffix" : "" } ], "container-title" : "Journal of Electronic Commerce Research", "id" : "ITEM-1", "issue" : "1", "issued" : { "date-parts" : [ [ "2005" ] ] }, "page" : "31-43", "title" : "An examination of the multidimensionality of flow construct in a computer-mediated environment", "type" : "article-journal", "volume" : "6" }, "suppress-author" : 1, "uris" : [ "http://www.mendeley.com/documents/?uuid=2bb52058-96e0-474a-a62f-d3dac801bf05" ] } ], "mendeley" : { "previouslyFormattedCitation" : "(2005)" }, "properties" : { "noteIndex" : 0 }, "schema" : "https://github.com/citation-style-language/schema/raw/master/csl-citation.json" }</w:instrText>
      </w:r>
      <w:r w:rsidRPr="00BC081A">
        <w:fldChar w:fldCharType="separate"/>
      </w:r>
      <w:r w:rsidRPr="00BC081A">
        <w:rPr>
          <w:noProof/>
        </w:rPr>
        <w:t>(2005)</w:t>
      </w:r>
      <w:r w:rsidRPr="00BC081A">
        <w:fldChar w:fldCharType="end"/>
      </w:r>
      <w:r w:rsidRPr="00BC081A">
        <w:t xml:space="preserve"> and Lin et al. </w:t>
      </w:r>
      <w:r w:rsidRPr="00BC081A">
        <w:fldChar w:fldCharType="begin" w:fldLock="1"/>
      </w:r>
      <w:r w:rsidR="00AC1F7D">
        <w:instrText>ADDIN CSL_CITATION { "citationItems" : [ { "id" : "ITEM-1", "itemData" : { "author" : [ { "dropping-particle" : "", "family" : "Lin", "given" : "Cathy", "non-dropping-particle" : "", "parse-names" : false, "suffix" : "" }, { "dropping-particle" : "", "family" : "Lin", "given" : "Jean", "non-dropping-particle" : "", "parse-names" : false, "suffix" : "" }, { "dropping-particle" : "", "family" : "Wu", "given" : "Sheng", "non-dropping-particle" : "", "parse-names" : false, "suffix" : "" } ], "container-title" : "Information Systems", "id" : "ITEM-1", "issued" : { "date-parts" : [ [ "2008" ] ] }, "title" : "Exploring Consumers ' Keyword Ads Search Behaviors : An Integration of Theory of Planned Behavior and Flow Theory", "type" : "article-journal" }, "suppress-author" : 1, "uris" : [ "http://www.mendeley.com/documents/?uuid=97e7c4df-2cb7-4e97-88e2-ce7072d8fae9" ] } ], "mendeley" : { "previouslyFormattedCitation" : "(2008)" }, "properties" : { "noteIndex" : 0 }, "schema" : "https://github.com/citation-style-language/schema/raw/master/csl-citation.json" }</w:instrText>
      </w:r>
      <w:r w:rsidRPr="00BC081A">
        <w:fldChar w:fldCharType="separate"/>
      </w:r>
      <w:r w:rsidRPr="00BC081A">
        <w:rPr>
          <w:noProof/>
        </w:rPr>
        <w:t>(2008)</w:t>
      </w:r>
      <w:r w:rsidRPr="00BC081A">
        <w:fldChar w:fldCharType="end"/>
      </w:r>
      <w:r w:rsidRPr="00BC081A">
        <w:t xml:space="preserve"> are two examples of this approach (selecting a subset of </w:t>
      </w:r>
      <w:r w:rsidR="00FD5EA6" w:rsidRPr="00BC081A">
        <w:t>F</w:t>
      </w:r>
      <w:r w:rsidRPr="00BC081A">
        <w:t xml:space="preserve">low dimensions). </w:t>
      </w:r>
    </w:p>
    <w:p w14:paraId="271475BE" w14:textId="283767B7" w:rsidR="00403938" w:rsidRPr="00BC081A" w:rsidRDefault="00D51D4D" w:rsidP="00403938">
      <w:r>
        <w:rPr>
          <w:rFonts w:eastAsia="Times New Roman" w:cs="Times New Roman"/>
        </w:rPr>
        <w:lastRenderedPageBreak/>
        <w:t xml:space="preserve">As the meta-analysis results showed, </w:t>
      </w:r>
      <w:r w:rsidR="007E5B36">
        <w:rPr>
          <w:rFonts w:eastAsia="Times New Roman" w:cs="Times New Roman"/>
        </w:rPr>
        <w:t>F</w:t>
      </w:r>
      <w:r>
        <w:rPr>
          <w:rFonts w:eastAsia="Times New Roman" w:cs="Times New Roman"/>
        </w:rPr>
        <w:t xml:space="preserve">low has positive outcomes on attitude and intention; these outcomes are best captured when Flow is conceptualized in a multidimensional way. </w:t>
      </w:r>
      <w:r w:rsidR="007E5B36">
        <w:rPr>
          <w:rFonts w:eastAsia="Times New Roman" w:cs="Times New Roman"/>
        </w:rPr>
        <w:t>Therefore</w:t>
      </w:r>
      <w:r>
        <w:rPr>
          <w:rFonts w:eastAsia="Times New Roman" w:cs="Times New Roman"/>
        </w:rPr>
        <w:t xml:space="preserve">, multidimensional representation of Flow is the recommendation for researchers and what is being followed in the current investigation. </w:t>
      </w:r>
      <w:r w:rsidR="00403938" w:rsidRPr="00BC081A">
        <w:t xml:space="preserve">For this research, regardless of the ease of instrument administration, it is critical to find the measurement that best </w:t>
      </w:r>
      <w:r w:rsidR="00936AF0">
        <w:t>re</w:t>
      </w:r>
      <w:r w:rsidR="00403938" w:rsidRPr="00BC081A">
        <w:t xml:space="preserve">presents the concept of Flow </w:t>
      </w:r>
      <w:r w:rsidR="00936AF0">
        <w:t>to ensure</w:t>
      </w:r>
      <w:r w:rsidR="00403938" w:rsidRPr="00BC081A">
        <w:t xml:space="preserve"> valid and reliable results. As </w:t>
      </w:r>
      <w:r w:rsidR="00936AF0">
        <w:t>such</w:t>
      </w:r>
      <w:r w:rsidR="00403938" w:rsidRPr="00BC081A">
        <w:t xml:space="preserve">, in this study, three of the dimensions that </w:t>
      </w:r>
      <w:r w:rsidR="004652F0">
        <w:t>were relevant</w:t>
      </w:r>
      <w:r w:rsidR="00403938" w:rsidRPr="00BC081A">
        <w:t xml:space="preserve"> to the context of video game-playing, namely Temporal Dissociation, Focused Immersion, and Heightened Enjoyment, were chosen to measure the concept of Flow.</w:t>
      </w:r>
      <w:r w:rsidR="005E167C" w:rsidRPr="005E167C">
        <w:rPr>
          <w:rFonts w:eastAsia="Times New Roman" w:cs="Times New Roman"/>
        </w:rPr>
        <w:t xml:space="preserve"> </w:t>
      </w:r>
      <w:r w:rsidR="005E167C">
        <w:rPr>
          <w:rFonts w:eastAsia="Times New Roman" w:cs="Times New Roman"/>
        </w:rPr>
        <w:t xml:space="preserve">These dimensions will be used in this research </w:t>
      </w:r>
      <w:r w:rsidR="00936AF0">
        <w:rPr>
          <w:rFonts w:eastAsia="Times New Roman" w:cs="Times New Roman"/>
        </w:rPr>
        <w:t xml:space="preserve">and </w:t>
      </w:r>
      <w:r w:rsidR="005E167C">
        <w:rPr>
          <w:rFonts w:eastAsia="Times New Roman" w:cs="Times New Roman"/>
        </w:rPr>
        <w:t>will be further discussed in the methodology section.</w:t>
      </w:r>
    </w:p>
    <w:p w14:paraId="7F14B5C6" w14:textId="61B486E1" w:rsidR="009503F5" w:rsidRPr="00BC081A" w:rsidRDefault="00D6640B" w:rsidP="00863D4C">
      <w:pPr>
        <w:pStyle w:val="Heading2"/>
      </w:pPr>
      <w:bookmarkStart w:id="51" w:name="_Toc275209823"/>
      <w:r w:rsidRPr="00BC081A">
        <w:t xml:space="preserve">Combining </w:t>
      </w:r>
      <w:r w:rsidR="009503F5" w:rsidRPr="00BC081A">
        <w:t>SDT and Flow</w:t>
      </w:r>
      <w:bookmarkEnd w:id="51"/>
    </w:p>
    <w:p w14:paraId="5A8383DD" w14:textId="4CEE2522" w:rsidR="009D679C" w:rsidRPr="00BC081A" w:rsidRDefault="009503F5" w:rsidP="009D679C">
      <w:r w:rsidRPr="00BC081A">
        <w:t xml:space="preserve">Many of the studies on SDT and competition have explained the negative effect of competition outcomes on intrinsic motivation, in particular for losers. As a result, it should be mentioned that </w:t>
      </w:r>
      <w:r w:rsidR="009C0EC9">
        <w:t>this study’s</w:t>
      </w:r>
      <w:r w:rsidRPr="00BC081A">
        <w:t xml:space="preserve"> framework is to evaluate motivation during competition prior to receiving the outcome that can decrease people’s competence due to losing the game. Motivation during the game is independent of the outcome and </w:t>
      </w:r>
      <w:r w:rsidR="004A1B27">
        <w:t>is</w:t>
      </w:r>
      <w:r w:rsidR="004A1B27" w:rsidRPr="00BC081A">
        <w:t xml:space="preserve"> </w:t>
      </w:r>
      <w:r w:rsidRPr="00BC081A">
        <w:t xml:space="preserve">even more important than after the gameplay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Pr="00BC081A">
        <w:fldChar w:fldCharType="separate"/>
      </w:r>
      <w:r w:rsidR="00AC1F7D" w:rsidRPr="00AC1F7D">
        <w:rPr>
          <w:noProof/>
        </w:rPr>
        <w:t>(Tauer &amp; Harackiewicz, 1999)</w:t>
      </w:r>
      <w:r w:rsidRPr="00BC081A">
        <w:fldChar w:fldCharType="end"/>
      </w:r>
      <w:r w:rsidRPr="00BC081A">
        <w:t xml:space="preserve">. This will allow </w:t>
      </w:r>
      <w:r w:rsidR="00B53DE5">
        <w:t xml:space="preserve">for </w:t>
      </w:r>
      <w:r w:rsidRPr="00BC081A">
        <w:t>understand</w:t>
      </w:r>
      <w:r w:rsidR="00B53DE5">
        <w:t>ing</w:t>
      </w:r>
      <w:r w:rsidRPr="00BC081A">
        <w:t xml:space="preserve"> the process that creates engagement in gamers. In other words, “effort during competition is not necessarily aligned with post-competition emotional responses” </w:t>
      </w:r>
      <w:r w:rsidRPr="00BC081A">
        <w:fldChar w:fldCharType="begin" w:fldLock="1"/>
      </w:r>
      <w:r w:rsidR="00AC1F7D">
        <w:instrText>ADDIN CSL_CITATION { "citationItems" : [ { "id" : "ITEM-1", "itemData" : { "author" : [ { "dropping-particle" : "", "family" : "Liu", "given" : "D", "non-dropping-particle" : "", "parse-names" : false, "suffix" : "" }, { "dropping-particle" : "", "family" : "Li", "given" : "X", "non-dropping-particle" : "", "parse-names" : false, "suffix" : "" }, { "dropping-particle" : "", "family" : "Santhanam", "given" : "R", "non-dropping-particle" : "", "parse-names" : false, "suffix" : "" } ], "container-title" : "MIS Quarterly", "id" : "ITEM-1", "issued" : { "date-parts" : [ [ "2013" ] ] }, "title" : "Digital games and beyond: what happens when players compete", "type" : "article-journal" }, "uris" : [ "http://www.mendeley.com/documents/?uuid=a82c807e-3748-4837-9fd8-10a6d0b7b463" ] } ], "mendeley" : { "previouslyFormattedCitation" : "(Liu, Li, &amp; Santhanam, 2013)" }, "properties" : { "noteIndex" : 0 }, "schema" : "https://github.com/citation-style-language/schema/raw/master/csl-citation.json" }</w:instrText>
      </w:r>
      <w:r w:rsidRPr="00BC081A">
        <w:fldChar w:fldCharType="separate"/>
      </w:r>
      <w:r w:rsidRPr="00BC081A">
        <w:rPr>
          <w:noProof/>
        </w:rPr>
        <w:t>(Liu, Li, &amp; Santhanam, 2013)</w:t>
      </w:r>
      <w:r w:rsidRPr="00BC081A">
        <w:fldChar w:fldCharType="end"/>
      </w:r>
      <w:r w:rsidRPr="00BC081A">
        <w:t>. Based on SDT</w:t>
      </w:r>
      <w:r w:rsidR="006D48AF">
        <w:t>,</w:t>
      </w:r>
      <w:r w:rsidRPr="00BC081A">
        <w:t xml:space="preserve"> people have tendency to satisfy their basic needs (competence, autonomy, and relatedness). </w:t>
      </w:r>
      <w:r w:rsidR="006D48AF">
        <w:t>This tendency is stronger specifically</w:t>
      </w:r>
      <w:r w:rsidR="006D48AF" w:rsidRPr="00BC081A">
        <w:t xml:space="preserve"> prior to receiving the fi</w:t>
      </w:r>
      <w:r w:rsidR="006D48AF">
        <w:t xml:space="preserve">nal results (winning or losing). </w:t>
      </w:r>
      <w:r w:rsidRPr="00BC081A">
        <w:t xml:space="preserve">During competition, regardless of the outcome, people engage in the activity in order to achieve competence and autonomy, causing them to be motivated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"manualFormatting" : "(Tauer &amp; Harackiewicz, 1999)", "previouslyFormattedCitation" : "(Tauer &amp; Harackiewicz, 1999)" }, "properties" : { "noteIndex" : 0 }, "schema" : "https://github.com/citation-style-language/schema/raw/master/csl-citation.json" }</w:instrText>
      </w:r>
      <w:r w:rsidRPr="00BC081A">
        <w:fldChar w:fldCharType="separate"/>
      </w:r>
      <w:r w:rsidR="000570FD">
        <w:rPr>
          <w:noProof/>
        </w:rPr>
        <w:t>(</w:t>
      </w:r>
      <w:r w:rsidR="00FC3905" w:rsidRPr="00BC081A">
        <w:rPr>
          <w:noProof/>
        </w:rPr>
        <w:t>Tauer &amp; Harackiewicz, 1999)</w:t>
      </w:r>
      <w:r w:rsidRPr="00BC081A">
        <w:fldChar w:fldCharType="end"/>
      </w:r>
      <w:r w:rsidRPr="00BC081A">
        <w:t xml:space="preserve">. This </w:t>
      </w:r>
      <w:r w:rsidR="00D6640B" w:rsidRPr="00BC081A">
        <w:lastRenderedPageBreak/>
        <w:t>motivation is</w:t>
      </w:r>
      <w:r w:rsidRPr="00BC081A">
        <w:t xml:space="preserve"> not captured in earlier studies through </w:t>
      </w:r>
      <w:r w:rsidR="004A1B27">
        <w:t xml:space="preserve">the </w:t>
      </w:r>
      <w:r w:rsidRPr="00BC081A">
        <w:t>free-choice period</w:t>
      </w:r>
      <w:r w:rsidRPr="00BC081A">
        <w:rPr>
          <w:rStyle w:val="FootnoteReference"/>
        </w:rPr>
        <w:footnoteReference w:id="10"/>
      </w:r>
      <w:r w:rsidR="004A1B27">
        <w:t xml:space="preserve"> approach</w:t>
      </w:r>
      <w:r w:rsidR="00D6640B" w:rsidRPr="00BC081A">
        <w:t xml:space="preserve">, as this measurement is gathered </w:t>
      </w:r>
      <w:r w:rsidRPr="00BC081A">
        <w:t xml:space="preserve">after the game is over </w:t>
      </w:r>
      <w:r w:rsidRPr="00BC081A">
        <w:fldChar w:fldCharType="begin" w:fldLock="1"/>
      </w:r>
      <w:r w:rsidR="00AC1F7D">
        <w:instrText>ADDIN CSL_CITATION { "citationItems" : [ { "id" : "ITEM-1", "itemData" : { "author" : [ { "dropping-particle" : "", "family" : "Vallerand", "given" : "Robert J.", "non-dropping-particle" : "", "parse-names" : false, "suffix" : "" }, { "dropping-particle" : "", "family" : "Gauvin", "given" : "Lise I", "non-dropping-particle" : "", "parse-names" : false, "suffix" : "" }, { "dropping-particle" : "", "family" : "Halliwell", "given" : "Wayne R", "non-dropping-particle" : "", "parse-names" : false, "suffix" : "" } ], "container-title" : "Social Psychology", "id" : "ITEM-1", "issued" : { "date-parts" : [ [ "1986" ] ] }, "title" : "Negative Elfects of Competition on Children's Intrinsic Motivation", "type" : "article-journal" }, "uris" : [ "http://www.mendeley.com/documents/?uuid=f422ca73-ea79-4ff3-9ee9-4a216ccc33d5" ] } ], "mendeley" : { "manualFormatting" : "(e.g. in Vallerand et al., 1986b)", "previouslyFormattedCitation" : "(Vallerand et al., 1986b)" }, "properties" : { "noteIndex" : 0 }, "schema" : "https://github.com/citation-style-language/schema/raw/master/csl-citation.json" }</w:instrText>
      </w:r>
      <w:r w:rsidRPr="00BC081A">
        <w:fldChar w:fldCharType="separate"/>
      </w:r>
      <w:r w:rsidRPr="00BC081A">
        <w:rPr>
          <w:noProof/>
        </w:rPr>
        <w:t>(e.g. in Vallerand et al., 1986b)</w:t>
      </w:r>
      <w:r w:rsidRPr="00BC081A">
        <w:fldChar w:fldCharType="end"/>
      </w:r>
      <w:r w:rsidRPr="00BC081A">
        <w:t>.</w:t>
      </w:r>
      <w:r w:rsidR="009D679C">
        <w:t xml:space="preserve"> In fact, r</w:t>
      </w:r>
      <w:r w:rsidR="009D679C" w:rsidRPr="00BC081A">
        <w:t xml:space="preserve">ather than evaluating the motivation after the competition is finished and putting emphasis on outcomes, focus should be on the process through which the competitive situation motivates people to pay attention to the task they participate in. </w:t>
      </w:r>
    </w:p>
    <w:p w14:paraId="588E74EC" w14:textId="591A217C" w:rsidR="009503F5" w:rsidRPr="00BC081A" w:rsidRDefault="009503F5" w:rsidP="009503F5">
      <w:pPr>
        <w:rPr>
          <w:rFonts w:ascii="Arial" w:hAnsi="Arial" w:cs="Arial"/>
          <w:b/>
          <w:bCs/>
        </w:rPr>
      </w:pPr>
    </w:p>
    <w:p w14:paraId="6C2875A5" w14:textId="00B4D9B1" w:rsidR="009503F5" w:rsidRPr="00BC081A" w:rsidRDefault="009503F5" w:rsidP="009503F5">
      <w:r w:rsidRPr="00BC081A">
        <w:t xml:space="preserve">As mentioned earlier, in order to provide a theoretical background for the effect that competition can have in engagement of video games, Flow Theory and SDT are used in conjunction. SDT explains the process in which competition in video games can motivate gamers by focusing on the context of the game and addressing individual differences. However, the goal of this research is not to evaluate pure intrinsic motivation of gamers, as video games can deploy extrinsic elements that highly engage players. One can expect that </w:t>
      </w:r>
      <w:r w:rsidR="00D6640B" w:rsidRPr="00BC081A">
        <w:t xml:space="preserve">the </w:t>
      </w:r>
      <w:r w:rsidRPr="00BC081A">
        <w:t xml:space="preserve">competence factor of SDT </w:t>
      </w:r>
      <w:proofErr w:type="gramStart"/>
      <w:r w:rsidR="00594978" w:rsidRPr="00BC081A">
        <w:t>is</w:t>
      </w:r>
      <w:proofErr w:type="gramEnd"/>
      <w:r w:rsidRPr="00BC081A">
        <w:t xml:space="preserve"> captured in the balance of challenge and skill in Flow Theory. Flow Theory also describes that ve</w:t>
      </w:r>
      <w:r w:rsidR="00594978" w:rsidRPr="00BC081A">
        <w:t>ry high competent players who are</w:t>
      </w:r>
      <w:r w:rsidRPr="00BC081A">
        <w:t xml:space="preserve"> not challenged can experience boredom. Some authors have mentioned that Flow does not capture all the motivating factors in vide</w:t>
      </w:r>
      <w:r w:rsidR="00594978" w:rsidRPr="00BC081A">
        <w:t>o games, which can be explained</w:t>
      </w:r>
      <w:r w:rsidRPr="00BC081A">
        <w:t xml:space="preserve"> using SDT </w:t>
      </w:r>
      <w:r w:rsidRPr="00BC081A">
        <w:fldChar w:fldCharType="begin" w:fldLock="1"/>
      </w:r>
      <w:r w:rsidR="00AC1F7D">
        <w:instrText>ADDIN CSL_CITATION { "citationItems" : [ { "id" : "ITEM-1", "itemData" : { "DOI" : "10.1177/1477878509104326", "ISSN" : "1477-8785", "author" : [ { "dropping-particle" : "", "family" : "Rigby", "given" : "C. S.", "non-dropping-particle" : "", "parse-names" : false, "suffix" : "" }, { "dropping-particle" : "", "family" : "Przybylski", "given" : "a. K.", "non-dropping-particle" : "", "parse-names" : false, "suffix" : "" } ], "container-title" : "Theory and Research in Education", "id" : "ITEM-1", "issue" : "2", "issued" : { "date-parts" : [ [ "2009", "6", "25" ] ] }, "page" : "214-223", "title" : "Virtual worlds and the learner hero: How today's video games can inform tomorrow's digital learning environments", "type" : "article-journal", "volume" : "7" }, "uris" : [ "http://www.mendeley.com/documents/?uuid=ad801792-75ff-4291-981e-d4cc4e4041a7" ] } ], "mendeley" : { "previouslyFormattedCitation" : "(Rigby &amp; Przybylski, 2009)" }, "properties" : { "noteIndex" : 0 }, "schema" : "https://github.com/citation-style-language/schema/raw/master/csl-citation.json" }</w:instrText>
      </w:r>
      <w:r w:rsidRPr="00BC081A">
        <w:fldChar w:fldCharType="separate"/>
      </w:r>
      <w:r w:rsidRPr="00BC081A">
        <w:rPr>
          <w:noProof/>
        </w:rPr>
        <w:t>(Rigby &amp; Przybylski, 2009)</w:t>
      </w:r>
      <w:r w:rsidRPr="00BC081A">
        <w:fldChar w:fldCharType="end"/>
      </w:r>
      <w:r w:rsidR="00594978" w:rsidRPr="00BC081A">
        <w:t>. That said, as described above</w:t>
      </w:r>
      <w:r w:rsidRPr="00BC081A">
        <w:t xml:space="preserve">, the focus of this study will not be on capturing all the dimensions of video games, but to understand the process through which competition creates engagement in gamers. Thus, studying competition as </w:t>
      </w:r>
      <w:r w:rsidR="00594978" w:rsidRPr="00BC081A">
        <w:t xml:space="preserve">a </w:t>
      </w:r>
      <w:r w:rsidRPr="00BC081A">
        <w:t xml:space="preserve">fundamental element of video games, </w:t>
      </w:r>
      <w:r w:rsidR="00B53DE5">
        <w:t>the foundational theories</w:t>
      </w:r>
      <w:r w:rsidRPr="00BC081A">
        <w:t xml:space="preserve"> </w:t>
      </w:r>
      <w:r w:rsidR="00B53DE5">
        <w:t>of this research explain</w:t>
      </w:r>
      <w:r w:rsidRPr="00BC081A">
        <w:t xml:space="preserve"> that in absence of controlling elements (autonomy diminishing factors), competence becomes the major </w:t>
      </w:r>
      <w:r w:rsidR="00DF0402" w:rsidRPr="00BC081A">
        <w:t>psychological need</w:t>
      </w:r>
      <w:r w:rsidRPr="00BC081A">
        <w:t xml:space="preserve"> to consider </w:t>
      </w:r>
      <w:r w:rsidRPr="00BC081A">
        <w:fldChar w:fldCharType="begin" w:fldLock="1"/>
      </w:r>
      <w:r w:rsidR="00AC1F7D">
        <w:instrText>ADDIN CSL_CITATION { "citationItems" : [ { "id" : "ITEM-1", "itemData" : { "DOI" : "10.1037/a0014241", "ISSN" : "1939-2176", "author" : [ { "dropping-particle" : "", "family" : "Jang", "given" : "Hyungshim", "non-dropping-particle" : "", "parse-names" : false, "suffix" : "" }, { "dropping-particle" : "", "family" : "Reeve", "given" : "Johnmarshall", "non-dropping-particle" : "", "parse-names" : false, "suffix" : "" }, { "dropping-particle" : "", "family" : "Ryan", "given" : "Richard M.", "non-dropping-particle" : "", "parse-names" : false, "suffix" : "" }, { "dropping-particle" : "", "family" : "Kim", "given" : "Ahyoung", "non-dropping-particle" : "", "parse-names" : false, "suffix" : "" } ], "container-title" : "Journal of Educational Psychology", "id" : "ITEM-1", "issue" : "3", "issued" : { "date-parts" : [ [ "2009" ] ] }, "page" : "644-661", "title" : "Can self-determination theory explain what underlies the productive, satisfying learning experiences of collectivistically oriented Korean students?", "type" : "article-journal", "volume" : "101" }, "uris" : [ "http://www.mendeley.com/documents/?uuid=7237acf7-4fff-4a7f-b1a7-501270eff224" ] } ], "mendeley" : { "previouslyFormattedCitation" : "(Jang, Reeve, Ryan, &amp; Kim, 2009)" }, "properties" : { "noteIndex" : 0 }, "schema" : "https://github.com/citation-style-language/schema/raw/master/csl-citation.json" }</w:instrText>
      </w:r>
      <w:r w:rsidRPr="00BC081A">
        <w:fldChar w:fldCharType="separate"/>
      </w:r>
      <w:r w:rsidRPr="00BC081A">
        <w:rPr>
          <w:noProof/>
        </w:rPr>
        <w:t>(Jang, Reeve, Ryan, &amp; Kim, 2009)</w:t>
      </w:r>
      <w:r w:rsidRPr="00BC081A">
        <w:fldChar w:fldCharType="end"/>
      </w:r>
      <w:r w:rsidRPr="00BC081A">
        <w:t xml:space="preserve">. </w:t>
      </w:r>
      <w:r w:rsidRPr="00BC081A">
        <w:fldChar w:fldCharType="begin" w:fldLock="1"/>
      </w:r>
      <w:r w:rsidR="00AC1F7D">
        <w:instrText>ADDIN CSL_CITATION { "citationItems" : [ { "id" : "ITEM-1", "itemData" : { "DOI" : "10.1037/a0019440", "ISSN" : "1939-1552", "author" : [ { "dropping-particle" : "", "family" : "Przybylski", "given" : "Andrew K.", "non-dropping-particle" : "", "parse-names" : false, "suffix" : "" }, { "dropping-particle" : "", "family" : "Rigby", "given" : "C. Scott", "non-dropping-particle" : "", "parse-names" : false, "suffix" : "" }, { "dropping-particle" : "", "family" : "Ryan", "given" : "Richard M.", "non-dropping-particle" : "", "parse-names" : false, "suffix" : "" } ], "container-title" : "Review of General Psychology", "id" : "ITEM-1", "issue" : "2", "issued" : { "date-parts" : [ [ "2010" ] ] }, "page" : "154-166", "title" : "A motivational model of video game engagement.", "type" : "article-journal", "volume" : "14" }, "uris" : [ "http://www.mendeley.com/documents/?uuid=a401c4f8-a2df-461c-86e6-bd805605d397" ] } ], "mendeley" : { "manualFormatting" : "Przybylski et al. (2010)", "previouslyFormattedCitation" : "(Przybylski et al., 2010)" }, "properties" : { "noteIndex" : 0 }, "schema" : "https://github.com/citation-style-language/schema/raw/master/csl-citation.json" }</w:instrText>
      </w:r>
      <w:r w:rsidRPr="00BC081A">
        <w:fldChar w:fldCharType="separate"/>
      </w:r>
      <w:r w:rsidRPr="00BC081A">
        <w:rPr>
          <w:noProof/>
        </w:rPr>
        <w:t>Przybylski et al. (2010)</w:t>
      </w:r>
      <w:r w:rsidRPr="00BC081A">
        <w:fldChar w:fldCharType="end"/>
      </w:r>
      <w:r w:rsidRPr="00BC081A">
        <w:t xml:space="preserve"> have </w:t>
      </w:r>
      <w:r w:rsidRPr="00BC081A">
        <w:lastRenderedPageBreak/>
        <w:t xml:space="preserve">shown that each of the dimensions </w:t>
      </w:r>
      <w:r w:rsidR="00B34A17">
        <w:t xml:space="preserve">of </w:t>
      </w:r>
      <w:r w:rsidR="00B34A17" w:rsidRPr="00BC081A">
        <w:t xml:space="preserve">SDT </w:t>
      </w:r>
      <w:r w:rsidRPr="00BC081A">
        <w:t xml:space="preserve">have </w:t>
      </w:r>
      <w:r w:rsidR="00EA5F27" w:rsidRPr="00BC081A">
        <w:t xml:space="preserve">an </w:t>
      </w:r>
      <w:r w:rsidRPr="00BC081A">
        <w:t xml:space="preserve">independent effect on </w:t>
      </w:r>
      <w:r w:rsidR="00B34A17">
        <w:t>gaming behaviour and perception, which</w:t>
      </w:r>
      <w:r w:rsidRPr="00BC081A">
        <w:t xml:space="preserve"> </w:t>
      </w:r>
      <w:r w:rsidR="00B34A17">
        <w:t xml:space="preserve">shows the validity of </w:t>
      </w:r>
      <w:r w:rsidR="00944BA1" w:rsidRPr="00BC081A">
        <w:t xml:space="preserve">investigating </w:t>
      </w:r>
      <w:r w:rsidR="00B34A17">
        <w:t xml:space="preserve">the effect of only </w:t>
      </w:r>
      <w:r w:rsidRPr="00BC081A">
        <w:t>one aspect</w:t>
      </w:r>
      <w:r w:rsidR="00B34A17">
        <w:t xml:space="preserve"> independent of the other</w:t>
      </w:r>
      <w:r w:rsidRPr="00BC081A">
        <w:t>.</w:t>
      </w:r>
    </w:p>
    <w:p w14:paraId="67363B11" w14:textId="5C72E05D" w:rsidR="009503F5" w:rsidRPr="00BC081A" w:rsidRDefault="00B53DE5" w:rsidP="009503F5">
      <w:r>
        <w:t>This research’s</w:t>
      </w:r>
      <w:r w:rsidR="009503F5" w:rsidRPr="00BC081A">
        <w:t xml:space="preserve"> theoretical framework expresses that SDT predicts motivation of people under the condition that autonomy is preserved (by avoiding the use of controlling feedback in the gaming context, conveying control to players). This motivation will lead to the experience of Flow (balance between challenge and skill), caused by competence evaluation due to informational feedback</w:t>
      </w:r>
      <w:r w:rsidR="006956E8">
        <w:t xml:space="preserve"> (explain in § </w:t>
      </w:r>
      <w:r w:rsidR="006956E8">
        <w:fldChar w:fldCharType="begin"/>
      </w:r>
      <w:r w:rsidR="006956E8">
        <w:instrText xml:space="preserve"> REF _Ref274345145 \r \h </w:instrText>
      </w:r>
      <w:r w:rsidR="006956E8">
        <w:fldChar w:fldCharType="separate"/>
      </w:r>
      <w:r w:rsidR="008C71FB">
        <w:t>3.1.1</w:t>
      </w:r>
      <w:r w:rsidR="006956E8">
        <w:fldChar w:fldCharType="end"/>
      </w:r>
      <w:r w:rsidR="006956E8">
        <w:t>)</w:t>
      </w:r>
      <w:r w:rsidR="009503F5" w:rsidRPr="00BC081A">
        <w:t xml:space="preserve">. </w:t>
      </w:r>
      <w:r w:rsidR="009503F5"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"manualFormatting" : "Deci &amp; Ryan (1985)", "previouslyFormattedCitation" : "(Deci &amp; Ryan, 1985a)" }, "properties" : { "noteIndex" : 0 }, "schema" : "https://github.com/citation-style-language/schema/raw/master/csl-citation.json" }</w:instrText>
      </w:r>
      <w:r w:rsidR="009503F5" w:rsidRPr="00BC081A">
        <w:fldChar w:fldCharType="separate"/>
      </w:r>
      <w:r w:rsidR="009503F5" w:rsidRPr="00BC081A">
        <w:rPr>
          <w:noProof/>
        </w:rPr>
        <w:t>Deci &amp; Ryan (1985)</w:t>
      </w:r>
      <w:r w:rsidR="009503F5" w:rsidRPr="00BC081A">
        <w:fldChar w:fldCharType="end"/>
      </w:r>
      <w:r w:rsidR="009503F5" w:rsidRPr="00BC081A">
        <w:t xml:space="preserve"> have also expressed that Flow state is in “agreement” (p. 332) with their SDT’s concept of intrinsic motivation. In other words, while performing an activity, “when highly intrinsically motivated, organisms will be extremely interested in what they are doing and experience a sense of Flow” </w:t>
      </w:r>
      <w:r w:rsidR="009503F5" w:rsidRPr="00BC081A">
        <w:fldChar w:fldCharType="begin" w:fldLock="1"/>
      </w:r>
      <w:r w:rsidR="00AC1F7D">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"Springer", "title" : "Intrinsic motivation and self-determination in human behavior", "type" : "book" }, "uris" : [ "http://www.mendeley.com/documents/?uuid=6ca9d446-ba1d-40d8-9452-efce183bc50a" ] } ], "mendeley" : { "manualFormatting" : "(Deci &amp; Ryan, 1985, p. 29)", "previouslyFormattedCitation" : "(Deci &amp; Ryan, 1985a)" }, "properties" : { "noteIndex" : 0 }, "schema" : "https://github.com/citation-style-language/schema/raw/master/csl-citation.json" }</w:instrText>
      </w:r>
      <w:r w:rsidR="009503F5" w:rsidRPr="00BC081A">
        <w:fldChar w:fldCharType="separate"/>
      </w:r>
      <w:r w:rsidR="009503F5" w:rsidRPr="00BC081A">
        <w:rPr>
          <w:noProof/>
        </w:rPr>
        <w:t>(Deci &amp; Ryan, 1985, p. 29)</w:t>
      </w:r>
      <w:r w:rsidR="009503F5" w:rsidRPr="00BC081A">
        <w:fldChar w:fldCharType="end"/>
      </w:r>
      <w:r w:rsidR="009503F5" w:rsidRPr="00BC081A">
        <w:t xml:space="preserve">. Flow theory allows us to properly capture the state of high engagement that can be the outcome of competitive feature </w:t>
      </w:r>
      <w:r w:rsidR="00C36518" w:rsidRPr="00BC081A">
        <w:t xml:space="preserve">motivators </w:t>
      </w:r>
      <w:r w:rsidR="009503F5" w:rsidRPr="00BC081A">
        <w:t>of video games</w:t>
      </w:r>
      <w:r w:rsidR="00684C47" w:rsidRPr="00BC081A">
        <w:t>.</w:t>
      </w:r>
    </w:p>
    <w:p w14:paraId="2684EC65" w14:textId="77777777" w:rsidR="009503F5" w:rsidRPr="00BC081A" w:rsidRDefault="009503F5" w:rsidP="00863D4C">
      <w:pPr>
        <w:pStyle w:val="Heading2"/>
      </w:pPr>
      <w:bookmarkStart w:id="52" w:name="_Toc275209824"/>
      <w:r w:rsidRPr="00BC081A">
        <w:t>Proposed Research model and Hypotheses</w:t>
      </w:r>
      <w:bookmarkEnd w:id="52"/>
    </w:p>
    <w:p w14:paraId="546DA3C6" w14:textId="3432F797" w:rsidR="009503F5" w:rsidRPr="00BC081A" w:rsidRDefault="009503F5" w:rsidP="009503F5">
      <w:pPr>
        <w:ind w:firstLine="0"/>
      </w:pPr>
      <w:r w:rsidRPr="00BC081A">
        <w:t xml:space="preserve">In </w:t>
      </w:r>
      <w:r w:rsidR="00E406D9" w:rsidRPr="00BC081A">
        <w:t xml:space="preserve">this section the proposed </w:t>
      </w:r>
      <w:r w:rsidR="00503F6D">
        <w:t xml:space="preserve">research </w:t>
      </w:r>
      <w:r w:rsidR="00E406D9" w:rsidRPr="00BC081A">
        <w:t xml:space="preserve">model is shown in </w:t>
      </w:r>
      <w:r w:rsidR="004E66FB">
        <w:rPr>
          <w:i/>
        </w:rPr>
        <w:fldChar w:fldCharType="begin"/>
      </w:r>
      <w:r w:rsidR="004E66FB">
        <w:instrText xml:space="preserve"> REF _Ref278912255 \h </w:instrText>
      </w:r>
      <w:r w:rsidR="004E66FB">
        <w:rPr>
          <w:i/>
        </w:rPr>
      </w:r>
      <w:r w:rsidR="004E66FB">
        <w:rPr>
          <w:i/>
        </w:rPr>
        <w:fldChar w:fldCharType="separate"/>
      </w:r>
      <w:r w:rsidR="008C71FB">
        <w:t xml:space="preserve">Figure </w:t>
      </w:r>
      <w:r w:rsidR="008C71FB">
        <w:rPr>
          <w:noProof/>
        </w:rPr>
        <w:t>9</w:t>
      </w:r>
      <w:r w:rsidR="004E66FB">
        <w:rPr>
          <w:i/>
        </w:rPr>
        <w:fldChar w:fldCharType="end"/>
      </w:r>
      <w:r w:rsidR="004E66FB">
        <w:rPr>
          <w:i/>
        </w:rPr>
        <w:t xml:space="preserve"> </w:t>
      </w:r>
      <w:r w:rsidR="00503F6D" w:rsidRPr="004E66FB">
        <w:t>and an associated</w:t>
      </w:r>
      <w:r w:rsidRPr="004E66FB">
        <w:t xml:space="preserve"> </w:t>
      </w:r>
      <w:r w:rsidRPr="00BC081A">
        <w:t xml:space="preserve">ten hypotheses are presented. </w:t>
      </w:r>
      <w:r w:rsidR="00404690" w:rsidRPr="00BC081A">
        <w:t>H</w:t>
      </w:r>
      <w:r w:rsidRPr="00BC081A">
        <w:t xml:space="preserve">ypotheses are explained from right to </w:t>
      </w:r>
      <w:proofErr w:type="gramStart"/>
      <w:r w:rsidRPr="00BC081A">
        <w:t>left</w:t>
      </w:r>
      <w:proofErr w:type="gramEnd"/>
      <w:r w:rsidRPr="00BC081A">
        <w:t xml:space="preserve"> (from H1 to H10), starting with the endogenous variable and its antecedent relationships. </w:t>
      </w:r>
      <w:r w:rsidR="00C710B6">
        <w:t>H1 to H6 aim to address the first research objective in regards to the effect of Situational Competitiveness on the antecedents of Flow and Satisfaction. H7, H8, and H9 are hypothesized in order to answer the questions related to the second research objective of this dissertation</w:t>
      </w:r>
      <w:r w:rsidR="00503F6D">
        <w:t xml:space="preserve"> in regards to</w:t>
      </w:r>
      <w:r w:rsidR="00612A83">
        <w:t xml:space="preserve"> the effect of Competition Mode on Situational Competitiveness.</w:t>
      </w:r>
      <w:r w:rsidR="00C710B6">
        <w:t xml:space="preserve"> Last</w:t>
      </w:r>
      <w:r w:rsidR="00A87AB0">
        <w:t>ly</w:t>
      </w:r>
      <w:r w:rsidR="00C710B6">
        <w:t xml:space="preserve">, H10 </w:t>
      </w:r>
      <w:r w:rsidR="00A87AB0">
        <w:t>addresses the third research objective of this research</w:t>
      </w:r>
      <w:r w:rsidR="00503F6D">
        <w:t xml:space="preserve"> in regards </w:t>
      </w:r>
      <w:r w:rsidR="00612A83">
        <w:t>to the effect of Dispositional Competitiveness on Situational Competitiveness.</w:t>
      </w:r>
    </w:p>
    <w:p w14:paraId="22DC6666" w14:textId="77777777" w:rsidR="004E66FB" w:rsidRDefault="00B56387" w:rsidP="004E66FB">
      <w:pPr>
        <w:keepNext/>
        <w:ind w:firstLine="0"/>
      </w:pPr>
      <w:r w:rsidRPr="00BC081A">
        <w:rPr>
          <w:noProof/>
          <w:lang w:val="en-US"/>
        </w:rPr>
        <w:lastRenderedPageBreak/>
        <w:drawing>
          <wp:inline distT="0" distB="0" distL="0" distR="0" wp14:anchorId="28F2B8B0" wp14:editId="6D663DC5">
            <wp:extent cx="5943600" cy="2069507"/>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69507"/>
                    </a:xfrm>
                    <a:prstGeom prst="rect">
                      <a:avLst/>
                    </a:prstGeom>
                    <a:noFill/>
                    <a:ln>
                      <a:noFill/>
                    </a:ln>
                  </pic:spPr>
                </pic:pic>
              </a:graphicData>
            </a:graphic>
          </wp:inline>
        </w:drawing>
      </w:r>
    </w:p>
    <w:p w14:paraId="7C510CA0" w14:textId="4F9FDC1D" w:rsidR="004E66FB" w:rsidRDefault="004E66FB" w:rsidP="00C92D78">
      <w:pPr>
        <w:pStyle w:val="Caption"/>
      </w:pPr>
      <w:bookmarkStart w:id="53" w:name="_Ref278912255"/>
      <w:bookmarkStart w:id="54" w:name="_Toc278912299"/>
      <w:r>
        <w:t xml:space="preserve">Figure </w:t>
      </w:r>
      <w:r w:rsidR="007804FF">
        <w:fldChar w:fldCharType="begin"/>
      </w:r>
      <w:r w:rsidR="007804FF">
        <w:instrText xml:space="preserve"> SEQ Figure \* ARABIC </w:instrText>
      </w:r>
      <w:r w:rsidR="007804FF">
        <w:fldChar w:fldCharType="separate"/>
      </w:r>
      <w:r w:rsidR="008C71FB">
        <w:rPr>
          <w:noProof/>
        </w:rPr>
        <w:t>9</w:t>
      </w:r>
      <w:r w:rsidR="007804FF">
        <w:rPr>
          <w:noProof/>
        </w:rPr>
        <w:fldChar w:fldCharType="end"/>
      </w:r>
      <w:bookmarkEnd w:id="53"/>
      <w:r>
        <w:t xml:space="preserve"> – Proposed Research Model of the Study</w:t>
      </w:r>
      <w:bookmarkEnd w:id="54"/>
    </w:p>
    <w:p w14:paraId="1C1DA485" w14:textId="180B3D77" w:rsidR="009503F5" w:rsidRPr="00BC081A" w:rsidRDefault="009503F5" w:rsidP="009503F5">
      <w:pPr>
        <w:pStyle w:val="Hypothesis"/>
        <w:ind w:left="0" w:firstLine="0"/>
        <w:rPr>
          <w:lang w:val="en-CA"/>
        </w:rPr>
      </w:pPr>
      <w:r w:rsidRPr="00BC081A">
        <w:rPr>
          <w:lang w:val="en-CA"/>
        </w:rPr>
        <w:tab/>
        <w:t xml:space="preserve">Satisfaction has been defined as “a sense of contentment that arises from an actual experience in relation to an </w:t>
      </w:r>
      <w:r w:rsidRPr="00BC081A">
        <w:rPr>
          <w:i/>
          <w:lang w:val="en-CA"/>
        </w:rPr>
        <w:t>expected</w:t>
      </w:r>
      <w:r w:rsidRPr="00BC081A">
        <w:rPr>
          <w:lang w:val="en-CA"/>
        </w:rPr>
        <w:t xml:space="preserve"> experience” </w:t>
      </w:r>
      <w:r w:rsidRPr="00BC081A">
        <w:rPr>
          <w:lang w:val="en-CA"/>
        </w:rPr>
        <w:fldChar w:fldCharType="begin" w:fldLock="1"/>
      </w:r>
      <w:r w:rsidR="00AC1F7D">
        <w:rPr>
          <w:lang w:val="en-CA"/>
        </w:rPr>
        <w:instrText>ADDIN CSL_CITATION { "citationItems" : [ { "id" : "ITEM-1", "itemData" : { "author" : [ { "dropping-particle" : "", "family" : "Hernon", "given" : "Peter", "non-dropping-particle" : "", "parse-names" : false, "suffix" : "" }, { "dropping-particle" : "", "family" : "Whitman", "given" : "John R", "non-dropping-particle" : "", "parse-names" : false, "suffix" : "" } ], "id" : "ITEM-1", "issued" : { "date-parts" : [ [ "2001" ] ] }, "publisher" : "American Library Association", "title" : "Delivering satisfaction and service quality: A customer-based approach for libraries", "type" : "book" }, "uris" : [ "http://www.mendeley.com/documents/?uuid=584020b5-d4ee-4478-b170-6b84507108fd" ] } ], "mendeley" : { "manualFormatting" : "(Hernon &amp; Whitman, 2001, p. 32)", "previouslyFormattedCitation" : "(Hernon &amp; Whitman, 2001)" }, "properties" : { "noteIndex" : 0 }, "schema" : "https://github.com/citation-style-language/schema/raw/master/csl-citation.json" }</w:instrText>
      </w:r>
      <w:r w:rsidRPr="00BC081A">
        <w:rPr>
          <w:lang w:val="en-CA"/>
        </w:rPr>
        <w:fldChar w:fldCharType="separate"/>
      </w:r>
      <w:r w:rsidRPr="00BC081A">
        <w:rPr>
          <w:noProof/>
          <w:lang w:val="en-CA"/>
        </w:rPr>
        <w:t>(Hernon &amp; Whitman, 2001, p. 32)</w:t>
      </w:r>
      <w:r w:rsidRPr="00BC081A">
        <w:rPr>
          <w:lang w:val="en-CA"/>
        </w:rPr>
        <w:fldChar w:fldCharType="end"/>
      </w:r>
      <w:r w:rsidRPr="00BC081A">
        <w:rPr>
          <w:lang w:val="en-CA"/>
        </w:rPr>
        <w:t xml:space="preserve">. Satisfaction with an IT system is an important factor due to its effect on attitude, intention, and continued usage of a technology or service </w:t>
      </w:r>
      <w:r w:rsidRPr="00BC081A">
        <w:rPr>
          <w:lang w:val="en-CA"/>
        </w:rPr>
        <w:fldChar w:fldCharType="begin" w:fldLock="1"/>
      </w:r>
      <w:r w:rsidR="00AC1F7D">
        <w:rPr>
          <w:lang w:val="en-CA"/>
        </w:rPr>
        <w:instrText>ADDIN CSL_CITATION { "citationItems" : [ { "id" : "ITEM-1", "itemData" : { "DOI" : "10.1057/ejis.2009.50", "ISSN" : "0960-085X", "author" : [ { "dropping-particle" : "", "family" : "Deng", "given" : "Liqiong", "non-dropping-particle" : "", "parse-names" : false, "suffix" : "" }, { "dropping-particle" : "", "family" : "Turner", "given" : "Douglas E", "non-dropping-particle" : "", "parse-names" : false, "suffix" : "" }, { "dropping-particle" : "", "family" : "Gehling", "given" : "Robert", "non-dropping-particle" : "", "parse-names" : false, "suffix" : "" }, { "dropping-particle" : "", "family" : "Prince", "given" : "Brad", "non-dropping-particle" : "", "parse-names" : false, "suffix" : "" } ], "container-title" : "European Journal of Information Systems", "id" : "ITEM-1", "issue" : "1", "issued" : { "date-parts" : [ [ "2010", "1", "26" ] ] }, "page" : "60-75", "publisher" : "Palgrave Macmillan", "title" : "User experience, satisfaction, and continual usage intention of IT", "type" : "article-journal", "volume" : "19" }, "uris" : [ "http://www.mendeley.com/documents/?uuid=c11a8e55-03d8-4d26-a4ec-4001bbc2b6a1" ] }, { "id" : "ITEM-2", "itemData" : { "DOI" : "10.1037//0021-9010.62.4.480", "ISSN" : "0021-9010", "author" : [ { "dropping-particle" : "", "family" : "Oliver", "given" : "Richard L.", "non-dropping-particle" : "", "parse-names" : false, "suffix" : "" } ], "container-title" : "Journal of Applied Psychology", "id" : "ITEM-2", "issue" : "4", "issued" : { "date-parts" : [ [ "1977" ] ] }, "page" : "480-486", "title" : "Effect of expectation and disconfirmation on postexposure product evaluations: An alternative interpretation.", "type" : "article-journal", "volume" : "62" }, "uris" : [ "http://www.mendeley.com/documents/?uuid=f3b7bb9b-0c71-4129-aa34-1b7e859d1c07" ] } ], "mendeley" : { "previouslyFormattedCitation" : "(L. Deng et al., 2010; Oliver, 1977)" }, "properties" : { "noteIndex" : 0 }, "schema" : "https://github.com/citation-style-language/schema/raw/master/csl-citation.json" }</w:instrText>
      </w:r>
      <w:r w:rsidRPr="00BC081A">
        <w:rPr>
          <w:lang w:val="en-CA"/>
        </w:rPr>
        <w:fldChar w:fldCharType="separate"/>
      </w:r>
      <w:r w:rsidR="00645CB7" w:rsidRPr="00BC081A">
        <w:rPr>
          <w:noProof/>
          <w:lang w:val="en-CA"/>
        </w:rPr>
        <w:t>(L. Deng et al., 2010; Oliver, 1977)</w:t>
      </w:r>
      <w:r w:rsidRPr="00BC081A">
        <w:rPr>
          <w:lang w:val="en-CA"/>
        </w:rPr>
        <w:fldChar w:fldCharType="end"/>
      </w:r>
      <w:r w:rsidRPr="00BC081A">
        <w:rPr>
          <w:lang w:val="en-CA"/>
        </w:rPr>
        <w:t>.</w:t>
      </w:r>
      <w:r w:rsidR="00040796" w:rsidRPr="00BC081A">
        <w:rPr>
          <w:lang w:val="en-CA"/>
        </w:rPr>
        <w:t xml:space="preserve"> </w:t>
      </w:r>
      <w:r w:rsidR="004652F0">
        <w:rPr>
          <w:lang w:val="en-CA"/>
        </w:rPr>
        <w:t xml:space="preserve">In the current investigation, the game that was chosen as the basis of the empirical study was not one that participants would </w:t>
      </w:r>
      <w:r w:rsidR="00D703DE">
        <w:rPr>
          <w:lang w:val="en-CA"/>
        </w:rPr>
        <w:t>be likely to use in the future.</w:t>
      </w:r>
      <w:r w:rsidR="004652F0">
        <w:rPr>
          <w:lang w:val="en-CA"/>
        </w:rPr>
        <w:t xml:space="preserve"> As such,</w:t>
      </w:r>
      <w:r w:rsidR="00040796" w:rsidRPr="00BC081A">
        <w:rPr>
          <w:lang w:val="en-CA"/>
        </w:rPr>
        <w:t xml:space="preserve"> satisfaction with the </w:t>
      </w:r>
      <w:r w:rsidR="004652F0">
        <w:rPr>
          <w:lang w:val="en-CA"/>
        </w:rPr>
        <w:t xml:space="preserve">game was deemed to be a more appropriate indicator of </w:t>
      </w:r>
      <w:r w:rsidR="00040796" w:rsidRPr="00BC081A">
        <w:rPr>
          <w:lang w:val="en-CA"/>
        </w:rPr>
        <w:t xml:space="preserve">success </w:t>
      </w:r>
      <w:r w:rsidR="004652F0">
        <w:rPr>
          <w:lang w:val="en-CA"/>
        </w:rPr>
        <w:t>with</w:t>
      </w:r>
      <w:r w:rsidR="00040796" w:rsidRPr="00BC081A">
        <w:rPr>
          <w:lang w:val="en-CA"/>
        </w:rPr>
        <w:t xml:space="preserve"> this technology</w:t>
      </w:r>
      <w:r w:rsidR="004652F0">
        <w:rPr>
          <w:lang w:val="en-CA"/>
        </w:rPr>
        <w:t xml:space="preserve"> experience and was chosen</w:t>
      </w:r>
      <w:r w:rsidRPr="00BC081A">
        <w:rPr>
          <w:lang w:val="en-CA"/>
        </w:rPr>
        <w:t xml:space="preserve"> as the ultimate endogenous construct of the model. </w:t>
      </w:r>
    </w:p>
    <w:p w14:paraId="383D45D4" w14:textId="4AD79446" w:rsidR="009503F5" w:rsidRPr="00BC081A" w:rsidRDefault="009503F5" w:rsidP="009503F5">
      <w:pPr>
        <w:pStyle w:val="Hypothesis"/>
        <w:ind w:left="0"/>
        <w:rPr>
          <w:lang w:val="en-CA"/>
        </w:rPr>
      </w:pPr>
      <w:r w:rsidRPr="00BC081A">
        <w:rPr>
          <w:lang w:val="en-CA"/>
        </w:rPr>
        <w:t xml:space="preserve">Satisfaction can be attributed to a person's feelings or attitudes toward a variety of factors affecting </w:t>
      </w:r>
      <w:r w:rsidR="000E0E3F" w:rsidRPr="00BC081A">
        <w:rPr>
          <w:lang w:val="en-CA"/>
        </w:rPr>
        <w:t xml:space="preserve">a particular </w:t>
      </w:r>
      <w:r w:rsidRPr="00BC081A">
        <w:rPr>
          <w:lang w:val="en-CA"/>
        </w:rPr>
        <w:t xml:space="preserve">situation </w:t>
      </w:r>
      <w:r w:rsidRPr="00BC081A">
        <w:rPr>
          <w:lang w:val="en-CA"/>
        </w:rPr>
        <w:fldChar w:fldCharType="begin" w:fldLock="1"/>
      </w:r>
      <w:r w:rsidR="00AC1F7D">
        <w:rPr>
          <w:lang w:val="en-CA"/>
        </w:rPr>
        <w:instrText>ADDIN CSL_CITATION { "citationItems" : [ { "id" : "ITEM-1", "itemData" : { "DOI" : "10.1287/isre.1050.0042", "ISSN" : "1047-7047", "author" : [ { "dropping-particle" : "", "family" : "Wixom", "given" : "Barbara H.", "non-dropping-particle" : "", "parse-names" : false, "suffix" : "" }, { "dropping-particle" : "", "family" : "Todd", "given" : "Peter a.", "non-dropping-particle" : "", "parse-names" : false, "suffix" : "" } ], "container-title" : "Information Systems Research", "id" : "ITEM-1", "issue" : "1", "issued" : { "date-parts" : [ [ "2005", "3" ] ] }, "page" : "85-102", "title" : "A Theoretical Integration of User Satisfaction and Technology Acceptance", "type" : "article-journal", "volume" : "16" }, "uris" : [ "http://www.mendeley.com/documents/?uuid=b27adbfb-281e-45c9-80a6-a465fe496543" ] } ], "mendeley" : { "previouslyFormattedCitation" : "(Wixom &amp; Todd, 2005)" }, "properties" : { "noteIndex" : 0 }, "schema" : "https://github.com/citation-style-language/schema/raw/master/csl-citation.json" }</w:instrText>
      </w:r>
      <w:r w:rsidRPr="00BC081A">
        <w:rPr>
          <w:lang w:val="en-CA"/>
        </w:rPr>
        <w:fldChar w:fldCharType="separate"/>
      </w:r>
      <w:r w:rsidRPr="00BC081A">
        <w:rPr>
          <w:noProof/>
          <w:lang w:val="en-CA"/>
        </w:rPr>
        <w:t>(Wixom &amp; Todd, 2005)</w:t>
      </w:r>
      <w:r w:rsidRPr="00BC081A">
        <w:rPr>
          <w:lang w:val="en-CA"/>
        </w:rPr>
        <w:fldChar w:fldCharType="end"/>
      </w:r>
      <w:r w:rsidRPr="00BC081A">
        <w:rPr>
          <w:lang w:val="en-CA"/>
        </w:rPr>
        <w:t xml:space="preserve">. Based on the theory of reasoned action (TRA), object-based attitude, recognized commonly as satisfaction, plays the role of an external variable for behavioural beliefs and attitude (i.e. perceived ease of use and perceived usefulness), which in return affect behavioural attitude and intention </w:t>
      </w:r>
      <w:r w:rsidRPr="00BC081A">
        <w:rPr>
          <w:lang w:val="en-CA"/>
        </w:rPr>
        <w:fldChar w:fldCharType="begin" w:fldLock="1"/>
      </w:r>
      <w:r w:rsidR="00AC1F7D">
        <w:rPr>
          <w:lang w:val="en-CA"/>
        </w:rPr>
        <w:instrText>ADDIN CSL_CITATION { "citationItems" : [ { "id" : "ITEM-1", "itemData" : { "author" : [ { "dropping-particle" : "", "family" : "Ajzen", "given" : "I", "non-dropping-particle" : "", "parse-names" : false, "suffix" : "" }, { "dropping-particle" : "", "family" : "Fishbein", "given" : "M", "non-dropping-particle" : "", "parse-names" : false, "suffix" : "" } ], "id" : "ITEM-1", "issued" : { "date-parts" : [ [ "1980" ] ] }, "publisher" : "Prentice-Hall", "title" : "Understanding attitudes and predicting social behaviour", "type" : "article-journal" }, "uris" : [ "http://www.mendeley.com/documents/?uuid=60051f3b-fc24-4c87-92fb-849191abb945" ] } ], "mendeley" : { "previouslyFormattedCitation" : "(Ajzen &amp; Fishbein, 1980)" }, "properties" : { "noteIndex" : 0 }, "schema" : "https://github.com/citation-style-language/schema/raw/master/csl-citation.json" }</w:instrText>
      </w:r>
      <w:r w:rsidRPr="00BC081A">
        <w:rPr>
          <w:lang w:val="en-CA"/>
        </w:rPr>
        <w:fldChar w:fldCharType="separate"/>
      </w:r>
      <w:r w:rsidRPr="00BC081A">
        <w:rPr>
          <w:noProof/>
          <w:lang w:val="en-CA"/>
        </w:rPr>
        <w:t>(Ajzen &amp; Fishbein, 1980)</w:t>
      </w:r>
      <w:r w:rsidRPr="00BC081A">
        <w:rPr>
          <w:lang w:val="en-CA"/>
        </w:rPr>
        <w:fldChar w:fldCharType="end"/>
      </w:r>
      <w:r w:rsidRPr="00BC081A">
        <w:rPr>
          <w:lang w:val="en-CA"/>
        </w:rPr>
        <w:t>. Users’ satisfaction</w:t>
      </w:r>
      <w:r w:rsidR="004A1B27">
        <w:rPr>
          <w:lang w:val="en-CA"/>
        </w:rPr>
        <w:t xml:space="preserve"> </w:t>
      </w:r>
      <w:r w:rsidR="00B423B5">
        <w:rPr>
          <w:lang w:val="en-CA"/>
        </w:rPr>
        <w:t xml:space="preserve">with </w:t>
      </w:r>
      <w:r w:rsidRPr="00BC081A">
        <w:rPr>
          <w:lang w:val="en-CA"/>
        </w:rPr>
        <w:t xml:space="preserve">a product is an important predictor of their attitude and intention toward that product </w:t>
      </w:r>
      <w:r w:rsidRPr="00BC081A">
        <w:rPr>
          <w:lang w:val="en-CA"/>
        </w:rPr>
        <w:fldChar w:fldCharType="begin" w:fldLock="1"/>
      </w:r>
      <w:r w:rsidR="00AC1F7D">
        <w:rPr>
          <w:lang w:val="en-CA"/>
        </w:rPr>
        <w:instrText>ADDIN CSL_CITATION { "citationItems" : [ { "id" : "ITEM-1", "itemData" : { "DOI" : "10.1037//0021-9010.62.4.480", "ISSN" : "0021-9010", "author" : [ { "dropping-particle" : "", "family" : "Oliver", "given" : "Richard L.", "non-dropping-particle" : "", "parse-names" : false, "suffix" : "" } ], "container-title" : "Journal of Applied Psychology", "id" : "ITEM-1", "issue" : "4", "issued" : { "date-parts" : [ [ "1977" ] ] }, "page" : "480-486", "title" : "Effect of expectation and disconfirmation on postexposure product evaluations: An alternative interpretation.", "type" : "article-journal", "volume" : "62" }, "uris" : [ "http://www.mendeley.com/documents/?uuid=f3b7bb9b-0c71-4129-aa34-1b7e859d1c07" ] }, { "id" : "ITEM-2", "itemData" : { "author" : [ { "dropping-particle" : "", "family" : "Oliver", "given" : "Richard L.", "non-dropping-particle" : "", "parse-names" : false, "suffix" : "" } ], "container-title" : "Journal of marketing research", "id" : "ITEM-2", "issued" : { "date-parts" : [ [ "1980" ] ] }, "title" : "A cognitive model of the antecedents and consequences of satisfaction decisions", "type" : "article-journal" }, "uris" : [ "http://www.mendeley.com/documents/?uuid=addd6d9d-66a7-4355-9183-1bec26d6ee12" ] } ], "mendeley" : { "previouslyFormattedCitation" : "(Oliver, 1977, 1980)" }, "properties" : { "noteIndex" : 0 }, "schema" : "https://github.com/citation-style-language/schema/raw/master/csl-citation.json" }</w:instrText>
      </w:r>
      <w:r w:rsidRPr="00BC081A">
        <w:rPr>
          <w:lang w:val="en-CA"/>
        </w:rPr>
        <w:fldChar w:fldCharType="separate"/>
      </w:r>
      <w:r w:rsidRPr="00BC081A">
        <w:rPr>
          <w:noProof/>
          <w:lang w:val="en-CA"/>
        </w:rPr>
        <w:t>(Oliver, 1977, 1980)</w:t>
      </w:r>
      <w:r w:rsidRPr="00BC081A">
        <w:rPr>
          <w:lang w:val="en-CA"/>
        </w:rPr>
        <w:fldChar w:fldCharType="end"/>
      </w:r>
      <w:r w:rsidRPr="00BC081A">
        <w:rPr>
          <w:lang w:val="en-CA"/>
        </w:rPr>
        <w:t xml:space="preserve">. </w:t>
      </w:r>
      <w:proofErr w:type="spellStart"/>
      <w:r w:rsidRPr="00BC081A">
        <w:rPr>
          <w:lang w:val="en-CA"/>
        </w:rPr>
        <w:t>DeLone</w:t>
      </w:r>
      <w:proofErr w:type="spellEnd"/>
      <w:r w:rsidRPr="00BC081A">
        <w:rPr>
          <w:lang w:val="en-CA"/>
        </w:rPr>
        <w:t xml:space="preserve"> and McLean’s </w:t>
      </w:r>
      <w:r w:rsidRPr="00BC081A">
        <w:rPr>
          <w:lang w:val="en-CA"/>
        </w:rPr>
        <w:fldChar w:fldCharType="begin" w:fldLock="1"/>
      </w:r>
      <w:r w:rsidR="00AC1F7D">
        <w:rPr>
          <w:lang w:val="en-CA"/>
        </w:rPr>
        <w:instrText>ADDIN CSL_CITATION { "citationItems" : [ { "id" : "ITEM-1", "itemData" : { "author" : [ { "dropping-particle" : "", "family" : "DeLone", "given" : "WH", "non-dropping-particle" : "", "parse-names" : false, "suffix" : "" }, { "dropping-particle" : "", "family" : "McLean", "given" : "ER", "non-dropping-particle" : "", "parse-names" : false, "suffix" : "" } ], "container-title" : "Journal of management information systems", "id" : "ITEM-1", "issue" : "4", "issued" : { "date-parts" : [ [ "2003" ] ] }, "page" : "9-30", "title" : "The DeLone and McLean model of information systems success: a ten-year update", "type" : "article-journal", "volume" : "19" }, "uris" : [ "http://www.mendeley.com/documents/?uuid=9866dccd-6eb3-4f6d-b12f-93148d081610" ] }, { "id" : "ITEM-2", "itemData" : { "author" : [ { "dropping-particle" : "", "family" : "DeLone", "given" : "WH", "non-dropping-particle" : "", "parse-names" : false, "suffix" : "" }, { "dropping-particle" : "", "family" : "McLean", "given" : "ER", "non-dropping-particle" : "", "parse-names" : false, "suffix" : "" } ], "container-title" : "Information systems research", "id" : "ITEM-2", "issue" : "1", "issued" : { "date-parts" : [ [ "1992" ] ] }, "page" : "60-95", "title" : "Information systems success: the quest for the dependent variable", "type" : "article-journal", "volume" : "3" }, "uris" : [ "http://www.mendeley.com/documents/?uuid=84d07eeb-8e7f-443b-9982-f3e52d856dfc" ] }, { "id" : "ITEM-3", "itemData" : { "ISBN" : "0769514359", "author" : [ { "dropping-particle" : "", "family" : "DeLone", "given" : "WH", "non-dropping-particle" : "", "parse-names" : false, "suffix" : "" }, { "dropping-particle" : "", "family" : "McLean", "given" : "ER", "non-dropping-particle" : "", "parse-names" : false, "suffix" : "" } ], "id" : "ITEM-3", "issue" : "c", "issued" : { "date-parts" : [ [ "2002" ] ] }, "page" : "1-11", "title" : "Information Systems Success Revisited", "type" : "article-journal", "volume" : "00" }, "uris" : [ "http://www.mendeley.com/documents/?uuid=a3683157-2ff4-4f78-a136-52a5314ee110" ] } ], "mendeley" : { "manualFormatting" : "(1992, 2002, 2003)", "previouslyFormattedCitation" : "(DeLone &amp; McLean, 1992, 2002, 2003)" }, "properties" : { "noteIndex" : 0 }, "schema" : "https://github.com/citation-style-language/schema/raw/master/csl-citation.json" }</w:instrText>
      </w:r>
      <w:r w:rsidRPr="00BC081A">
        <w:rPr>
          <w:lang w:val="en-CA"/>
        </w:rPr>
        <w:fldChar w:fldCharType="separate"/>
      </w:r>
      <w:r w:rsidRPr="00BC081A">
        <w:rPr>
          <w:noProof/>
          <w:lang w:val="en-CA"/>
        </w:rPr>
        <w:t>(1992, 2002, 2003)</w:t>
      </w:r>
      <w:r w:rsidRPr="00BC081A">
        <w:rPr>
          <w:lang w:val="en-CA"/>
        </w:rPr>
        <w:fldChar w:fldCharType="end"/>
      </w:r>
      <w:r w:rsidRPr="00BC081A">
        <w:rPr>
          <w:lang w:val="en-CA"/>
        </w:rPr>
        <w:t xml:space="preserve"> IS success model </w:t>
      </w:r>
      <w:r w:rsidR="00B423B5">
        <w:rPr>
          <w:lang w:val="en-CA"/>
        </w:rPr>
        <w:lastRenderedPageBreak/>
        <w:t>reasons</w:t>
      </w:r>
      <w:r w:rsidR="00B423B5" w:rsidRPr="00BC081A">
        <w:rPr>
          <w:lang w:val="en-CA"/>
        </w:rPr>
        <w:t xml:space="preserve"> </w:t>
      </w:r>
      <w:r w:rsidRPr="00BC081A">
        <w:rPr>
          <w:lang w:val="en-CA"/>
        </w:rPr>
        <w:t xml:space="preserve">that for measuring the success of an IS product, the satisfaction of users after using the IS product can predict their intention to use, and therefore future usage of that IS product. The positive impact of satisfaction on attitude and intention to use have been shown in various contexts including </w:t>
      </w:r>
      <w:r w:rsidR="00A73864" w:rsidRPr="00BC081A">
        <w:rPr>
          <w:lang w:val="en-CA"/>
        </w:rPr>
        <w:t xml:space="preserve">continued use of </w:t>
      </w:r>
      <w:r w:rsidRPr="00BC081A">
        <w:rPr>
          <w:lang w:val="en-CA"/>
        </w:rPr>
        <w:t xml:space="preserve">online websites </w:t>
      </w:r>
      <w:r w:rsidRPr="00BC081A">
        <w:rPr>
          <w:lang w:val="en-CA"/>
        </w:rPr>
        <w:fldChar w:fldCharType="begin" w:fldLock="1"/>
      </w:r>
      <w:r w:rsidR="00AC1F7D">
        <w:rPr>
          <w:lang w:val="en-CA"/>
        </w:rPr>
        <w:instrText>ADDIN CSL_CITATION { "citationItems" : [ { "id" : "ITEM-1", "itemData" : { "DOI" : "10.1016/j.chb.2009.11.006", "ISSN" : "07475632", "author" : [ { "dropping-particle" : "", "family" : "Kang", "given" : "Young Sik", "non-dropping-particle" : "", "parse-names" : false, "suffix" : "" }, { "dropping-particle" : "", "family" : "Lee", "given" : "Heeseok", "non-dropping-particle" : "", "parse-names" : false, "suffix" : "" } ], "container-title" : "Computers in Human Behavior", "id" : "ITEM-1", "issue" : "3", "issued" : { "date-parts" : [ [ "2010", "5" ] ] }, "page" : "353-364", "publisher" : "Elsevier Ltd", "title" : "Understanding the role of an IT artifact in online service continuance: An extended perspective of user satisfaction", "type" : "article-journal", "volume" : "26" }, "uris" : [ "http://www.mendeley.com/documents/?uuid=6c0d36ca-ee94-4157-acc1-4cdb3ba97aa9" ] }, { "id" : "ITEM-2", "itemData" : { "DOI" : "10.1007/s10257-013-0214-3", "ISSN" : "1617-9846", "author" : [ { "dropping-particle" : "", "family" : "Hsu", "given" : "Chia-Lin", "non-dropping-particle" : "", "parse-names" : false, "suffix" : "" }, { "dropping-particle" : "", "family" : "Yu", "given" : "Chih-Ching", "non-dropping-particle" : "", "parse-names" : false, "suffix" : "" }, { "dropping-particle" : "", "family" : "Wu", "given" : "Cou-Chen", "non-dropping-particle" : "", "parse-names" : false, "suffix" : "" } ], "container-title" : "Information Systems and e-Business Management", "id" : "ITEM-2", "issue" : "2", "issued" : { "date-parts" : [ [ "2014", "1", "22" ] ] }, "page" : "139-163", "title" : "Exploring the continuance intention of social networking websites: an empirical research", "type" : "article-journal", "volume" : "12" }, "uris" : [ "http://www.mendeley.com/documents/?uuid=edbcd842-d152-4213-815f-a475341c52fb" ] } ], "mendeley" : { "previouslyFormattedCitation" : "(Chia-Lin Hsu, Yu, &amp; Wu, 2014; Kang &amp; Lee, 2010)" }, "properties" : { "noteIndex" : 0 }, "schema" : "https://github.com/citation-style-language/schema/raw/master/csl-citation.json" }</w:instrText>
      </w:r>
      <w:r w:rsidRPr="00BC081A">
        <w:rPr>
          <w:lang w:val="en-CA"/>
        </w:rPr>
        <w:fldChar w:fldCharType="separate"/>
      </w:r>
      <w:r w:rsidRPr="00BC081A">
        <w:rPr>
          <w:noProof/>
          <w:lang w:val="en-CA"/>
        </w:rPr>
        <w:t>(Chia-Lin Hsu, Yu, &amp; Wu, 2014; Kang &amp; Lee, 2010)</w:t>
      </w:r>
      <w:r w:rsidRPr="00BC081A">
        <w:rPr>
          <w:lang w:val="en-CA"/>
        </w:rPr>
        <w:fldChar w:fldCharType="end"/>
      </w:r>
      <w:r w:rsidRPr="00BC081A">
        <w:rPr>
          <w:lang w:val="en-CA"/>
        </w:rPr>
        <w:t xml:space="preserve">, </w:t>
      </w:r>
      <w:r w:rsidR="00A73864" w:rsidRPr="00BC081A">
        <w:rPr>
          <w:lang w:val="en-CA"/>
        </w:rPr>
        <w:t>continued usage of A</w:t>
      </w:r>
      <w:r w:rsidRPr="00BC081A">
        <w:rPr>
          <w:lang w:val="en-CA"/>
        </w:rPr>
        <w:t xml:space="preserve">pplication </w:t>
      </w:r>
      <w:r w:rsidR="00A73864" w:rsidRPr="00BC081A">
        <w:rPr>
          <w:lang w:val="en-CA"/>
        </w:rPr>
        <w:t>S</w:t>
      </w:r>
      <w:r w:rsidRPr="00BC081A">
        <w:rPr>
          <w:lang w:val="en-CA"/>
        </w:rPr>
        <w:t>ervice</w:t>
      </w:r>
      <w:r w:rsidR="00A73864" w:rsidRPr="00BC081A">
        <w:rPr>
          <w:lang w:val="en-CA"/>
        </w:rPr>
        <w:t xml:space="preserve"> Providers</w:t>
      </w:r>
      <w:r w:rsidR="00E108E8" w:rsidRPr="00BC081A">
        <w:rPr>
          <w:rStyle w:val="FootnoteReference"/>
          <w:lang w:val="en-CA"/>
        </w:rPr>
        <w:footnoteReference w:id="11"/>
      </w:r>
      <w:r w:rsidR="00A73864" w:rsidRPr="00BC081A">
        <w:rPr>
          <w:lang w:val="en-CA"/>
        </w:rPr>
        <w:t xml:space="preserve"> </w:t>
      </w:r>
      <w:r w:rsidRPr="00BC081A">
        <w:rPr>
          <w:lang w:val="en-CA"/>
        </w:rPr>
        <w:fldChar w:fldCharType="begin" w:fldLock="1"/>
      </w:r>
      <w:r w:rsidR="00AC1F7D">
        <w:rPr>
          <w:lang w:val="en-CA"/>
        </w:rPr>
        <w:instrText>ADDIN CSL_CITATION { "citationItems" : [ { "id" : "ITEM-1", "itemData" : { "DOI" : "10.1016/j.eswa.2011.01.142", "ISSN" : "09574174", "author" : [ { "dropping-particle" : "", "family" : "Kim", "given" : "Jeoungkun", "non-dropping-particle" : "", "parse-names" : false, "suffix" : "" }, { "dropping-particle" : "", "family" : "Hong", "given" : "Soongeun", "non-dropping-particle" : "", "parse-names" : false, "suffix" : "" }, { "dropping-particle" : "", "family" : "Min", "given" : "Jinyoung", "non-dropping-particle" : "", "parse-names" : false, "suffix" : "" }, { "dropping-particle" : "", "family" : "Lee", "given" : "Heeseok", "non-dropping-particle" : "", "parse-names" : false, "suffix" : "" } ], "container-title" : "Expert Systems with Applications", "id" : "ITEM-1", "issue" : "8", "issued" : { "date-parts" : [ [ "2011", "8" ] ] }, "page" : "9530-9542", "publisher" : "Elsevier Ltd", "title" : "Antecedents of application service continuance: A synthesis of satisfaction and trust", "type" : "article-journal", "volume" : "38" }, "uris" : [ "http://www.mendeley.com/documents/?uuid=28669990-32f4-4862-b88a-2abbaaa57db4" ] } ], "mendeley" : { "previouslyFormattedCitation" : "(Kim, Hong, Min, &amp; Lee, 2011)" }, "properties" : { "noteIndex" : 0 }, "schema" : "https://github.com/citation-style-language/schema/raw/master/csl-citation.json" }</w:instrText>
      </w:r>
      <w:r w:rsidRPr="00BC081A">
        <w:rPr>
          <w:lang w:val="en-CA"/>
        </w:rPr>
        <w:fldChar w:fldCharType="separate"/>
      </w:r>
      <w:r w:rsidRPr="00BC081A">
        <w:rPr>
          <w:noProof/>
          <w:lang w:val="en-CA"/>
        </w:rPr>
        <w:t>(Kim, Hong, Min, &amp; Lee, 2011)</w:t>
      </w:r>
      <w:r w:rsidRPr="00BC081A">
        <w:rPr>
          <w:lang w:val="en-CA"/>
        </w:rPr>
        <w:fldChar w:fldCharType="end"/>
      </w:r>
      <w:r w:rsidRPr="00BC081A">
        <w:rPr>
          <w:lang w:val="en-CA"/>
        </w:rPr>
        <w:t xml:space="preserve">, customer loyalty </w:t>
      </w:r>
      <w:r w:rsidRPr="00BC081A">
        <w:rPr>
          <w:lang w:val="en-CA"/>
        </w:rPr>
        <w:fldChar w:fldCharType="begin" w:fldLock="1"/>
      </w:r>
      <w:r w:rsidR="00AC1F7D">
        <w:rPr>
          <w:lang w:val="en-CA"/>
        </w:rPr>
        <w:instrText>ADDIN CSL_CITATION { "citationItems" : [ { "id" : "ITEM-1", "itemData" : { "DOI" : "10.1016/j.ijinfomgt.2009.10.001", "ISSN" : "02684012", "author" : [ { "dropping-particle" : "", "family" : "Deng", "given" : "Zhaohua", "non-dropping-particle" : "", "parse-names" : false, "suffix" : "" }, { "dropping-particle" : "", "family" : "Lu", "given" : "Yaobin", "non-dropping-particle" : "", "parse-names" : false, "suffix" : "" }, { "dropping-particle" : "", "family" : "Wei", "given" : "Kwok Kee", "non-dropping-particle" : "", "parse-names" : false, "suffix" : "" }, { "dropping-particle" : "", "family" : "Zhang", "given" : "Jinlong", "non-dropping-particle" : "", "parse-names" : false, "suffix" : "" } ], "container-title" : "International Journal of Information Management", "id" : "ITEM-1", "issue" : "4", "issued" : { "date-parts" : [ [ "2010", "8" ] ] }, "page" : "289-300", "publisher" : "Elsevier Ltd", "title" : "Understanding customer satisfaction and loyalty: An empirical study of mobile instant messages in China", "type" : "article-journal", "volume" : "30" }, "uris" : [ "http://www.mendeley.com/documents/?uuid=450356cc-9737-446f-9b46-0ce171eea2f7" ] } ], "mendeley" : { "manualFormatting" : "(Deng, Lu, Wei, &amp; Zhang, 2010)", "previouslyFormattedCitation" : "(Z. Deng, Lu, Wei, &amp; Zhang, 2010)" }, "properties" : { "noteIndex" : 0 }, "schema" : "https://github.com/citation-style-language/schema/raw/master/csl-citation.json" }</w:instrText>
      </w:r>
      <w:r w:rsidRPr="00BC081A">
        <w:rPr>
          <w:lang w:val="en-CA"/>
        </w:rPr>
        <w:fldChar w:fldCharType="separate"/>
      </w:r>
      <w:r w:rsidRPr="00BC081A">
        <w:rPr>
          <w:noProof/>
          <w:lang w:val="en-CA"/>
        </w:rPr>
        <w:t>(Deng, Lu, Wei, &amp; Zhang, 2010)</w:t>
      </w:r>
      <w:r w:rsidRPr="00BC081A">
        <w:rPr>
          <w:lang w:val="en-CA"/>
        </w:rPr>
        <w:fldChar w:fldCharType="end"/>
      </w:r>
      <w:r w:rsidRPr="00BC081A">
        <w:rPr>
          <w:lang w:val="en-CA"/>
        </w:rPr>
        <w:t xml:space="preserve">, and online games </w:t>
      </w:r>
      <w:r w:rsidRPr="00BC081A">
        <w:rPr>
          <w:lang w:val="en-CA"/>
        </w:rPr>
        <w:fldChar w:fldCharType="begin" w:fldLock="1"/>
      </w:r>
      <w:r w:rsidR="00AC1F7D">
        <w:rPr>
          <w:lang w:val="en-CA"/>
        </w:rPr>
        <w:instrText>ADDIN CSL_CITATION { "citationItems" : [ { "id" : "ITEM-1", "itemData" : { "DOI" : "10.1016/j.tele.2012.10.006", "ISSN" : "07365853", "author" : [ { "dropping-particle" : "", "family" : "Chang", "given" : "Chiao-Chen", "non-dropping-particle" : "", "parse-names" : false, "suffix" : "" } ], "container-title" : "Telematics and Informatics", "id" : "ITEM-1", "issue" : "4", "issued" : { "date-parts" : [ [ "2013", "11" ] ] }, "page" : "311-321", "publisher" : "Elsevier Ltd", "title" : "Examining users\u2032 intention to continue using social network games: A flow experience perspective", "type" : "article-journal", "volume" : "30" }, "uris" : [ "http://www.mendeley.com/documents/?uuid=dfff6517-ab79-4eb3-84a9-d6c734b69e03" ] } ], "mendeley" : { "previouslyFormattedCitation" : "(C.-C. Chang, 2013)" }, "properties" : { "noteIndex" : 0 }, "schema" : "https://github.com/citation-style-language/schema/raw/master/csl-citation.json" }</w:instrText>
      </w:r>
      <w:r w:rsidRPr="00BC081A">
        <w:rPr>
          <w:lang w:val="en-CA"/>
        </w:rPr>
        <w:fldChar w:fldCharType="separate"/>
      </w:r>
      <w:r w:rsidR="00FC3905" w:rsidRPr="00BC081A">
        <w:rPr>
          <w:noProof/>
          <w:lang w:val="en-CA"/>
        </w:rPr>
        <w:t>(C.-C. Chang, 2013)</w:t>
      </w:r>
      <w:r w:rsidRPr="00BC081A">
        <w:rPr>
          <w:lang w:val="en-CA"/>
        </w:rPr>
        <w:fldChar w:fldCharType="end"/>
      </w:r>
      <w:r w:rsidRPr="00BC081A">
        <w:rPr>
          <w:lang w:val="en-CA"/>
        </w:rPr>
        <w:t>.</w:t>
      </w:r>
    </w:p>
    <w:p w14:paraId="21ACA2BF" w14:textId="48539FC6" w:rsidR="009503F5" w:rsidRPr="00BC081A" w:rsidRDefault="009503F5" w:rsidP="009503F5">
      <w:pPr>
        <w:pStyle w:val="Hypothesis"/>
        <w:ind w:left="0"/>
        <w:rPr>
          <w:lang w:val="en-CA"/>
        </w:rPr>
      </w:pPr>
      <w:r w:rsidRPr="00BC081A">
        <w:rPr>
          <w:lang w:val="en-CA"/>
        </w:rPr>
        <w:t xml:space="preserve">Based on the antecedents of satisfaction that </w:t>
      </w:r>
      <w:proofErr w:type="spellStart"/>
      <w:r w:rsidRPr="00BC081A">
        <w:rPr>
          <w:lang w:val="en-CA"/>
        </w:rPr>
        <w:t>DeLone</w:t>
      </w:r>
      <w:proofErr w:type="spellEnd"/>
      <w:r w:rsidRPr="00BC081A">
        <w:rPr>
          <w:lang w:val="en-CA"/>
        </w:rPr>
        <w:t xml:space="preserve"> and McLean (1992) introduced, i.e. information and system quality, Wixom and Todd (2005) divided satisfaction into information and s</w:t>
      </w:r>
      <w:r w:rsidR="000E69EC" w:rsidRPr="00BC081A">
        <w:rPr>
          <w:lang w:val="en-CA"/>
        </w:rPr>
        <w:t xml:space="preserve">ystem satisfaction. However, </w:t>
      </w:r>
      <w:r w:rsidRPr="00BC081A">
        <w:rPr>
          <w:lang w:val="en-CA"/>
        </w:rPr>
        <w:t xml:space="preserve">information quality is not </w:t>
      </w:r>
      <w:r w:rsidR="000E69EC" w:rsidRPr="00BC081A">
        <w:rPr>
          <w:lang w:val="en-CA"/>
        </w:rPr>
        <w:t>relevant to the context and research questions of the current investigation</w:t>
      </w:r>
      <w:r w:rsidRPr="00BC081A">
        <w:rPr>
          <w:lang w:val="en-CA"/>
        </w:rPr>
        <w:t>. User’s system satisfaction or satisfaction from the game, which is the main endogenous construct in this study, is referred to as satisfaction for simplicity.</w:t>
      </w:r>
    </w:p>
    <w:p w14:paraId="76EC2CDC" w14:textId="544740A4" w:rsidR="009503F5" w:rsidRPr="00BC081A" w:rsidRDefault="009503F5" w:rsidP="009503F5">
      <w:pPr>
        <w:pStyle w:val="Hypothesis"/>
        <w:ind w:left="0"/>
        <w:rPr>
          <w:lang w:val="en-CA"/>
        </w:rPr>
      </w:pPr>
      <w:r w:rsidRPr="00BC081A">
        <w:rPr>
          <w:lang w:val="en-CA"/>
        </w:rPr>
        <w:t>Accord</w:t>
      </w:r>
      <w:r w:rsidR="00495A28">
        <w:rPr>
          <w:lang w:val="en-CA"/>
        </w:rPr>
        <w:t>ing to Expectation Confirmation</w:t>
      </w:r>
      <w:r w:rsidRPr="00BC081A">
        <w:rPr>
          <w:lang w:val="en-CA"/>
        </w:rPr>
        <w:t xml:space="preserve"> Theory (ECM/; </w:t>
      </w:r>
      <w:r w:rsidRPr="00BC081A">
        <w:rPr>
          <w:lang w:val="en-CA"/>
        </w:rPr>
        <w:fldChar w:fldCharType="begin" w:fldLock="1"/>
      </w:r>
      <w:r w:rsidR="00AC1F7D">
        <w:rPr>
          <w:lang w:val="en-CA"/>
        </w:rPr>
        <w:instrText>ADDIN CSL_CITATION { "citationItems" : [ { "id" : "ITEM-1", "itemData" : { "author" : [ { "dropping-particle" : "", "family" : "Oliver", "given" : "Richard L.", "non-dropping-particle" : "", "parse-names" : false, "suffix" : "" } ], "container-title" : "Journal of marketing research", "id" : "ITEM-1", "issued" : { "date-parts" : [ [ "1980" ] ] }, "title" : "A cognitive model of the antecedents and consequences of satisfaction decisions", "type" : "article-journal" }, "uris" : [ "http://www.mendeley.com/documents/?uuid=addd6d9d-66a7-4355-9183-1bec26d6ee12" ] }, { "id" : "ITEM-2", "itemData" : { "DOI" : "10.1037//0021-9010.62.4.480", "ISSN" : "0021-9010", "author" : [ { "dropping-particle" : "", "family" : "Oliver", "given" : "Richard L.", "non-dropping-particle" : "", "parse-names" : false, "suffix" : "" } ], "container-title" : "Journal of Applied Psychology", "id" : "ITEM-2", "issue" : "4", "issued" : { "date-parts" : [ [ "1977" ] ] }, "page" : "480-486", "title" : "Effect of expectation and disconfirmation on postexposure product evaluations: An alternative interpretation.", "type" : "article-journal", "volume" : "62" }, "uris" : [ "http://www.mendeley.com/documents/?uuid=f3b7bb9b-0c71-4129-aa34-1b7e859d1c07" ] } ], "mendeley" : { "manualFormatting" : "Oliver, 1977, 1980)", "previouslyFormattedCitation" : "(Oliver, 1977, 1980)" }, "properties" : { "noteIndex" : 0 }, "schema" : "https://github.com/citation-style-language/schema/raw/master/csl-citation.json" }</w:instrText>
      </w:r>
      <w:r w:rsidRPr="00BC081A">
        <w:rPr>
          <w:lang w:val="en-CA"/>
        </w:rPr>
        <w:fldChar w:fldCharType="separate"/>
      </w:r>
      <w:r w:rsidRPr="00BC081A">
        <w:rPr>
          <w:noProof/>
          <w:lang w:val="en-CA"/>
        </w:rPr>
        <w:t>Oliver, 1977, 1980)</w:t>
      </w:r>
      <w:r w:rsidRPr="00BC081A">
        <w:rPr>
          <w:lang w:val="en-CA"/>
        </w:rPr>
        <w:fldChar w:fldCharType="end"/>
      </w:r>
      <w:r w:rsidRPr="00BC081A">
        <w:rPr>
          <w:lang w:val="en-CA"/>
        </w:rPr>
        <w:t xml:space="preserve">, expectation reflects anticipated behaviour, and when a product or service outperforms our expectations, or creates positive disconfirmation for us, we would have satisfaction from using that product or service. The Flow experience during the video gameplay is the result of disconfirmation. This positive disconfirmation, according to ECM, results in satisfaction of the players </w:t>
      </w:r>
      <w:r w:rsidR="00213789" w:rsidRPr="00BC081A">
        <w:rPr>
          <w:lang w:val="en-CA"/>
        </w:rPr>
        <w:t>from playing</w:t>
      </w:r>
      <w:r w:rsidRPr="00BC081A">
        <w:rPr>
          <w:lang w:val="en-CA"/>
        </w:rPr>
        <w:t xml:space="preserve"> the video game. Therefore, in alignment with earlier research </w:t>
      </w:r>
      <w:r w:rsidRPr="00BC081A">
        <w:rPr>
          <w:lang w:val="en-CA"/>
        </w:rPr>
        <w:fldChar w:fldCharType="begin" w:fldLock="1"/>
      </w:r>
      <w:r w:rsidR="00AC1F7D">
        <w:rPr>
          <w:lang w:val="en-CA"/>
        </w:rPr>
        <w:instrText>ADDIN CSL_CITATION { "citationItems" : [ { "id" : "ITEM-1", "itemData" : { "DOI" : "10.1016/j.tele.2012.10.006", "ISSN" : "07365853", "author" : [ { "dropping-particle" : "", "family" : "Chang", "given" : "Chiao-Chen", "non-dropping-particle" : "", "parse-names" : false, "suffix" : "" } ], "container-title" : "Telematics and Informatics", "id" : "ITEM-1", "issue" : "4", "issued" : { "date-parts" : [ [ "2013", "11" ] ] }, "page" : "311-321", "publisher" : "Elsevier Ltd", "title" : "Examining users\u2032 intention to continue using social network games: A flow experience perspective", "type" : "article-journal", "volume" : "30" }, "uris" : [ "http://www.mendeley.com/documents/?uuid=dfff6517-ab79-4eb3-84a9-d6c734b69e03" ] }, { "id" : "ITEM-2", "itemData" : { "DOI" : "10.4018/jthi.2010040104", "ISBN" : "2010040104", "ISSN" : "1548-3908", "author" : [ { "dropping-particle" : "", "family" : "Hsu", "given" : "Chin-Lung", "non-dropping-particle" : "", "parse-names" : false, "suffix" : "" } ], "container-title" : "International Journal of Technology and Human Interaction", "id" : "ITEM-2", "issue" : "2", "issued" : { "date-parts" : [ [ "2010", "1" ] ] }, "page" : "47-64", "title" : "Exploring the Player Flow Experience in E-Game Playing", "type" : "article-journal", "volume" : "6" }, "uris" : [ "http://www.mendeley.com/documents/?uuid=2c59f4e3-4c45-415f-b12f-9f74dabd7e72" ] }, { "id" : "ITEM-3", "itemData" : { "DOI" : "10.1111/j.1467-8535.2006.00641.x", "ISSN" : "00071013", "author" : [ { "dropping-particle" : "", "family" : "Shin", "given" : "Namin", "non-dropping-particle" : "", "parse-names" : false, "suffix" : "" } ], "container-title" : "British Journal of Educational Technology", "id" : "ITEM-3", "issue" : "5", "issued" : { "date-parts" : [ [ "2006", "9" ] ] }, "page" : "705-720", "title" : "Online learner\u2019s \u2018flow\u2019 experience: an empirical study", "type" : "article-journal", "volume" : "37" }, "uris" : [ "http://www.mendeley.com/documents/?uuid=12fba3aa-24a0-446d-bd7b-b671851e2d51" ] } ], "mendeley" : { "previouslyFormattedCitation" : "(C.-C. Chang, 2013; Chin-Lung Hsu, 2010; Shin, 2006)" }, "properties" : { "noteIndex" : 0 }, "schema" : "https://github.com/citation-style-language/schema/raw/master/csl-citation.json" }</w:instrText>
      </w:r>
      <w:r w:rsidRPr="00BC081A">
        <w:rPr>
          <w:lang w:val="en-CA"/>
        </w:rPr>
        <w:fldChar w:fldCharType="separate"/>
      </w:r>
      <w:r w:rsidR="00FC3905" w:rsidRPr="00BC081A">
        <w:rPr>
          <w:noProof/>
          <w:lang w:val="en-CA"/>
        </w:rPr>
        <w:t>(C.-C. Chang, 2013; Chin-Lung Hsu, 2010; Shin, 2006)</w:t>
      </w:r>
      <w:r w:rsidRPr="00BC081A">
        <w:rPr>
          <w:lang w:val="en-CA"/>
        </w:rPr>
        <w:fldChar w:fldCharType="end"/>
      </w:r>
      <w:r w:rsidRPr="00BC081A">
        <w:rPr>
          <w:lang w:val="en-CA"/>
        </w:rPr>
        <w:t xml:space="preserve"> </w:t>
      </w:r>
      <w:r w:rsidR="00D27F97">
        <w:rPr>
          <w:lang w:val="en-CA"/>
        </w:rPr>
        <w:t xml:space="preserve">it is </w:t>
      </w:r>
      <w:r w:rsidRPr="00BC081A">
        <w:rPr>
          <w:lang w:val="en-CA"/>
        </w:rPr>
        <w:t>expect</w:t>
      </w:r>
      <w:r w:rsidR="00D27F97">
        <w:rPr>
          <w:lang w:val="en-CA"/>
        </w:rPr>
        <w:t>ed</w:t>
      </w:r>
      <w:r w:rsidRPr="00BC081A">
        <w:rPr>
          <w:lang w:val="en-CA"/>
        </w:rPr>
        <w:t xml:space="preserve"> to see a direct relationship between Flow and reported Satisfaction of video </w:t>
      </w:r>
      <w:proofErr w:type="spellStart"/>
      <w:r w:rsidR="00547B98">
        <w:rPr>
          <w:lang w:val="en-CA"/>
        </w:rPr>
        <w:t>gameplay</w:t>
      </w:r>
      <w:r w:rsidRPr="00BC081A">
        <w:rPr>
          <w:lang w:val="en-CA"/>
        </w:rPr>
        <w:t>ers</w:t>
      </w:r>
      <w:proofErr w:type="spellEnd"/>
      <w:r w:rsidRPr="00BC081A">
        <w:rPr>
          <w:lang w:val="en-CA"/>
        </w:rPr>
        <w:t xml:space="preserve">. Thus, </w:t>
      </w:r>
      <w:r w:rsidR="00653A2D">
        <w:rPr>
          <w:lang w:val="en-CA"/>
        </w:rPr>
        <w:t>it is</w:t>
      </w:r>
      <w:r w:rsidRPr="00BC081A">
        <w:rPr>
          <w:lang w:val="en-CA"/>
        </w:rPr>
        <w:t xml:space="preserve"> hypothesize</w:t>
      </w:r>
      <w:r w:rsidR="00653A2D">
        <w:rPr>
          <w:lang w:val="en-CA"/>
        </w:rPr>
        <w:t>d that</w:t>
      </w:r>
      <w:r w:rsidRPr="00BC081A">
        <w:rPr>
          <w:lang w:val="en-CA"/>
        </w:rPr>
        <w:t>:</w:t>
      </w:r>
    </w:p>
    <w:p w14:paraId="5D81EBF5" w14:textId="361DB023" w:rsidR="009503F5" w:rsidRPr="00BC081A" w:rsidRDefault="009503F5" w:rsidP="009503F5">
      <w:pPr>
        <w:pStyle w:val="Hypothesis"/>
        <w:ind w:firstLine="0"/>
        <w:rPr>
          <w:lang w:val="en-CA"/>
        </w:rPr>
      </w:pPr>
      <w:r w:rsidRPr="00BC081A">
        <w:rPr>
          <w:b/>
          <w:lang w:val="en-CA"/>
        </w:rPr>
        <w:t xml:space="preserve">Hypothesis 1: </w:t>
      </w:r>
      <w:r w:rsidRPr="00BC081A">
        <w:rPr>
          <w:lang w:val="en-CA"/>
        </w:rPr>
        <w:t xml:space="preserve">Higher levels of Flow experience </w:t>
      </w:r>
      <w:r w:rsidR="00213789" w:rsidRPr="00BC081A">
        <w:rPr>
          <w:lang w:val="en-CA"/>
        </w:rPr>
        <w:t xml:space="preserve">of video </w:t>
      </w:r>
      <w:proofErr w:type="spellStart"/>
      <w:r w:rsidR="00547B98">
        <w:rPr>
          <w:lang w:val="en-CA"/>
        </w:rPr>
        <w:t>gameplay</w:t>
      </w:r>
      <w:r w:rsidR="00213789" w:rsidRPr="00BC081A">
        <w:rPr>
          <w:lang w:val="en-CA"/>
        </w:rPr>
        <w:t>ers</w:t>
      </w:r>
      <w:proofErr w:type="spellEnd"/>
      <w:r w:rsidR="00213789" w:rsidRPr="00BC081A">
        <w:rPr>
          <w:lang w:val="en-CA"/>
        </w:rPr>
        <w:t xml:space="preserve"> </w:t>
      </w:r>
      <w:r w:rsidRPr="00BC081A">
        <w:rPr>
          <w:lang w:val="en-CA"/>
        </w:rPr>
        <w:t xml:space="preserve">will increase </w:t>
      </w:r>
      <w:r w:rsidR="00213789" w:rsidRPr="00BC081A">
        <w:rPr>
          <w:lang w:val="en-CA"/>
        </w:rPr>
        <w:t xml:space="preserve">their </w:t>
      </w:r>
      <w:r w:rsidRPr="00BC081A">
        <w:rPr>
          <w:lang w:val="en-CA"/>
        </w:rPr>
        <w:t>satisfaction</w:t>
      </w:r>
      <w:r w:rsidR="00213789" w:rsidRPr="00BC081A">
        <w:rPr>
          <w:lang w:val="en-CA"/>
        </w:rPr>
        <w:t>.</w:t>
      </w:r>
      <w:r w:rsidRPr="00BC081A">
        <w:rPr>
          <w:lang w:val="en-CA"/>
        </w:rPr>
        <w:t xml:space="preserve"> </w:t>
      </w:r>
    </w:p>
    <w:p w14:paraId="5B83C8B1" w14:textId="77777777" w:rsidR="00C80442" w:rsidRDefault="009503F5" w:rsidP="00653A2D">
      <w:pPr>
        <w:rPr>
          <w:noProof/>
        </w:rPr>
      </w:pPr>
      <w:r w:rsidRPr="00BC081A">
        <w:rPr>
          <w:noProof/>
        </w:rPr>
        <w:lastRenderedPageBreak/>
        <w:t>As explained earlier, Flow theory indicates that in order to reach the optimal state</w:t>
      </w:r>
      <w:r w:rsidR="00D61A31">
        <w:rPr>
          <w:noProof/>
        </w:rPr>
        <w:t xml:space="preserve"> of flow</w:t>
      </w:r>
      <w:r w:rsidRPr="00BC081A">
        <w:rPr>
          <w:noProof/>
        </w:rPr>
        <w:t xml:space="preserve">, an activity should require skills from the performers that are in balance with the challenge that the activity creates. </w:t>
      </w:r>
      <w:r w:rsidRPr="00BC081A">
        <w:rPr>
          <w:noProof/>
        </w:rPr>
        <w:fldChar w:fldCharType="begin" w:fldLock="1"/>
      </w:r>
      <w:r w:rsidR="00AC1F7D">
        <w:rPr>
          <w:noProof/>
        </w:rPr>
        <w:instrText>ADDIN CSL_CITATION { "citationItems" : [ { "id" : "ITEM-1", "itemData" : { "DOI" : "10.1111/j.1467-8535.2006.00641.x", "ISSN" : "00071013", "author" : [ { "dropping-particle" : "", "family" : "Shin", "given" : "Namin", "non-dropping-particle" : "", "parse-names" : false, "suffix" : "" } ], "container-title" : "British Journal of Educational Technology", "id" : "ITEM-1", "issue" : "5", "issued" : { "date-parts" : [ [ "2006", "9" ] ] }, "page" : "705-720", "title" : "Online learner\u2019s \u2018flow\u2019 experience: an empirical study", "type" : "article-journal", "volume" : "37" }, "uris" : [ "http://www.mendeley.com/documents/?uuid=12fba3aa-24a0-446d-bd7b-b671851e2d51" ] } ], "mendeley" : { "manualFormatting" : "Shin (2006)", "previouslyFormattedCitation" : "(Shin, 2006)" }, "properties" : { "noteIndex" : 0 }, "schema" : "https://github.com/citation-style-language/schema/raw/master/csl-citation.json" }</w:instrText>
      </w:r>
      <w:r w:rsidRPr="00BC081A">
        <w:rPr>
          <w:noProof/>
        </w:rPr>
        <w:fldChar w:fldCharType="separate"/>
      </w:r>
      <w:r w:rsidRPr="00BC081A">
        <w:rPr>
          <w:noProof/>
        </w:rPr>
        <w:t>Shin (2006)</w:t>
      </w:r>
      <w:r w:rsidRPr="00BC081A">
        <w:rPr>
          <w:noProof/>
        </w:rPr>
        <w:fldChar w:fldCharType="end"/>
      </w:r>
      <w:r w:rsidRPr="00BC081A">
        <w:rPr>
          <w:noProof/>
        </w:rPr>
        <w:t xml:space="preserve"> defines challenge as “the degree to which individuals find it difficult to cope with specific task involved” (p. 706). If the level of Perceived Challenge compared to necessary skills in a computer task is too low, the users will lose interest in performing that task and the task becomes boring </w:t>
      </w:r>
      <w:r w:rsidRPr="00BC081A">
        <w:rPr>
          <w:noProof/>
        </w:rPr>
        <w:fldChar w:fldCharType="begin" w:fldLock="1"/>
      </w:r>
      <w:r w:rsidR="00AC1F7D">
        <w:rPr>
          <w:noProof/>
        </w:rPr>
        <w:instrText>ADDIN CSL_CITATION { "citationItems" : [ { "id" : "ITEM-1", "itemData" : { "author" : [ { "dropping-particle" : "", "family" : "Ghani", "given" : "J.A.", "non-dropping-particle" : "", "parse-names" : false, "suffix" : "" }, { "dropping-particle" : "", "family" : "Deshpande", "given" : "S.P.", "non-dropping-particle" : "", "parse-names" : false, "suffix" : "" } ], "container-title" : "the journal of psychology", "id" : "ITEM-1", "issue" : "4", "issued" : { "date-parts" : [ [ "1994" ] ] }, "page" : "381\u2013391", "publisher" : "Taylor &amp; Francis", "title" : "Task Characteristics and the Experience of Optimal Flow in Human\u2014Computer Interaction", "type" : "article-journal", "volume" : "128" }, "uris" : [ "http://www.mendeley.com/documents/?uuid=542d672d-b87e-427f-a67f-b744aa0a00ab" ] } ], "mendeley" : { "previouslyFormattedCitation" : "(Ghani &amp; Deshpande, 1994)" }, "properties" : { "noteIndex" : 0 }, "schema" : "https://github.com/citation-style-language/schema/raw/master/csl-citation.json" }</w:instrText>
      </w:r>
      <w:r w:rsidRPr="00BC081A">
        <w:rPr>
          <w:noProof/>
        </w:rPr>
        <w:fldChar w:fldCharType="separate"/>
      </w:r>
      <w:r w:rsidRPr="00BC081A">
        <w:rPr>
          <w:noProof/>
        </w:rPr>
        <w:t>(Ghani &amp; Deshpande, 1994)</w:t>
      </w:r>
      <w:r w:rsidRPr="00BC081A">
        <w:rPr>
          <w:noProof/>
        </w:rPr>
        <w:fldChar w:fldCharType="end"/>
      </w:r>
      <w:r w:rsidRPr="00BC081A">
        <w:rPr>
          <w:noProof/>
        </w:rPr>
        <w:t xml:space="preserve">. Therefore, in order to reach the state of Flow, a video </w:t>
      </w:r>
      <w:r w:rsidR="00547B98">
        <w:rPr>
          <w:noProof/>
        </w:rPr>
        <w:t>gameplay</w:t>
      </w:r>
      <w:r w:rsidRPr="00BC081A">
        <w:rPr>
          <w:noProof/>
        </w:rPr>
        <w:t xml:space="preserve">er should perform a task that requires a balance of challenge and skills </w:t>
      </w:r>
      <w:r w:rsidRPr="00BC081A">
        <w:rPr>
          <w:noProof/>
        </w:rPr>
        <w:fldChar w:fldCharType="begin" w:fldLock="1"/>
      </w:r>
      <w:r w:rsidR="00AC1F7D">
        <w:rPr>
          <w:noProof/>
        </w:rPr>
        <w:instrText>ADDIN CSL_CITATION { "citationItems" : [ { "id" : "ITEM-1", "itemData" : { "author" : [ { "dropping-particle" : "", "family" : "Csikszentmihalyi", "given" : "M", "non-dropping-particle" : "", "parse-names" : false, "suffix" : "" } ], "id" : "ITEM-1", "issued" : { "date-parts" : [ [ "1991" ] ] }, "publisher" : "Harper Collins Publishers", "title" : "Flow: The psychology of optimal experience: Steps toward enhancing the quality of life", "type" : "book" }, "uris" : [ "http://www.mendeley.com/documents/?uuid=c4b97a6d-79bb-4543-b899-eb543cc86b8b" ] }, { "id" : "ITEM-2", "itemData" : { "author" : [ { "dropping-particle" : "", "family" : "Csikszentmihalyi", "given" : "M", "non-dropping-particle" : "", "parse-names" : false, "suffix" : "" } ], "id" : "ITEM-2", "issued" : { "date-parts" : [ [ "1997" ] ] }, "publisher" : "Basic Books", "title" : "Finding flow: The psychology of engagement with everyday life", "type" : "book" }, "uris" : [ "http://www.mendeley.com/documents/?uuid=294e388b-5672-4078-9925-ceecb8292ef7" ] } ], "mendeley" : { "previouslyFormattedCitation" : "(Csikszentmihalyi, 1991, 1997)" }, "properties" : { "noteIndex" : 0 }, "schema" : "https://github.com/citation-style-language/schema/raw/master/csl-citation.json" }</w:instrText>
      </w:r>
      <w:r w:rsidRPr="00BC081A">
        <w:rPr>
          <w:noProof/>
        </w:rPr>
        <w:fldChar w:fldCharType="separate"/>
      </w:r>
      <w:r w:rsidRPr="00BC081A">
        <w:rPr>
          <w:noProof/>
        </w:rPr>
        <w:t>(Csikszentmihalyi, 1991, 1997)</w:t>
      </w:r>
      <w:r w:rsidRPr="00BC081A">
        <w:rPr>
          <w:noProof/>
        </w:rPr>
        <w:fldChar w:fldCharType="end"/>
      </w:r>
      <w:r w:rsidRPr="00BC081A">
        <w:rPr>
          <w:noProof/>
        </w:rPr>
        <w:t xml:space="preserve">. In video games, where players learn the skills required for playing the game, increasing the level of challenge can create the balance between challenge and skill in playing the game, which can result in experiencing Flow. </w:t>
      </w:r>
    </w:p>
    <w:p w14:paraId="7D05555D" w14:textId="25DF7EEE" w:rsidR="00375349" w:rsidRDefault="00DA43CB" w:rsidP="00375349">
      <w:pPr>
        <w:rPr>
          <w:noProof/>
          <w:lang w:val="en-US"/>
        </w:rPr>
      </w:pPr>
      <w:r>
        <w:rPr>
          <w:noProof/>
        </w:rPr>
        <w:t>P</w:t>
      </w:r>
      <w:r w:rsidR="007804FF">
        <w:rPr>
          <w:noProof/>
        </w:rPr>
        <w:t>reliminary research show</w:t>
      </w:r>
      <w:r>
        <w:rPr>
          <w:noProof/>
        </w:rPr>
        <w:t>s</w:t>
      </w:r>
      <w:r w:rsidR="007804FF">
        <w:rPr>
          <w:noProof/>
        </w:rPr>
        <w:t xml:space="preserve"> that direct measurement of balance using the construct of Balance of Challenge and Skill, such as Guo and Poole’s (2009) two item construct</w:t>
      </w:r>
      <w:r w:rsidR="007804FF">
        <w:rPr>
          <w:rStyle w:val="FootnoteReference"/>
          <w:noProof/>
        </w:rPr>
        <w:footnoteReference w:id="12"/>
      </w:r>
      <w:r w:rsidR="007804FF">
        <w:rPr>
          <w:noProof/>
        </w:rPr>
        <w:t xml:space="preserve"> of Balance, tend</w:t>
      </w:r>
      <w:r>
        <w:rPr>
          <w:noProof/>
        </w:rPr>
        <w:t>s</w:t>
      </w:r>
      <w:r w:rsidR="007804FF">
        <w:rPr>
          <w:noProof/>
        </w:rPr>
        <w:t xml:space="preserve"> to measure only the Skill antecedent of Flow rather than the actual balance between skills and challenges of participants. In fact, Guo and Poole’s (2009) results showed that there is an</w:t>
      </w:r>
      <w:r w:rsidR="00247514">
        <w:rPr>
          <w:noProof/>
        </w:rPr>
        <w:t xml:space="preserve"> abnormally high correlation between Balance and Skill constructs (</w:t>
      </w:r>
      <w:r w:rsidR="00EC204F">
        <w:rPr>
          <w:noProof/>
        </w:rPr>
        <w:t xml:space="preserve">0.82), which </w:t>
      </w:r>
      <w:r>
        <w:rPr>
          <w:noProof/>
        </w:rPr>
        <w:t>may be an indication of</w:t>
      </w:r>
      <w:r w:rsidR="00EC204F">
        <w:rPr>
          <w:noProof/>
        </w:rPr>
        <w:t xml:space="preserve"> </w:t>
      </w:r>
      <w:r w:rsidR="00EC204F" w:rsidRPr="00EC204F">
        <w:rPr>
          <w:noProof/>
        </w:rPr>
        <w:t>multicollinearity</w:t>
      </w:r>
      <w:r w:rsidR="00EC204F">
        <w:rPr>
          <w:noProof/>
        </w:rPr>
        <w:t>.</w:t>
      </w:r>
      <w:r w:rsidR="007804FF">
        <w:rPr>
          <w:noProof/>
        </w:rPr>
        <w:t xml:space="preserve"> </w:t>
      </w:r>
      <w:r w:rsidR="00EC204F">
        <w:rPr>
          <w:noProof/>
        </w:rPr>
        <w:t xml:space="preserve">The alternative to measuring balance of Challenge and Skill would be to measure both of these constructs separately and </w:t>
      </w:r>
      <w:r w:rsidR="006E6BA4">
        <w:rPr>
          <w:noProof/>
        </w:rPr>
        <w:t xml:space="preserve">develop a new calculated variable that would represent the construct of Balance. </w:t>
      </w:r>
      <w:r w:rsidR="0075383A">
        <w:rPr>
          <w:noProof/>
        </w:rPr>
        <w:t xml:space="preserve">An example of this approach is proposed by Shin (2006) to create </w:t>
      </w:r>
      <w:r w:rsidR="0075383A" w:rsidRPr="0075383A">
        <w:rPr>
          <w:noProof/>
          <w:lang w:val="en-US"/>
        </w:rPr>
        <w:t xml:space="preserve">a new variable called </w:t>
      </w:r>
      <w:r w:rsidR="0075383A" w:rsidRPr="0075383A">
        <w:rPr>
          <w:i/>
          <w:iCs/>
          <w:noProof/>
          <w:lang w:val="en-US"/>
        </w:rPr>
        <w:t xml:space="preserve">flow condition </w:t>
      </w:r>
      <w:r w:rsidR="0075383A" w:rsidRPr="0075383A">
        <w:rPr>
          <w:noProof/>
          <w:lang w:val="en-US"/>
        </w:rPr>
        <w:t>(</w:t>
      </w:r>
      <w:r w:rsidR="0075383A" w:rsidRPr="0075383A">
        <w:rPr>
          <w:i/>
          <w:iCs/>
          <w:noProof/>
          <w:lang w:val="en-US"/>
        </w:rPr>
        <w:t>fc</w:t>
      </w:r>
      <w:r w:rsidR="0075383A" w:rsidRPr="0075383A">
        <w:rPr>
          <w:noProof/>
          <w:lang w:val="en-US"/>
        </w:rPr>
        <w:t>) by calculating the difference between the (standardized) level of challenge and skill of the participant</w:t>
      </w:r>
      <w:r w:rsidR="0075383A">
        <w:rPr>
          <w:noProof/>
          <w:lang w:val="en-US"/>
        </w:rPr>
        <w:t xml:space="preserve">s. </w:t>
      </w:r>
      <w:r w:rsidR="004D54B1">
        <w:rPr>
          <w:noProof/>
          <w:lang w:val="en-US"/>
        </w:rPr>
        <w:t xml:space="preserve">However, using </w:t>
      </w:r>
      <w:r>
        <w:rPr>
          <w:noProof/>
          <w:lang w:val="en-US"/>
        </w:rPr>
        <w:t xml:space="preserve">the </w:t>
      </w:r>
      <w:r w:rsidR="004D54B1">
        <w:rPr>
          <w:noProof/>
          <w:lang w:val="en-US"/>
        </w:rPr>
        <w:t xml:space="preserve">standardized difference between two variables ignores the potential polynomial relationship between the three variables (i.e. Challenge, Skill, and Balance). Therefore, the only valid </w:t>
      </w:r>
      <w:r w:rsidR="004D54B1">
        <w:rPr>
          <w:noProof/>
          <w:lang w:val="en-US"/>
        </w:rPr>
        <w:lastRenderedPageBreak/>
        <w:t xml:space="preserve">solution to measure the relationship between Challenge and Skill’s balance and Flow would be to use </w:t>
      </w:r>
      <w:r>
        <w:rPr>
          <w:noProof/>
          <w:lang w:val="en-US"/>
        </w:rPr>
        <w:t xml:space="preserve">the </w:t>
      </w:r>
      <w:r w:rsidR="004D54B1">
        <w:rPr>
          <w:noProof/>
          <w:lang w:val="en-US"/>
        </w:rPr>
        <w:t xml:space="preserve">polynomial regression technique. </w:t>
      </w:r>
      <w:r>
        <w:rPr>
          <w:noProof/>
          <w:lang w:val="en-US"/>
        </w:rPr>
        <w:t>However</w:t>
      </w:r>
      <w:r w:rsidR="00375349">
        <w:rPr>
          <w:noProof/>
          <w:lang w:val="en-US"/>
        </w:rPr>
        <w:t xml:space="preserve">, </w:t>
      </w:r>
      <w:r w:rsidR="004D54B1">
        <w:rPr>
          <w:noProof/>
          <w:lang w:val="en-US"/>
        </w:rPr>
        <w:t>structural equation modelling does not allow the integration of polynomial regression</w:t>
      </w:r>
      <w:r>
        <w:rPr>
          <w:noProof/>
          <w:lang w:val="en-US"/>
        </w:rPr>
        <w:t xml:space="preserve">s.  As such, </w:t>
      </w:r>
      <w:r w:rsidR="004D54B1">
        <w:rPr>
          <w:noProof/>
          <w:lang w:val="en-US"/>
        </w:rPr>
        <w:t xml:space="preserve">this relationship needs to be analyzed in separate </w:t>
      </w:r>
      <w:r w:rsidR="00375349">
        <w:rPr>
          <w:noProof/>
          <w:lang w:val="en-US"/>
        </w:rPr>
        <w:t xml:space="preserve">analyses. </w:t>
      </w:r>
    </w:p>
    <w:p w14:paraId="5C45EF8B" w14:textId="29A7F0E9" w:rsidR="009503F5" w:rsidRPr="00375349" w:rsidRDefault="00375349" w:rsidP="00375349">
      <w:pPr>
        <w:rPr>
          <w:noProof/>
          <w:lang w:val="en-US"/>
        </w:rPr>
      </w:pPr>
      <w:r w:rsidRPr="00BC081A">
        <w:rPr>
          <w:noProof/>
        </w:rPr>
        <w:t xml:space="preserve">Generally, “along with individual skills, the challenges presented by an activity are the most important predictors of Flow” </w:t>
      </w:r>
      <w:r w:rsidRPr="00BC081A">
        <w:rPr>
          <w:noProof/>
        </w:rPr>
        <w:fldChar w:fldCharType="begin" w:fldLock="1"/>
      </w:r>
      <w:r>
        <w:rPr>
          <w:noProof/>
        </w:rPr>
        <w:instrText>ADDIN CSL_CITATION { "citationItems" : [ { "id" : "ITEM-1", "itemData" : { "DOI" : "10.1287/isre.13.2.205.83", "ISSN" : "1047-7047", "author" : [ { "dropping-particle" : "", "family" : "Koufaris", "given" : "Marios", "non-dropping-particle" : "", "parse-names" : false, "suffix" : "" } ], "container-title" : "Information Systems Research", "id" : "ITEM-1", "issue" : "2", "issued" : { "date-parts" : [ [ "2002", "6" ] ] }, "page" : "205-223", "title" : "Applying the Technology Acceptance Model and Flow Theory to Online Consumer Behavior", "type" : "article-journal", "volume" : "13" }, "uris" : [ "http://www.mendeley.com/documents/?uuid=39581e5f-9f22-4922-a21b-fdd1aefc7297" ] } ], "mendeley" : { "manualFormatting" : "(Koufaris, 2002, p. 212)", "previouslyFormattedCitation" : "(Koufaris, 2002)" }, "properties" : { "noteIndex" : 0 }, "schema" : "https://github.com/citation-style-language/schema/raw/master/csl-citation.json" }</w:instrText>
      </w:r>
      <w:r w:rsidRPr="00BC081A">
        <w:rPr>
          <w:noProof/>
        </w:rPr>
        <w:fldChar w:fldCharType="separate"/>
      </w:r>
      <w:r w:rsidRPr="00BC081A">
        <w:rPr>
          <w:noProof/>
        </w:rPr>
        <w:t>(Koufaris, 2002, p. 212)</w:t>
      </w:r>
      <w:r w:rsidRPr="00BC081A">
        <w:rPr>
          <w:noProof/>
        </w:rPr>
        <w:fldChar w:fldCharType="end"/>
      </w:r>
      <w:r w:rsidRPr="00BC081A">
        <w:rPr>
          <w:noProof/>
        </w:rPr>
        <w:t xml:space="preserve">.  </w:t>
      </w:r>
      <w:r>
        <w:rPr>
          <w:noProof/>
        </w:rPr>
        <w:t>Consistent</w:t>
      </w:r>
      <w:r w:rsidRPr="00BC081A">
        <w:rPr>
          <w:noProof/>
        </w:rPr>
        <w:t xml:space="preserve"> with Csikszentmihalyi’s  </w:t>
      </w:r>
      <w:r w:rsidRPr="00BC081A">
        <w:rPr>
          <w:noProof/>
        </w:rPr>
        <w:fldChar w:fldCharType="begin" w:fldLock="1"/>
      </w:r>
      <w:r>
        <w:rPr>
          <w:noProof/>
        </w:rPr>
        <w:instrText>ADDIN CSL_CITATION { "citationItems" : [ { "id" : "ITEM-1", "itemData" : { "author" : [ { "dropping-particle" : "", "family" : "Csikszentmihalyi", "given" : "M.", "non-dropping-particle" : "", "parse-names" : false, "suffix" : "" } ], "id" : "ITEM-1", "issued" : { "date-parts" : [ [ "1975" ] ] }, "publisher" : "Jossey-Bass Publishers San Francisco, CA", "title" : "Beyond boredom and anxiety", "type" : "book" }, "uris" : [ "http://www.mendeley.com/documents/?uuid=4f99508d-2cba-484a-8d32-896866d10032" ] } ], "mendeley" : { "manualFormatting" : "(1975)", "previouslyFormattedCitation" : "(Csikszentmihalyi, 1975)" }, "properties" : { "noteIndex" : 0 }, "schema" : "https://github.com/citation-style-language/schema/raw/master/csl-citation.json" }</w:instrText>
      </w:r>
      <w:r w:rsidRPr="00BC081A">
        <w:rPr>
          <w:noProof/>
        </w:rPr>
        <w:fldChar w:fldCharType="separate"/>
      </w:r>
      <w:r w:rsidRPr="00BC081A">
        <w:rPr>
          <w:noProof/>
        </w:rPr>
        <w:t>(1975)</w:t>
      </w:r>
      <w:r w:rsidRPr="00BC081A">
        <w:rPr>
          <w:noProof/>
        </w:rPr>
        <w:fldChar w:fldCharType="end"/>
      </w:r>
      <w:r w:rsidRPr="00BC081A">
        <w:rPr>
          <w:noProof/>
        </w:rPr>
        <w:t xml:space="preserve"> discussion on the role of challenge, other scholars have also found Perceived Challenge to </w:t>
      </w:r>
      <w:r w:rsidR="00DA43CB">
        <w:rPr>
          <w:noProof/>
        </w:rPr>
        <w:t>have</w:t>
      </w:r>
      <w:r w:rsidR="00DA43CB" w:rsidRPr="00BC081A">
        <w:rPr>
          <w:noProof/>
        </w:rPr>
        <w:t xml:space="preserve"> </w:t>
      </w:r>
      <w:r w:rsidRPr="00BC081A">
        <w:rPr>
          <w:noProof/>
        </w:rPr>
        <w:t xml:space="preserve">the highest effect on engagement in a computer related activity </w:t>
      </w:r>
      <w:r w:rsidRPr="00BC081A">
        <w:rPr>
          <w:noProof/>
        </w:rPr>
        <w:fldChar w:fldCharType="begin" w:fldLock="1"/>
      </w:r>
      <w:r>
        <w:rPr>
          <w:noProof/>
        </w:rPr>
        <w:instrText>ADDIN CSL_CITATION { "citationItems" : [ { "id" : "ITEM-1", "itemData" : { "DOI" : "10.1145/264701.264706", "ISSN" : "00950033", "author" : [ { "dropping-particle" : "", "family" : "Webster", "given" : "Jane", "non-dropping-particle" : "", "parse-names" : false, "suffix" : "" }, { "dropping-particle" : "", "family" : "Ho", "given" : "Hayes", "non-dropping-particle" : "", "parse-names" : false, "suffix" : "" } ], "container-title" : "ACM SIGMIS Database", "id" : "ITEM-1", "issue" : "2", "issued" : { "date-parts" : [ [ "1997", "4", "1" ] ] }, "page" : "63-77", "title" : "Audience engagement in multimedia presentations", "type" : "article-journal", "volume" : "28" }, "uris" : [ "http://www.mendeley.com/documents/?uuid=55090285-a670-4927-a214-d8e9a5e6aeeb" ] }, { "id" : "ITEM-2", "itemData" : { "author" : [ { "dropping-particle" : "", "family" : "Ghani", "given" : "J.A.", "non-dropping-particle" : "", "parse-names" : false, "suffix" : "" }, { "dropping-particle" : "", "family" : "Deshpande", "given" : "S.P.", "non-dropping-particle" : "", "parse-names" : false, "suffix" : "" } ], "container-title" : "the journal of psychology", "id" : "ITEM-2", "issue" : "4", "issued" : { "date-parts" : [ [ "1994" ] ] }, "page" : "381\u2013391", "publisher" : "Taylor &amp; Francis", "title" : "Task Characteristics and the Experience of Optimal Flow in Human\u2014Computer Interaction", "type" : "article-journal", "volume" : "128" }, "uris" : [ "http://www.mendeley.com/documents/?uuid=542d672d-b87e-427f-a67f-b744aa0a00ab" ] } ], "mendeley" : { "previouslyFormattedCitation" : "(Ghani &amp; Deshpande, 1994; Webster &amp; Ho, 1997)" }, "properties" : { "noteIndex" : 0 }, "schema" : "https://github.com/citation-style-language/schema/raw/master/csl-citation.json" }</w:instrText>
      </w:r>
      <w:r w:rsidRPr="00BC081A">
        <w:rPr>
          <w:noProof/>
        </w:rPr>
        <w:fldChar w:fldCharType="separate"/>
      </w:r>
      <w:r w:rsidRPr="00BC081A">
        <w:rPr>
          <w:noProof/>
        </w:rPr>
        <w:t>(Ghani &amp; Deshpande, 1994; Webster &amp; Ho, 1997)</w:t>
      </w:r>
      <w:r w:rsidRPr="00BC081A">
        <w:rPr>
          <w:noProof/>
        </w:rPr>
        <w:fldChar w:fldCharType="end"/>
      </w:r>
      <w:r>
        <w:rPr>
          <w:noProof/>
        </w:rPr>
        <w:t xml:space="preserve">. Thus, </w:t>
      </w:r>
      <w:r w:rsidR="00010226">
        <w:rPr>
          <w:noProof/>
          <w:lang w:val="en-US"/>
        </w:rPr>
        <w:t>in line with extant literature on Flow (Ghani &amp; Deshpande, 1994; Shin, 2006; Pearce et al., 2005; Hoffman and Novak, 1996; Novak et al., 2000), the effect of Challenge on Flow will be measured independent of Skills</w:t>
      </w:r>
      <w:r w:rsidR="00DA43CB">
        <w:rPr>
          <w:noProof/>
          <w:lang w:val="en-US"/>
        </w:rPr>
        <w:t xml:space="preserve"> in this investigation</w:t>
      </w:r>
      <w:r w:rsidR="00010226">
        <w:rPr>
          <w:noProof/>
          <w:lang w:val="en-US"/>
        </w:rPr>
        <w:t xml:space="preserve">. This is based on the fact that the setting of the experiment of this research does not </w:t>
      </w:r>
      <w:r>
        <w:rPr>
          <w:noProof/>
          <w:lang w:val="en-US"/>
        </w:rPr>
        <w:t xml:space="preserve">include a longitudinal </w:t>
      </w:r>
      <w:r w:rsidR="00DA43CB">
        <w:rPr>
          <w:noProof/>
          <w:lang w:val="en-US"/>
        </w:rPr>
        <w:t xml:space="preserve">component </w:t>
      </w:r>
      <w:r>
        <w:rPr>
          <w:noProof/>
          <w:lang w:val="en-US"/>
        </w:rPr>
        <w:t>that would increase the level of Skill of the participants. Given that Skill does not considerably change throughought the experiment, it is expected that only Challenge will be manipulated based on the antecedents of the model. With a constant level of Skill, by increasing Challenge from low levels, it is hypothesized that Challenge will be matching the Skill level of video gameplayers and Flow would increase.</w:t>
      </w:r>
      <w:r>
        <w:rPr>
          <w:noProof/>
        </w:rPr>
        <w:t xml:space="preserve"> As a result, c</w:t>
      </w:r>
      <w:r w:rsidR="009503F5" w:rsidRPr="00BC081A">
        <w:rPr>
          <w:noProof/>
        </w:rPr>
        <w:t xml:space="preserve">onsistent with previous research, </w:t>
      </w:r>
      <w:r w:rsidR="00DA43CB">
        <w:rPr>
          <w:noProof/>
        </w:rPr>
        <w:t>we expect</w:t>
      </w:r>
      <w:r w:rsidR="009503F5" w:rsidRPr="00BC081A">
        <w:rPr>
          <w:noProof/>
        </w:rPr>
        <w:t xml:space="preserve"> to see the same relationship between the perception of challenge in a video game and experiencing Flow by </w:t>
      </w:r>
      <w:r w:rsidR="00547B98">
        <w:rPr>
          <w:noProof/>
        </w:rPr>
        <w:t>gameplay</w:t>
      </w:r>
      <w:r w:rsidR="009503F5" w:rsidRPr="00BC081A">
        <w:rPr>
          <w:noProof/>
        </w:rPr>
        <w:t xml:space="preserve">ers. </w:t>
      </w:r>
    </w:p>
    <w:p w14:paraId="5BDEADE7" w14:textId="02DB3811" w:rsidR="009503F5" w:rsidRPr="00BC081A" w:rsidRDefault="009503F5" w:rsidP="009503F5">
      <w:r w:rsidRPr="00BC081A">
        <w:rPr>
          <w:noProof/>
        </w:rPr>
        <w:t xml:space="preserve">In summary, </w:t>
      </w:r>
      <w:r w:rsidR="00653A2D">
        <w:rPr>
          <w:noProof/>
        </w:rPr>
        <w:t>it is</w:t>
      </w:r>
      <w:r w:rsidRPr="00BC081A">
        <w:rPr>
          <w:noProof/>
        </w:rPr>
        <w:t xml:space="preserve"> hypothesize</w:t>
      </w:r>
      <w:r w:rsidR="00653A2D">
        <w:rPr>
          <w:noProof/>
        </w:rPr>
        <w:t>d that</w:t>
      </w:r>
      <w:r w:rsidRPr="00BC081A">
        <w:rPr>
          <w:noProof/>
        </w:rPr>
        <w:t>:</w:t>
      </w:r>
    </w:p>
    <w:p w14:paraId="08C26A04" w14:textId="5B2A49F1" w:rsidR="009503F5" w:rsidRPr="00BC081A" w:rsidRDefault="009503F5" w:rsidP="009503F5">
      <w:pPr>
        <w:pStyle w:val="Hypothesis"/>
        <w:ind w:firstLine="0"/>
        <w:rPr>
          <w:lang w:val="en-CA"/>
        </w:rPr>
      </w:pPr>
      <w:r w:rsidRPr="00BC081A">
        <w:rPr>
          <w:b/>
          <w:lang w:val="en-CA"/>
        </w:rPr>
        <w:t xml:space="preserve">Hypothesis 2: </w:t>
      </w:r>
      <w:r w:rsidR="00BF754C" w:rsidRPr="00BC081A">
        <w:rPr>
          <w:lang w:val="en-CA"/>
        </w:rPr>
        <w:t>H</w:t>
      </w:r>
      <w:r w:rsidRPr="00BC081A">
        <w:rPr>
          <w:lang w:val="en-CA"/>
        </w:rPr>
        <w:t>igh</w:t>
      </w:r>
      <w:r w:rsidR="00D61A31">
        <w:rPr>
          <w:lang w:val="en-CA"/>
        </w:rPr>
        <w:t>er</w:t>
      </w:r>
      <w:r w:rsidRPr="00BC081A">
        <w:rPr>
          <w:lang w:val="en-CA"/>
        </w:rPr>
        <w:t xml:space="preserve"> levels of Perceived Challenge reported by the video </w:t>
      </w:r>
      <w:proofErr w:type="spellStart"/>
      <w:r w:rsidR="00547B98">
        <w:rPr>
          <w:lang w:val="en-CA"/>
        </w:rPr>
        <w:t>gameplay</w:t>
      </w:r>
      <w:r w:rsidRPr="00BC081A">
        <w:rPr>
          <w:lang w:val="en-CA"/>
        </w:rPr>
        <w:t>ers</w:t>
      </w:r>
      <w:proofErr w:type="spellEnd"/>
      <w:r w:rsidRPr="00BC081A">
        <w:rPr>
          <w:lang w:val="en-CA"/>
        </w:rPr>
        <w:t>, will lead to a higher level</w:t>
      </w:r>
      <w:r w:rsidR="00B50531">
        <w:rPr>
          <w:lang w:val="en-CA"/>
        </w:rPr>
        <w:t>s</w:t>
      </w:r>
      <w:r w:rsidRPr="00BC081A">
        <w:rPr>
          <w:lang w:val="en-CA"/>
        </w:rPr>
        <w:t xml:space="preserve"> of Flow. </w:t>
      </w:r>
    </w:p>
    <w:p w14:paraId="2569BF92" w14:textId="677DC0D5" w:rsidR="009503F5" w:rsidRPr="00BC081A" w:rsidRDefault="009503F5" w:rsidP="00653A2D">
      <w:r w:rsidRPr="00BC081A">
        <w:lastRenderedPageBreak/>
        <w:t xml:space="preserve">In online gaming, feelings similar to arousal have been identified as one main category in the criteria for engagement </w:t>
      </w:r>
      <w:r w:rsidRPr="00BC081A">
        <w:fldChar w:fldCharType="begin" w:fldLock="1"/>
      </w:r>
      <w:r w:rsidR="00AC1F7D">
        <w:instrText>ADDIN CSL_CITATION { "citationItems" : [ { "id" : "ITEM-1", "itemData" : { "DOI" : "10.1016/j.chb.2005.07.002", "ISSN" : "07475632", "author" : [ { "dropping-particle" : "", "family" : "Charlton", "given" : "J", "non-dropping-particle" : "", "parse-names" : false, "suffix" : "" }, { "dropping-particle" : "", "family" : "Danforth", "given" : "I", "non-dropping-particle" : "", "parse-names" : false, "suffix" : "" } ], "container-title" : "Computers in Human Behavior", "id" : "ITEM-1", "issue" : "3", "issued" : { "date-parts" : [ [ "2007", "5" ] ] }, "page" : "1531-1548", "title" : "Distinguishing addiction and high engagement in the context of online game playing", "type" : "article-journal", "volume" : "23" }, "uris" : [ "http://www.mendeley.com/documents/?uuid=9317d1d5-77bc-43cd-9b55-e639b4439f28" ] } ], "mendeley" : { "previouslyFormattedCitation" : "(Charlton &amp; Danforth, 2007)" }, "properties" : { "noteIndex" : 0 }, "schema" : "https://github.com/citation-style-language/schema/raw/master/csl-citation.json" }</w:instrText>
      </w:r>
      <w:r w:rsidRPr="00BC081A">
        <w:fldChar w:fldCharType="separate"/>
      </w:r>
      <w:r w:rsidRPr="00BC081A">
        <w:rPr>
          <w:noProof/>
        </w:rPr>
        <w:t>(Charlton &amp; Danforth, 2007)</w:t>
      </w:r>
      <w:r w:rsidRPr="00BC081A">
        <w:fldChar w:fldCharType="end"/>
      </w:r>
      <w:r w:rsidR="002C4FC4">
        <w:t>, which can be associated with the experience of Flow</w:t>
      </w:r>
      <w:r w:rsidRPr="00BC081A">
        <w:t xml:space="preserve">. Neuroscientists have shown that emotional arousal enhances declarative memory, which can be the result of attention due to the arousal </w:t>
      </w:r>
      <w:r w:rsidRPr="00BC081A">
        <w:rPr>
          <w:noProof/>
        </w:rPr>
        <w:fldChar w:fldCharType="begin" w:fldLock="1"/>
      </w:r>
      <w:r w:rsidR="00AC1F7D">
        <w:rPr>
          <w:noProof/>
        </w:rPr>
        <w:instrText>ADDIN CSL_CITATION { "citationItems" : [ { "id" : "ITEM-1", "itemData" : { "ISSN" : "0166-2236", "PMID" : "9683321", "abstract" : "Neuroscience is witnessing growing interest in understanding brain mechanisms of memory formation for emotionally arousing events, a development closely related to renewed interest in the concept of memory consolidation. Extensive research in animals implicates stress hormones and the amygdaloid complex as key, interacting modulators of memory consolidation for emotional events. Considerable evidence suggests that the amygdala is not a site of long-term explicit or declarative memory storage, but serves to influence memory-storage processes in other brain regions, such as the hippocampus, striatum and neocortex. Human-subject studies confirm the prediction of animal work that the amygdala is involved with the formation of enhanced declarative memory for emotionally arousing events.", "author" : [ { "dropping-particle" : "", "family" : "Cahill", "given" : "L", "non-dropping-particle" : "", "parse-names" : false, "suffix" : "" }, { "dropping-particle" : "", "family" : "McGaugh", "given" : "J L", "non-dropping-particle" : "", "parse-names" : false, "suffix" : "" } ], "container-title" : "Trends in neurosciences", "id" : "ITEM-1", "issue" : "7", "issued" : { "date-parts" : [ [ "1998", "7" ] ] }, "page" : "294-9", "title" : "Mechanisms of emotional arousal and lasting declarative memory.", "type" : "article-journal", "volume" : "21" }, "uris" : [ "http://www.mendeley.com/documents/?uuid=d433ff50-8cdd-4164-bbc5-896d2ddee0f7" ] }, { "id" : "ITEM-2", "itemData" : { "ISSN" : "0301-0082", "PMID" : "9654384", "abstract" : "Attention and arousal are multi-dimensional psychological processes, which interact closely with one another. The neural substrates of attention, as well as the interaction between arousal and attention, are discussed in this review. After a brief discussion of psychological and neuropsychological theories of attention, event-related potential correlates of attention are discussed. Essentially, attention acts to modulate stimulus-induced electrical potentials (N100/P100, P300, N400), rather than generating any unique potentials of its own. Functional neuroimaging studies of attentional orienting, selective attention, divided attention and sustained attention (and its inter-dependence on underlying levels of arousal) are then reviewed. A distinction is drawn between the brain areas which are crucially involved in the top-down modulation of attention (the 'sources' of attention) and those sensory-association areas whose activity is modulated by attention (the 'sites' of attentional expression). Frontal and parietal (usually right-lateralised) cortices and thalamus are most often associated with the source of attentional modulation. Also, the use of functional neuroimaging to test explicit hypotheses about psychological theories of attention is emphasised. These experimental paradigms form the basis for a 'new generation' of functional imaging studies which exploit the dynamic aspect of imaging and demonstrate how it can be used as more than just a 'brain mapping' device. Finally, a review of psychopharmacological studies in healthy human volunteers outlines the contributions of the noradrenergic, cholinergic and dopaminergic neurotransmitter systems to the neurochemical modulation of human attention and arousal. While, noradrenergic and cholinergic systems are involved in 'low-level' aspects of attention (e.g. attentional orienting), the dopaminergic system is associated with more 'executive' aspects of attention such as attentional set-shifting or working memory.", "author" : [ { "dropping-particle" : "", "family" : "Coull", "given" : "J T", "non-dropping-particle" : "", "parse-names" : false, "suffix" : "" } ], "container-title" : "Progress in neurobiology", "id" : "ITEM-2", "issue" : "4", "issued" : { "date-parts" : [ [ "1998", "7" ] ] }, "page" : "343-61", "title" : "Neural correlates of attention and arousal: insights from electrophysiology, functional neuroimaging and psychopharmacology.", "type" : "article-journal", "volume" : "55" }, "uris" : [ "http://www.mendeley.com/documents/?uuid=1d7db8ed-fdbb-474e-b095-e8299a38c698" ] } ], "mendeley" : { "previouslyFormattedCitation" : "(Cahill &amp; McGaugh, 1998; Coull, 1998)" }, "properties" : { "noteIndex" : 0 }, "schema" : "https://github.com/citation-style-language/schema/raw/master/csl-citation.json" }</w:instrText>
      </w:r>
      <w:r w:rsidRPr="00BC081A">
        <w:rPr>
          <w:noProof/>
        </w:rPr>
        <w:fldChar w:fldCharType="separate"/>
      </w:r>
      <w:r w:rsidRPr="00BC081A">
        <w:rPr>
          <w:noProof/>
        </w:rPr>
        <w:t>(Cahill &amp; McGaugh, 1998; Coull, 1998)</w:t>
      </w:r>
      <w:r w:rsidRPr="00BC081A">
        <w:rPr>
          <w:noProof/>
        </w:rPr>
        <w:fldChar w:fldCharType="end"/>
      </w:r>
      <w:r w:rsidRPr="00BC081A">
        <w:t>. Extant literature supports the effect of arousal on attention</w:t>
      </w:r>
      <w:r w:rsidR="002C4FC4">
        <w:t xml:space="preserve"> (an important dimension of Flow)</w:t>
      </w:r>
      <w:r w:rsidRPr="00BC081A">
        <w:t xml:space="preserve"> for various tasks and contexts </w:t>
      </w:r>
      <w:r w:rsidRPr="00BC081A">
        <w:rPr>
          <w:noProof/>
        </w:rPr>
        <w:fldChar w:fldCharType="begin" w:fldLock="1"/>
      </w:r>
      <w:r w:rsidR="00AC1F7D">
        <w:rPr>
          <w:noProof/>
        </w:rPr>
        <w:instrText>ADDIN CSL_CITATION { "citationItems" : [ { "id" : "ITEM-1", "itemData" : { "DOI" : "10.1016/S0191-8869(00)00162-8", "ISSN" : "01918869", "author" : [ { "dropping-particle" : "", "family" : "Matthews", "given" : "G", "non-dropping-particle" : "", "parse-names" : false, "suffix" : "" }, { "dropping-particle" : "", "family" : "Davies", "given" : "D", "non-dropping-particle" : "", "parse-names" : false, "suffix" : "" } ], "container-title" : "Personality and Individual Differences", "id" : "ITEM-1", "issue" : "4", "issued" : { "date-parts" : [ [ "2001", "9", "5" ] ] }, "page" : "575-589", "title" : "Individual differences in energetic arousal and sustained attention: a dual-task study", "type" : "article-journal", "volume" : "31" }, "uris" : [ "http://www.mendeley.com/documents/?uuid=04675d57-5a4a-43b7-989a-cb8bffa05f75" ] }, { "id" : "ITEM-2", "itemData" : { "ISSN" : "0301-0511", "PMID" : "9083644", "abstract" : "Unitary concepts of arousal have outlived their usefulness and their psychological fractionation corresponds to a similar chemical differentiation of the reticular formation of the brain. Neurobiological characteristics of the monoaminergic and cholinergic systems can be described in terms of their anatomical, electrophysiological and neurochemical properties. Functional studies suggest that the coeruleo-cortical noradrenergic system, under certain circumstances, is implicated in processes of selective attention, that the mesolimbic and mesostriatal dopaminergic systems contribute to different forms of behavioural activation, and that the cortical cholinergic projections have fundamental roles in the cortical processing of signals, affecting attentional and mnemonic processes. The ascending serotoninergic systems contribute to behavioural inhibition and appear to oppose the functions of the other systems in several ways.", "author" : [ { "dropping-particle" : "", "family" : "Robbins", "given" : "T W", "non-dropping-particle" : "", "parse-names" : false, "suffix" : "" } ], "container-title" : "Biological psychology", "id" : "ITEM-2", "issue" : "1-3", "issued" : { "date-parts" : [ [ "1997", "3", "21" ] ] }, "page" : "57-71", "title" : "Arousal systems and attentional processes.", "type" : "article-journal", "volume" : "45" }, "uris" : [ "http://www.mendeley.com/documents/?uuid=f85a69cc-a416-458c-ab21-8a4edfa1fb65" ] } ], "mendeley" : { "previouslyFormattedCitation" : "(Matthews &amp; Davies, 2001; Robbins, 1997)" }, "properties" : { "noteIndex" : 0 }, "schema" : "https://github.com/citation-style-language/schema/raw/master/csl-citation.json" }</w:instrText>
      </w:r>
      <w:r w:rsidRPr="00BC081A">
        <w:rPr>
          <w:noProof/>
        </w:rPr>
        <w:fldChar w:fldCharType="separate"/>
      </w:r>
      <w:r w:rsidRPr="00BC081A">
        <w:rPr>
          <w:noProof/>
        </w:rPr>
        <w:t>(Matthews &amp; Davies, 2001; Robbins, 1997)</w:t>
      </w:r>
      <w:r w:rsidRPr="00BC081A">
        <w:rPr>
          <w:noProof/>
        </w:rPr>
        <w:fldChar w:fldCharType="end"/>
      </w:r>
      <w:r w:rsidRPr="00BC081A">
        <w:t xml:space="preserve">. In the context of gambling, </w:t>
      </w:r>
      <w:r w:rsidRPr="00BC081A">
        <w:fldChar w:fldCharType="begin" w:fldLock="1"/>
      </w:r>
      <w:r w:rsidR="00AC1F7D">
        <w:instrText>ADDIN CSL_CITATION { "citationItems" : [ { "id" : "ITEM-1", "itemData" : { "ISSN" : "0020-773X", "PMID" : "3793306", "abstract" : "Following upon the first clear experimental evidence that states of high arousal accompany gambling in real-life situations, an attempt is made to clarify the implications of this new finding for the development of two possible forms of a neo-Pavlovian or classical conditioning addition to the traditional emphasis on operant conditioning in behavioral explanations of gambling. The explanatory scope and power of one (biological hedonist) version of the model is then demonstrated as applied to both normal regular and pathological gambling. The role of arousal and sensation-seeking factors is considered alongside the roles of other likely components in any possible general explanation of both regular and pathological gambling.", "author" : [ { "dropping-particle" : "", "family" : "Brown", "given" : "R I", "non-dropping-particle" : "", "parse-names" : false, "suffix" : "" } ], "container-title" : "The International journal of the addictions", "id" : "ITEM-1", "issue" : "9-10", "issued" : { "date-parts" : [ [ "1986" ] ] }, "page" : "1001-16", "title" : "Arousal and sensation-seeking components in the general explanation of gambling and gambling addictions.", "type" : "article-journal", "volume" : "21" }, "uris" : [ "http://www.mendeley.com/documents/?uuid=462c9618-54d6-46e2-9dc7-6ae396813dcd" ] } ], "mendeley" : { "manualFormatting" : "Brown (1986)", "previouslyFormattedCitation" : "(R. I. Brown, 1986)" }, "properties" : { "noteIndex" : 0 }, "schema" : "https://github.com/citation-style-language/schema/raw/master/csl-citation.json" }</w:instrText>
      </w:r>
      <w:r w:rsidRPr="00BC081A">
        <w:fldChar w:fldCharType="separate"/>
      </w:r>
      <w:r w:rsidRPr="00BC081A">
        <w:rPr>
          <w:noProof/>
        </w:rPr>
        <w:t>Brown (1986)</w:t>
      </w:r>
      <w:r w:rsidRPr="00BC081A">
        <w:fldChar w:fldCharType="end"/>
      </w:r>
      <w:r w:rsidRPr="00BC081A">
        <w:t xml:space="preserve"> explains that the increase of arousal in individuals narrows their attention. The theory of Optimum Stimulation Level </w:t>
      </w:r>
      <w:r w:rsidRPr="00BC081A">
        <w:rPr>
          <w:noProof/>
        </w:rPr>
        <w:fldChar w:fldCharType="begin" w:fldLock="1"/>
      </w:r>
      <w:r w:rsidR="00AC1F7D">
        <w:rPr>
          <w:noProof/>
        </w:rPr>
        <w:instrText>ADDIN CSL_CITATION { "citationItems" : [ { "id" : "ITEM-1", "itemData" : { "DOI" : "10.1086/208815", "ISSN" : "0093-5301", "author" : [ { "dropping-particle" : "", "family" : "Raju", "given" : "P. S.", "non-dropping-particle" : "", "parse-names" : false, "suffix" : "" } ], "container-title" : "Journal of Consumer Research", "id" : "ITEM-1", "issue" : "3", "issued" : { "date-parts" : [ [ "1980", "12" ] ] }, "page" : "272", "title" : "Optimum Stimulation Level: Its Relationship to Personality, Demographics, and Exploratory Behavior", "type" : "article-journal", "volume" : "7" }, "uris" : [ "http://www.mendeley.com/documents/?uuid=9f314ce3-4c54-4563-9fc8-320f77ead575" ] } ], "mendeley" : { "previouslyFormattedCitation" : "(Raju, 1980)" }, "properties" : { "noteIndex" : 0 }, "schema" : "https://github.com/citation-style-language/schema/raw/master/csl-citation.json" }</w:instrText>
      </w:r>
      <w:r w:rsidRPr="00BC081A">
        <w:rPr>
          <w:noProof/>
        </w:rPr>
        <w:fldChar w:fldCharType="separate"/>
      </w:r>
      <w:r w:rsidRPr="00BC081A">
        <w:rPr>
          <w:noProof/>
        </w:rPr>
        <w:t>(Raju, 1980)</w:t>
      </w:r>
      <w:r w:rsidRPr="00BC081A">
        <w:rPr>
          <w:noProof/>
        </w:rPr>
        <w:fldChar w:fldCharType="end"/>
      </w:r>
      <w:r w:rsidRPr="00BC081A">
        <w:t xml:space="preserve"> indicates that people prefer and function better in an optimum level of stimulation (arousal). Similarly, in video games, this sensation seeking behaviour can be seen as the root of the motivational factors for gamers, which influences their intense attention and enjoyment </w:t>
      </w:r>
      <w:r w:rsidRPr="00BC081A">
        <w:rPr>
          <w:noProof/>
        </w:rPr>
        <w:fldChar w:fldCharType="begin" w:fldLock="1"/>
      </w:r>
      <w:r w:rsidR="00AC1F7D">
        <w:rPr>
          <w:noProof/>
        </w:rPr>
        <w:instrText>ADDIN CSL_CITATION { "citationItems" : [ { "id" : "ITEM-1", "itemData" : { "DOI" : "10.1145/985921.986048", "ISBN" : "1581137036", "author" : [ { "dropping-particle" : "", "family" : "Brown", "given" : "Emily", "non-dropping-particle" : "", "parse-names" : false, "suffix" : "" }, { "dropping-particle" : "", "family" : "Cairns", "given" : "Paul", "non-dropping-particle" : "", "parse-names" : false, "suffix" : "" } ], "container-title" : "Extended abstracts of the 2004 conference on Human factors and computing systems - CHI '04", "id" : "ITEM-1", "issued" : { "date-parts" : [ [ "2004" ] ] }, "page" : "1297", "publisher" : "ACM Press", "publisher-place" : "New York, New York, USA", "title" : "A grounded investigation of game immersion", "type" : "article-journal" }, "uris" : [ "http://www.mendeley.com/documents/?uuid=864cfe15-f894-4632-a662-99964c57a123" ] } ], "mendeley" : { "manualFormatting" : "(Brown &amp; Cairns, 2004)", "previouslyFormattedCitation" : "(E. Brown &amp; Cairns, 2004)" }, "properties" : { "noteIndex" : 0 }, "schema" : "https://github.com/citation-style-language/schema/raw/master/csl-citation.json" }</w:instrText>
      </w:r>
      <w:r w:rsidRPr="00BC081A">
        <w:rPr>
          <w:noProof/>
        </w:rPr>
        <w:fldChar w:fldCharType="separate"/>
      </w:r>
      <w:r w:rsidRPr="00BC081A">
        <w:rPr>
          <w:noProof/>
        </w:rPr>
        <w:t>(Brown &amp; Cairns, 2004)</w:t>
      </w:r>
      <w:r w:rsidRPr="00BC081A">
        <w:rPr>
          <w:noProof/>
        </w:rPr>
        <w:fldChar w:fldCharType="end"/>
      </w:r>
      <w:r w:rsidR="002C4FC4">
        <w:rPr>
          <w:noProof/>
        </w:rPr>
        <w:t xml:space="preserve"> that are other aspects of Flow experience</w:t>
      </w:r>
      <w:r w:rsidRPr="00BC081A">
        <w:t>.</w:t>
      </w:r>
    </w:p>
    <w:p w14:paraId="64E70CA5" w14:textId="37F92345" w:rsidR="009503F5" w:rsidRPr="00BC081A" w:rsidRDefault="009503F5" w:rsidP="009503F5">
      <w:r w:rsidRPr="00BC081A">
        <w:rPr>
          <w:noProof/>
        </w:rPr>
        <w:fldChar w:fldCharType="begin" w:fldLock="1"/>
      </w:r>
      <w:r w:rsidR="00AC1F7D">
        <w:rPr>
          <w:noProof/>
        </w:rPr>
        <w:instrText>ADDIN CSL_CITATION { "citationItems" : [ { "id" : "ITEM-1", "itemData" : { "DOI" : "10.1016/j.ijhcs.2003.08.005", "ISSN" : "10715819", "author" : [ { "dropping-particle" : "", "family" : "Pace", "given" : "S", "non-dropping-particle" : "", "parse-names" : false, "suffix" : "" } ], "container-title" : "International Journal of Human-Computer Studies", "id" : "ITEM-1", "issue" : "3", "issued" : { "date-parts" : [ [ "2004", "3" ] ] }, "page" : "327-363", "title" : "A grounded theory of the flow experiences of Web users", "type" : "article-journal", "volume" : "60" }, "uris" : [ "http://www.mendeley.com/documents/?uuid=2019aace-84c5-436f-a3ff-a9e84b93efd8" ] } ], "mendeley" : { "manualFormatting" : "Pace's (2004)", "previouslyFormattedCitation" : "(Pace, 2004)" }, "properties" : { "noteIndex" : 0 }, "schema" : "https://github.com/citation-style-language/schema/raw/master/csl-citation.json" }</w:instrText>
      </w:r>
      <w:r w:rsidRPr="00BC081A">
        <w:rPr>
          <w:noProof/>
        </w:rPr>
        <w:fldChar w:fldCharType="separate"/>
      </w:r>
      <w:r w:rsidRPr="00BC081A">
        <w:rPr>
          <w:noProof/>
        </w:rPr>
        <w:t>Pace's (2004)</w:t>
      </w:r>
      <w:r w:rsidRPr="00BC081A">
        <w:rPr>
          <w:noProof/>
        </w:rPr>
        <w:fldChar w:fldCharType="end"/>
      </w:r>
      <w:r w:rsidRPr="00BC081A">
        <w:rPr>
          <w:noProof/>
        </w:rPr>
        <w:t xml:space="preserve"> grounded theory of Flow of web users shows the effect of challenge in information seeking tasks on the focused attention on that activity. In the video game context, </w:t>
      </w:r>
      <w:r w:rsidR="00D27F97">
        <w:rPr>
          <w:noProof/>
        </w:rPr>
        <w:t xml:space="preserve">it is </w:t>
      </w:r>
      <w:r w:rsidRPr="00BC081A">
        <w:rPr>
          <w:noProof/>
        </w:rPr>
        <w:t>expect</w:t>
      </w:r>
      <w:r w:rsidR="00D27F97">
        <w:rPr>
          <w:noProof/>
        </w:rPr>
        <w:t>ed</w:t>
      </w:r>
      <w:r w:rsidRPr="00BC081A">
        <w:rPr>
          <w:noProof/>
        </w:rPr>
        <w:t xml:space="preserve"> to find the mediating effect of arousal on the relationship between challenge and attention. </w:t>
      </w:r>
      <w:r w:rsidRPr="00BC081A">
        <w:t xml:space="preserve">Moreover, </w:t>
      </w:r>
      <w:r w:rsidRPr="00BC081A">
        <w:rPr>
          <w:noProof/>
        </w:rPr>
        <w:fldChar w:fldCharType="begin" w:fldLock="1"/>
      </w:r>
      <w:r w:rsidR="00AC1F7D">
        <w:rPr>
          <w:noProof/>
        </w:rPr>
        <w:instrText>ADDIN CSL_CITATION { "citationItems" : [ { "id" : "ITEM-1", "itemData" : { "author" : [ { "dropping-particle" : "", "family" : "L\u00e9ger", "given" : "Pierre-majorique", "non-dropping-particle" : "", "parse-names" : false, "suffix" : "" }, { "dropping-particle" : "", "family" : "Montr\u00e9al", "given" : "H E C", "non-dropping-particle" : "", "parse-names" : false, "suffix" : "" }, { "dropping-particle" : "", "family" : "Davis", "given" : "Fred D", "non-dropping-particle" : "", "parse-names" : false, "suffix" : "" }, { "dropping-particle" : "", "family" : "Perret", "given" : "Julien", "non-dropping-particle" : "", "parse-names" : false, "suffix" : "" }, { "dropping-particle" : "", "family" : "Dunaway", "given" : "Mary M", "non-dropping-particle" : "", "parse-names" : false, "suffix" : "" }, { "dropping-particle" : "", "family" : "Walton", "given" : "Sam M", "non-dropping-particle" : "", "parse-names" : false, "suffix" : "" }, { "dropping-particle" : "", "family" : "Ph", "given" : "D", "non-dropping-particle" : "", "parse-names" : false, "suffix" : "" } ], "container-title" : "Human-Computer Interaction", "id" : "ITEM-1", "issued" : { "date-parts" : [ [ "2010" ] ] }, "title" : "Psychophysiological Measures of Cognitive Absorption Psychophysiological Measures of Cognitive Absorption", "type" : "article-journal" }, "uris" : [ "http://www.mendeley.com/documents/?uuid=810163de-0df3-4eb6-b65e-d81cdca4fa95" ] } ], "mendeley" : { "manualFormatting" : "L\u00e9ger et al. (2010)", "previouslyFormattedCitation" : "(P. L\u00e9ger et al., 2010)" }, "properties" : { "noteIndex" : 0 }, "schema" : "https://github.com/citation-style-language/schema/raw/master/csl-citation.json" }</w:instrText>
      </w:r>
      <w:r w:rsidRPr="00BC081A">
        <w:rPr>
          <w:noProof/>
        </w:rPr>
        <w:fldChar w:fldCharType="separate"/>
      </w:r>
      <w:r w:rsidRPr="00BC081A">
        <w:rPr>
          <w:noProof/>
        </w:rPr>
        <w:t>Léger et al. (2010)</w:t>
      </w:r>
      <w:r w:rsidRPr="00BC081A">
        <w:rPr>
          <w:noProof/>
        </w:rPr>
        <w:fldChar w:fldCharType="end"/>
      </w:r>
      <w:r w:rsidRPr="00BC081A">
        <w:rPr>
          <w:noProof/>
        </w:rPr>
        <w:t xml:space="preserve"> </w:t>
      </w:r>
      <w:r w:rsidRPr="00BC081A">
        <w:t xml:space="preserve">have shown that arousal is highly correlated with heightened enjoyment.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"manualFormatting" : "Tauer &amp; Harackiewicz (1999)", "previouslyFormattedCitation" : "(Tauer &amp; Harackiewicz, 1999)" }, "properties" : { "noteIndex" : 0 }, "schema" : "https://github.com/citation-style-language/schema/raw/master/csl-citation.json" }</w:instrText>
      </w:r>
      <w:r w:rsidRPr="00BC081A">
        <w:fldChar w:fldCharType="separate"/>
      </w:r>
      <w:r w:rsidRPr="00BC081A">
        <w:rPr>
          <w:noProof/>
        </w:rPr>
        <w:t>Tauer &amp; Harackiewicz (1999)</w:t>
      </w:r>
      <w:r w:rsidRPr="00BC081A">
        <w:fldChar w:fldCharType="end"/>
      </w:r>
      <w:r w:rsidRPr="00BC081A">
        <w:t xml:space="preserve"> found that positive affective responses –including arousal– mediate the relationship between competition and task enjoyment. In summary, video </w:t>
      </w:r>
      <w:proofErr w:type="spellStart"/>
      <w:r w:rsidR="00547B98">
        <w:t>gameplay</w:t>
      </w:r>
      <w:r w:rsidRPr="00BC081A">
        <w:t>ers</w:t>
      </w:r>
      <w:proofErr w:type="spellEnd"/>
      <w:r w:rsidRPr="00BC081A">
        <w:t xml:space="preserve">’ arousal during the gameplay affects various dimensions of Flow. Thus, </w:t>
      </w:r>
      <w:r w:rsidR="00653A2D">
        <w:t>it is</w:t>
      </w:r>
      <w:r w:rsidRPr="00BC081A">
        <w:t xml:space="preserve"> hypothesize</w:t>
      </w:r>
      <w:r w:rsidR="00653A2D">
        <w:t>d that</w:t>
      </w:r>
      <w:r w:rsidRPr="00BC081A">
        <w:t>:</w:t>
      </w:r>
    </w:p>
    <w:p w14:paraId="0EDCF029" w14:textId="116500AC" w:rsidR="009503F5" w:rsidRPr="00BC081A" w:rsidRDefault="009503F5" w:rsidP="009503F5">
      <w:pPr>
        <w:pStyle w:val="Hypothesis"/>
        <w:ind w:firstLine="0"/>
        <w:rPr>
          <w:lang w:val="en-CA"/>
        </w:rPr>
      </w:pPr>
      <w:r w:rsidRPr="00BC081A">
        <w:rPr>
          <w:b/>
          <w:lang w:val="en-CA"/>
        </w:rPr>
        <w:t xml:space="preserve">Hypothesis 3: </w:t>
      </w:r>
      <w:r w:rsidR="005A4DE0" w:rsidRPr="00BC081A">
        <w:rPr>
          <w:lang w:val="en-CA"/>
        </w:rPr>
        <w:t>Higher a</w:t>
      </w:r>
      <w:r w:rsidRPr="00BC081A">
        <w:rPr>
          <w:lang w:val="en-CA"/>
        </w:rPr>
        <w:t xml:space="preserve">rousal </w:t>
      </w:r>
      <w:r w:rsidR="005A4DE0" w:rsidRPr="00BC081A">
        <w:rPr>
          <w:lang w:val="en-CA"/>
        </w:rPr>
        <w:t xml:space="preserve">levels of video </w:t>
      </w:r>
      <w:proofErr w:type="spellStart"/>
      <w:r w:rsidR="00547B98">
        <w:rPr>
          <w:lang w:val="en-CA"/>
        </w:rPr>
        <w:t>gameplay</w:t>
      </w:r>
      <w:r w:rsidR="005A4DE0" w:rsidRPr="00BC081A">
        <w:rPr>
          <w:lang w:val="en-CA"/>
        </w:rPr>
        <w:t>ers</w:t>
      </w:r>
      <w:proofErr w:type="spellEnd"/>
      <w:r w:rsidR="005A4DE0" w:rsidRPr="00BC081A">
        <w:rPr>
          <w:lang w:val="en-CA"/>
        </w:rPr>
        <w:t xml:space="preserve"> will increase their Flow experience</w:t>
      </w:r>
      <w:r w:rsidRPr="00BC081A">
        <w:rPr>
          <w:lang w:val="en-CA"/>
        </w:rPr>
        <w:t>.</w:t>
      </w:r>
    </w:p>
    <w:p w14:paraId="4CF5FCAE" w14:textId="0ACBE0D9" w:rsidR="009503F5" w:rsidRPr="00BC081A" w:rsidRDefault="009503F5" w:rsidP="009503F5">
      <w:r w:rsidRPr="00BC081A">
        <w:lastRenderedPageBreak/>
        <w:t>Competition can be conceptualized as an individual personality trait (outlined below in hypothesis 9) or as a characteristic of the environment that an individual perceives. The latter form of competitiveness</w:t>
      </w:r>
      <w:r w:rsidRPr="00BC081A">
        <w:rPr>
          <w:color w:val="FF0000"/>
        </w:rPr>
        <w:t xml:space="preserve"> </w:t>
      </w:r>
      <w:r w:rsidRPr="00BC081A">
        <w:t>is known as “</w:t>
      </w:r>
      <w:r w:rsidRPr="00BC081A">
        <w:rPr>
          <w:i/>
        </w:rPr>
        <w:t>Situational Competitiveness”,</w:t>
      </w:r>
      <w:r w:rsidRPr="00BC081A">
        <w:t xml:space="preserve"> which explains the behaviour of people in a competitive context </w:t>
      </w:r>
      <w:r w:rsidRPr="00BC081A">
        <w:fldChar w:fldCharType="begin" w:fldLock="1"/>
      </w:r>
      <w:r w:rsidR="00AC1F7D">
        <w:instrText>ADDIN CSL_CITATION { "citationItems" : [ { "id" : "ITEM-1", "itemData" : { "ISSN" : "0022-3514", "PMID" : "9418284", "abstract" : "The performance of individuals within groups, and of groups as units, is the product of immediate goal structures and personality differences pertinent to those goals among group members. A level-of-analysis approach linked the dimension of agreeableness to situated competitiveness and task performance in group settings. Hypotheses were (a) individual differences in self-rated and other-rated competitiveness are related (inversely) to the Big Five dimension of agreeableness, (b) immediately situated promotive and contrient goal structures influence self-ratings of competitiveness, (c) immediate goal structures differentially activate competitiveness to affect task performance in groups, and (d) agreeableness effects on task performance are partially mediated by competitiveness. Structural equation modeling corroborated hypotheses about the links among agreeableness, competitiveness, and task performance.", "author" : [ { "dropping-particle" : "", "family" : "Graziano", "given" : "William G", "non-dropping-particle" : "", "parse-names" : false, "suffix" : "" }, { "dropping-particle" : "", "family" : "Hair", "given" : "Elizabeth C", "non-dropping-particle" : "", "parse-names" : false, "suffix" : "" }, { "dropping-particle" : "", "family" : "Finch", "given" : "John F", "non-dropping-particle" : "", "parse-names" : false, "suffix" : "" } ], "container-title" : "Journal of Personality and Social Psychology", "id" : "ITEM-1", "issue" : "6", "issued" : { "date-parts" : [ [ "1997", "12" ] ] }, "page" : "1394-1408", "title" : "Competitiveness Mediates the Link Between Personality and Group Performance", "type" : "article-journal", "volume" : "73" }, "uris" : [ "http://www.mendeley.com/documents/?uuid=49f4b737-da09-418c-9500-20e1b4cb54a4" ] } ], "mendeley" : { "previouslyFormattedCitation" : "(Graziano, Hair, &amp; Finch, 1997)" }, "properties" : { "noteIndex" : 0 }, "schema" : "https://github.com/citation-style-language/schema/raw/master/csl-citation.json" }</w:instrText>
      </w:r>
      <w:r w:rsidRPr="00BC081A">
        <w:fldChar w:fldCharType="separate"/>
      </w:r>
      <w:r w:rsidRPr="00BC081A">
        <w:rPr>
          <w:noProof/>
        </w:rPr>
        <w:t>(Graziano, Hair, &amp; Finch, 1997)</w:t>
      </w:r>
      <w:r w:rsidRPr="00BC081A">
        <w:fldChar w:fldCharType="end"/>
      </w:r>
      <w:r w:rsidRPr="00BC081A">
        <w:t xml:space="preserve">. Individuals can react differently to various contexts – being cooperative in one context and being competitive in another. </w:t>
      </w:r>
    </w:p>
    <w:p w14:paraId="13EB8A5D" w14:textId="361475F2" w:rsidR="009503F5" w:rsidRPr="00BC081A" w:rsidRDefault="009503F5" w:rsidP="009503F5">
      <w:r w:rsidRPr="00BC081A">
        <w:t xml:space="preserve">Arousal, being a “reported subjective feeling”, is the opposite of sleepiness </w:t>
      </w:r>
      <w:r w:rsidRPr="00BC081A">
        <w:fldChar w:fldCharType="begin" w:fldLock="1"/>
      </w:r>
      <w:r w:rsidR="00AC1F7D">
        <w:instrText>ADDIN CSL_CITATION { "citationItems" : [ { "id" : "ITEM-1", "itemData" : { "DOI" : "10.1037//0022-3514.57.3.493", "ISSN" : "0022-3514", "author" : [ { "dropping-particle" : "", "family" : "Russell", "given" : "James a.", "non-dropping-particle" : "", "parse-names" : false, "suffix" : "" }, { "dropping-particle" : "", "family" : "Weiss", "given" : "Anna", "non-dropping-particle" : "", "parse-names" : false, "suffix" : "" }, { "dropping-particle" : "", "family" : "Mendelsohn", "given" : "Gerald a.", "non-dropping-particle" : "", "parse-names" : false, "suffix" : "" } ], "container-title" : "Journal of Personality and Social Psychology", "id" : "ITEM-1", "issue" : "3", "issued" : { "date-parts" : [ [ "1989" ] ] }, "page" : "493-502", "title" : "Affect Grid: A single-item scale of pleasure and arousal.", "type" : "article-journal", "volume" : "57" }, "uris" : [ "http://www.mendeley.com/documents/?uuid=453fa9a3-1cfa-4738-98a3-4e54e7db7d6b" ] } ], "mendeley" : { "previouslyFormattedCitation" : "(Russell, Weiss, &amp; Mendelsohn, 1989)" }, "properties" : { "noteIndex" : 0 }, "schema" : "https://github.com/citation-style-language/schema/raw/master/csl-citation.json" }</w:instrText>
      </w:r>
      <w:r w:rsidRPr="00BC081A">
        <w:fldChar w:fldCharType="separate"/>
      </w:r>
      <w:r w:rsidRPr="00BC081A">
        <w:rPr>
          <w:noProof/>
        </w:rPr>
        <w:t>(Russell, Weiss, &amp; Mendelsohn, 1989)</w:t>
      </w:r>
      <w:r w:rsidRPr="00BC081A">
        <w:fldChar w:fldCharType="end"/>
      </w:r>
      <w:r w:rsidRPr="00BC081A">
        <w:t xml:space="preserve">. When playing a video game, gamers face various challenges </w:t>
      </w:r>
      <w:r w:rsidRPr="00BC081A">
        <w:fldChar w:fldCharType="begin" w:fldLock="1"/>
      </w:r>
      <w:r w:rsidR="00AC1F7D">
        <w:instrText>ADDIN CSL_CITATION { "citationItems" : [ { "id" : "ITEM-1", "itemData" : { "DOI" : "10.1016/j.ijhcs.2008.04.004", "ISSN" : "10715819", "author" : [ { "dropping-particle" : "", "family" : "Jennett", "given" : "C", "non-dropping-particle" : "", "parse-names" : false, "suffix" : "" }, { "dropping-particle" : "", "family" : "Cox", "given" : "a", "non-dropping-particle" : "", "parse-names" : false, "suffix" : "" }, { "dropping-particle" : "", "family" : "Cairns", "given" : "P", "non-dropping-particle" : "", "parse-names" : false, "suffix" : "" }, { "dropping-particle" : "", "family" : "Dhoparee", "given" : "S", "non-dropping-particle" : "", "parse-names" : false, "suffix" : "" }, { "dropping-particle" : "", "family" : "Epps", "given" : "a", "non-dropping-particle" : "", "parse-names" : false, "suffix" : "" }, { "dropping-particle" : "", "family" : "Tijs", "given" : "T", "non-dropping-particle" : "", "parse-names" : false, "suffix" : "" }, { "dropping-particle" : "", "family" : "Walton", "given" : "a", "non-dropping-particle" : "", "parse-names" : false, "suffix" : "" } ], "container-title" : "International Journal of Human-Computer Studies", "id" : "ITEM-1", "issue" : "9", "issued" : { "date-parts" : [ [ "2008", "9" ] ] }, "page" : "641-661", "title" : "Measuring and defining the experience of immersion in games", "type" : "article-journal", "volume" : "66" }, "uris" : [ "http://www.mendeley.com/documents/?uuid=fc8c6c6a-bcfa-4e26-b596-224580b4d7fc" ] } ], "mendeley" : { "previouslyFormattedCitation" : "(Jennett et al., 2008)" }, "properties" : { "noteIndex" : 0 }, "schema" : "https://github.com/citation-style-language/schema/raw/master/csl-citation.json" }</w:instrText>
      </w:r>
      <w:r w:rsidRPr="00BC081A">
        <w:fldChar w:fldCharType="separate"/>
      </w:r>
      <w:r w:rsidRPr="00BC081A">
        <w:rPr>
          <w:noProof/>
        </w:rPr>
        <w:t>(Jennett et al., 2008)</w:t>
      </w:r>
      <w:r w:rsidRPr="00BC081A">
        <w:fldChar w:fldCharType="end"/>
      </w:r>
      <w:r w:rsidRPr="00BC081A">
        <w:t xml:space="preserve">, which result in emotional involvement potentially causing physiological alteration </w:t>
      </w:r>
      <w:r w:rsidRPr="00BC081A">
        <w:fldChar w:fldCharType="begin" w:fldLock="1"/>
      </w:r>
      <w:r w:rsidR="00AC1F7D">
        <w:instrText>ADDIN CSL_CITATION { "citationItems" : [ { "id" : "ITEM-1", "itemData" : { "ISSN" : "0033-2909", "PMID" : "778883", "author" : [ { "dropping-particle" : "", "family" : "Eysenck", "given" : "M W", "non-dropping-particle" : "", "parse-names" : false, "suffix" : "" } ], "container-title" : "Psychological bulletin", "id" : "ITEM-1", "issue" : "3", "issued" : { "date-parts" : [ [ "1976", "5" ] ] }, "page" : "389-404", "title" : "Arousal, learning, and memory.", "type" : "article-journal", "volume" : "83" }, "uris" : [ "http://www.mendeley.com/documents/?uuid=91ad774a-1f04-4206-80e1-638d495033e7" ] }, { "id" : "ITEM-2", "itemData" : { "DOI" : "10.1037//0022-3514.49.4.971", "ISSN" : "0022-3514", "author" : [ { "dropping-particle" : "", "family" : "Graziano", "given" : "William G.", "non-dropping-particle" : "", "parse-names" : false, "suffix" : "" }, { "dropping-particle" : "", "family" : "Feldesman", "given" : "Alice B.", "non-dropping-particle" : "", "parse-names" : false, "suffix" : "" }, { "dropping-particle" : "", "family" : "Rahe", "given" : "Donald F.", "non-dropping-particle" : "", "parse-names" : false, "suffix" : "" } ], "container-title" : "Journal of Personality and Social Psychology", "id" : "ITEM-2", "issue" : "4", "issued" : { "date-parts" : [ [ "1985" ] ] }, "page" : "971-980", "title" : "Extraversion, social cognition, and the salience of aversiveness in social encounters.", "type" : "article-journal", "volume" : "49" }, "uris" : [ "http://www.mendeley.com/documents/?uuid=cf27bea4-179c-4a35-a5b0-5a3c33cc1ef6" ] } ], "mendeley" : { "previouslyFormattedCitation" : "(Eysenck, 1976; Graziano, Feldesman, &amp; Rahe, 1985)" }, "properties" : { "noteIndex" : 0 }, "schema" : "https://github.com/citation-style-language/schema/raw/master/csl-citation.json" }</w:instrText>
      </w:r>
      <w:r w:rsidRPr="00BC081A">
        <w:fldChar w:fldCharType="separate"/>
      </w:r>
      <w:r w:rsidRPr="00BC081A">
        <w:rPr>
          <w:noProof/>
        </w:rPr>
        <w:t>(Eysenck, 1976; Graziano, Feldesman, &amp; Rahe, 1985)</w:t>
      </w:r>
      <w:r w:rsidRPr="00BC081A">
        <w:fldChar w:fldCharType="end"/>
      </w:r>
      <w:r w:rsidRPr="00BC081A">
        <w:t xml:space="preserve">. According to the theory of Flow </w:t>
      </w:r>
      <w:r w:rsidRPr="00BC081A">
        <w:fldChar w:fldCharType="begin" w:fldLock="1"/>
      </w:r>
      <w:r w:rsidR="00AC1F7D">
        <w:instrText>ADDIN CSL_CITATION { "citationItems" : [ { "id" : "ITEM-1", "itemData" : { "author" : [ { "dropping-particle" : "", "family" : "Csikszentmihalyi", "given" : "M", "non-dropping-particle" : "", "parse-names" : false, "suffix" : "" } ], "id" : "ITEM-1", "issued" : { "date-parts" : [ [ "1997" ] ] }, "publisher" : "Basic Books", "title" : "Finding flow: The psychology of engagement with everyday life", "type" : "book" }, "uris" : [ "http://www.mendeley.com/documents/?uuid=294e388b-5672-4078-9925-ceecb8292ef7" ] } ], "mendeley" : { "previouslyFormattedCitation" : "(Csikszentmihalyi, 1997)" }, "properties" : { "noteIndex" : 0 }, "schema" : "https://github.com/citation-style-language/schema/raw/master/csl-citation.json" }</w:instrText>
      </w:r>
      <w:r w:rsidRPr="00BC081A">
        <w:fldChar w:fldCharType="separate"/>
      </w:r>
      <w:r w:rsidRPr="00BC081A">
        <w:rPr>
          <w:noProof/>
        </w:rPr>
        <w:t>(Csikszentmihalyi, 1997)</w:t>
      </w:r>
      <w:r w:rsidRPr="00BC081A">
        <w:fldChar w:fldCharType="end"/>
      </w:r>
      <w:r w:rsidRPr="00BC081A">
        <w:t>, when challenge and skill are well balanced, individuals experience arousal. In fact, challenge is the most important determinant of Flow</w:t>
      </w:r>
      <w:r w:rsidR="00B07073">
        <w:t xml:space="preserve"> (ibid)</w:t>
      </w:r>
      <w:r w:rsidRPr="00BC081A">
        <w:t xml:space="preserve">. However, higher levels of challenge that are not balanced with the skill level of the person might cause that person to </w:t>
      </w:r>
      <w:r w:rsidR="00095F6E">
        <w:t xml:space="preserve">become anxious and frustrated, which create emotional arousal in a person. </w:t>
      </w:r>
      <w:r w:rsidRPr="00BC081A">
        <w:t xml:space="preserve">Thus, </w:t>
      </w:r>
      <w:r w:rsidR="00653A2D">
        <w:t>it is</w:t>
      </w:r>
      <w:r w:rsidRPr="00BC081A">
        <w:t xml:space="preserve"> hypothesize</w:t>
      </w:r>
      <w:r w:rsidR="00653A2D">
        <w:t>d that</w:t>
      </w:r>
      <w:r w:rsidRPr="00BC081A">
        <w:t>:</w:t>
      </w:r>
    </w:p>
    <w:p w14:paraId="4E27BB85" w14:textId="77777777" w:rsidR="009503F5" w:rsidRPr="00BC081A" w:rsidRDefault="009503F5" w:rsidP="009503F5">
      <w:pPr>
        <w:pStyle w:val="Hypothesis"/>
        <w:ind w:firstLine="0"/>
        <w:rPr>
          <w:lang w:val="en-CA"/>
        </w:rPr>
      </w:pPr>
      <w:r w:rsidRPr="00BC081A">
        <w:rPr>
          <w:b/>
          <w:lang w:val="en-CA"/>
        </w:rPr>
        <w:t xml:space="preserve">Hypothesis 4: </w:t>
      </w:r>
      <w:r w:rsidRPr="00BC081A">
        <w:rPr>
          <w:lang w:val="en-CA"/>
        </w:rPr>
        <w:t xml:space="preserve">Higher levels of Perceived video game Challenge will increase feelings of Arousal.  </w:t>
      </w:r>
    </w:p>
    <w:p w14:paraId="6551BDD2" w14:textId="0E512588" w:rsidR="009503F5" w:rsidRPr="00BC081A" w:rsidRDefault="009503F5" w:rsidP="00653A2D">
      <w:r w:rsidRPr="00BC081A">
        <w:t xml:space="preserve">Little is known about the mechanism through which competitiveness of a video game impacts one’s motivation to play, and potentially to be addicted. Scholars studying addiction have indicated that gamblers experience feelings similar to being “hyped up”, which they refer to as arousal </w:t>
      </w:r>
      <w:r w:rsidRPr="00BC081A">
        <w:fldChar w:fldCharType="begin" w:fldLock="1"/>
      </w:r>
      <w:r w:rsidR="00AC1F7D">
        <w:instrText>ADDIN CSL_CITATION { "citationItems" : [ { "id" : "ITEM-1", "itemData" : { "author" : [ { "dropping-particle" : "", "family" : "Titz", "given" : "Karl", "non-dropping-particle" : "", "parse-names" : false, "suffix" : "" }, { "dropping-particle" : "", "family" : "Andrus", "given" : "David", "non-dropping-particle" : "", "parse-names" : false, "suffix" : "" }, { "dropping-particle" : "", "family" : "Miller", "given" : "Judy", "non-dropping-particle" : "", "parse-names" : false, "suffix" : "" }, { "dropping-particle" : "", "family" : "others", "given" : "", "non-dropping-particle" : "", "parse-names" : false, "suffix" : "" } ], "container-title" : "UNLV Gaming Research &amp; Review Journal", "id" : "ITEM-1", "issue" : "1", "issued" : { "date-parts" : [ [ "2001" ] ] }, "page" : "23\u201332", "publisher" : "UNLV International Gaming Institute", "title" : "Hedonistic differences between mechanical game players and table game players: an exploratory investigation on the road to a comprehensive theory for gambling.", "type" : "article-journal", "volume" : "6" }, "uris" : [ "http://www.mendeley.com/documents/?uuid=1cde1486-3558-4e12-af83-31a1158c411d" ] } ], "mendeley" : { "previouslyFormattedCitation" : "(Titz, Andrus, Miller, &amp; others, 2001)" }, "properties" : { "noteIndex" : 0 }, "schema" : "https://github.com/citation-style-language/schema/raw/master/csl-citation.json" }</w:instrText>
      </w:r>
      <w:r w:rsidRPr="00BC081A">
        <w:fldChar w:fldCharType="separate"/>
      </w:r>
      <w:r w:rsidRPr="00BC081A">
        <w:rPr>
          <w:noProof/>
        </w:rPr>
        <w:t>(Titz, Andrus, Miller, &amp; others, 2001)</w:t>
      </w:r>
      <w:r w:rsidRPr="00BC081A">
        <w:fldChar w:fldCharType="end"/>
      </w:r>
      <w:r w:rsidRPr="00BC081A">
        <w:t>. Arousal</w:t>
      </w:r>
      <w:r w:rsidR="005A4DE0" w:rsidRPr="00BC081A">
        <w:t xml:space="preserve"> </w:t>
      </w:r>
      <w:r w:rsidRPr="00BC081A">
        <w:t xml:space="preserve">has been conceptualized by </w:t>
      </w:r>
      <w:r w:rsidRPr="00BC081A">
        <w:fldChar w:fldCharType="begin" w:fldLock="1"/>
      </w:r>
      <w:r w:rsidR="00AC1F7D">
        <w:instrText>ADDIN CSL_CITATION { "citationItems" : [ { "id" : "ITEM-1", "itemData" : { "author" : [ { "dropping-particle" : "", "family" : "Holsapple", "given" : "C.W.", "non-dropping-particle" : "", "parse-names" : false, "suffix" : "" }, { "dropping-particle" : "", "family" : "Wu", "given" : "J.", "non-dropping-particle" : "", "parse-names" : false, "suffix" : "" } ], "container-title" : "ACM SIGMIS Database", "id" : "ITEM-1", "issue" : "4", "issued" : { "date-parts" : [ [ "2007" ] ] }, "page" : "86\u201389", "publisher" : "ACM", "title" : "User acceptance of virtual worlds: the Hedonic framework", "type" : "article-journal", "volume" : "38" }, "uris" : [ "http://www.mendeley.com/documents/?uuid=06e7bc3b-a22f-427b-a60f-a5ca7a42e5bb" ] } ], "mendeley" : { "manualFormatting" : "Holsapple &amp; Wu (2007)", "previouslyFormattedCitation" : "(Holsapple &amp; Wu, 2007)" }, "properties" : { "noteIndex" : 0 }, "schema" : "https://github.com/citation-style-language/schema/raw/master/csl-citation.json" }</w:instrText>
      </w:r>
      <w:r w:rsidRPr="00BC081A">
        <w:fldChar w:fldCharType="separate"/>
      </w:r>
      <w:r w:rsidRPr="00BC081A">
        <w:rPr>
          <w:noProof/>
        </w:rPr>
        <w:t>Holsapple &amp; Wu (2007)</w:t>
      </w:r>
      <w:r w:rsidRPr="00BC081A">
        <w:fldChar w:fldCharType="end"/>
      </w:r>
      <w:r w:rsidRPr="00BC081A">
        <w:t xml:space="preserve"> as “the state of emotional and mental activation or alertness,” (p. 87) which is an emotional response during the use of a hedonic IT product. Similar to gambling </w:t>
      </w:r>
      <w:r w:rsidRPr="00BC081A">
        <w:fldChar w:fldCharType="begin" w:fldLock="1"/>
      </w:r>
      <w:r w:rsidR="00AC1F7D">
        <w:instrText>ADDIN CSL_CITATION { "citationItems" : [ { "id" : "ITEM-1", "itemData" : { "author" : [ { "dropping-particle" : "", "family" : "Titz", "given" : "Karl", "non-dropping-particle" : "", "parse-names" : false, "suffix" : "" }, { "dropping-particle" : "", "family" : "Andrus", "given" : "David", "non-dropping-particle" : "", "parse-names" : false, "suffix" : "" }, { "dropping-particle" : "", "family" : "Miller", "given" : "Judy", "non-dropping-particle" : "", "parse-names" : false, "suffix" : "" }, { "dropping-particle" : "", "family" : "others", "given" : "", "non-dropping-particle" : "", "parse-names" : false, "suffix" : "" } ], "container-title" : "UNLV Gaming Research &amp; Review Journal", "id" : "ITEM-1", "issue" : "1", "issued" : { "date-parts" : [ [ "2001" ] ] }, "page" : "23\u201332", "publisher" : "UNLV International Gaming Institute", "title" : "Hedonistic differences between mechanical game players and table game players: an exploratory investigation on the road to a comprehensive theory for gambling.", "type" : "article-journal", "volume" : "6" }, "uris" : [ "http://www.mendeley.com/documents/?uuid=1cde1486-3558-4e12-af83-31a1158c411d" ] } ], "mendeley" : { "previouslyFormattedCitation" : "(Titz et al., 2001)" }, "properties" : { "noteIndex" : 0 }, "schema" : "https://github.com/citation-style-language/schema/raw/master/csl-citation.json" }</w:instrText>
      </w:r>
      <w:r w:rsidRPr="00BC081A">
        <w:fldChar w:fldCharType="separate"/>
      </w:r>
      <w:r w:rsidRPr="00BC081A">
        <w:rPr>
          <w:noProof/>
        </w:rPr>
        <w:t xml:space="preserve">(Titz et al., </w:t>
      </w:r>
      <w:r w:rsidRPr="00BC081A">
        <w:rPr>
          <w:noProof/>
        </w:rPr>
        <w:lastRenderedPageBreak/>
        <w:t>2001)</w:t>
      </w:r>
      <w:r w:rsidRPr="00BC081A">
        <w:fldChar w:fldCharType="end"/>
      </w:r>
      <w:r w:rsidRPr="00BC081A">
        <w:t xml:space="preserve">, </w:t>
      </w:r>
      <w:r w:rsidR="00D27F97">
        <w:t xml:space="preserve">it is </w:t>
      </w:r>
      <w:r w:rsidRPr="00BC081A">
        <w:t>expect</w:t>
      </w:r>
      <w:r w:rsidR="00D27F97">
        <w:t>ed</w:t>
      </w:r>
      <w:r w:rsidRPr="00BC081A">
        <w:t xml:space="preserve"> to observe excitement among players of competitive video games due to having expectation in receiving rewards (often intrinsic) upon win</w:t>
      </w:r>
      <w:r w:rsidR="00E400F5">
        <w:t>n</w:t>
      </w:r>
      <w:r w:rsidRPr="00BC081A">
        <w:t xml:space="preserve">ing the game. </w:t>
      </w:r>
      <w:r w:rsidRPr="00BC081A">
        <w:fldChar w:fldCharType="begin" w:fldLock="1"/>
      </w:r>
      <w:r w:rsidR="00AC1F7D">
        <w:instrText>ADDIN CSL_CITATION { "citationItems" : [ { "id" : "ITEM-1", "itemData" : { "DOI" : "10.1162/pres.15.4.381", "ISSN" : "1054-7460", "author" : [ { "dropping-particle" : "", "family" : "Ravaja", "given" : "Niklas", "non-dropping-particle" : "", "parse-names" : false, "suffix" : "" }, { "dropping-particle" : "", "family" : "Saari", "given" : "Timo", "non-dropping-particle" : "", "parse-names" : false, "suffix" : "" }, { "dropping-particle" : "", "family" : "Turpeinen", "given" : "Marko", "non-dropping-particle" : "", "parse-names" : false, "suffix" : "" }, { "dropping-particle" : "", "family" : "Laarni", "given" : "Jari", "non-dropping-particle" : "", "parse-names" : false, "suffix" : "" }, { "dropping-particle" : "", "family" : "Salminen", "given" : "Mikko", "non-dropping-particle" : "", "parse-names" : false, "suffix" : "" }, { "dropping-particle" : "", "family" : "Kivikangas", "given" : "Matias", "non-dropping-particle" : "", "parse-names" : false, "suffix" : "" } ], "container-title" : "Presence: Teleoperators and Virtual Environments", "id" : "ITEM-1", "issue" : "4", "issued" : { "date-parts" : [ [ "2006", "8" ] ] }, "page" : "381-392", "title" : "Spatial Presence and Emotions during Video Game Playing: Does It Matter with Whom You Play?", "type" : "article-journal", "volume" : "15" }, "uris" : [ "http://www.mendeley.com/documents/?uuid=2f31f848-2c6e-4c66-982b-31f77631bcbb" ] } ], "mendeley" : { "manualFormatting" : "Ravaja et al. (2006)", "previouslyFormattedCitation" : "(Ravaja et al., 2006)" }, "properties" : { "noteIndex" : 0 }, "schema" : "https://github.com/citation-style-language/schema/raw/master/csl-citation.json" }</w:instrText>
      </w:r>
      <w:r w:rsidRPr="00BC081A">
        <w:fldChar w:fldCharType="separate"/>
      </w:r>
      <w:r w:rsidRPr="00BC081A">
        <w:rPr>
          <w:noProof/>
        </w:rPr>
        <w:t>Ravaja et al. (2006)</w:t>
      </w:r>
      <w:r w:rsidRPr="00BC081A">
        <w:fldChar w:fldCharType="end"/>
      </w:r>
      <w:r w:rsidRPr="00BC081A">
        <w:t xml:space="preserve"> support this claim by expressing that “social-competitive situation” increases arousal. Thus, </w:t>
      </w:r>
      <w:r w:rsidR="00653A2D">
        <w:t>it is</w:t>
      </w:r>
      <w:r w:rsidRPr="00BC081A">
        <w:t xml:space="preserve"> hypothesize</w:t>
      </w:r>
      <w:r w:rsidR="00653A2D">
        <w:t>d that</w:t>
      </w:r>
      <w:r w:rsidRPr="00BC081A">
        <w:t>:</w:t>
      </w:r>
    </w:p>
    <w:p w14:paraId="0BEC1FB2" w14:textId="3A9A8990" w:rsidR="009503F5" w:rsidRPr="00BC081A" w:rsidRDefault="009503F5" w:rsidP="009503F5">
      <w:pPr>
        <w:pStyle w:val="Hypothesis"/>
        <w:ind w:firstLine="0"/>
        <w:rPr>
          <w:lang w:val="en-CA"/>
        </w:rPr>
      </w:pPr>
      <w:r w:rsidRPr="00BC081A">
        <w:rPr>
          <w:b/>
          <w:lang w:val="en-CA"/>
        </w:rPr>
        <w:t xml:space="preserve">Hypothesis 5: </w:t>
      </w:r>
      <w:r w:rsidRPr="00BC081A">
        <w:rPr>
          <w:lang w:val="en-CA"/>
        </w:rPr>
        <w:t xml:space="preserve">Higher </w:t>
      </w:r>
      <w:r w:rsidR="005624B9" w:rsidRPr="00BC081A">
        <w:rPr>
          <w:lang w:val="en-CA"/>
        </w:rPr>
        <w:t>Situational</w:t>
      </w:r>
      <w:r w:rsidRPr="00BC081A">
        <w:rPr>
          <w:lang w:val="en-CA"/>
        </w:rPr>
        <w:t xml:space="preserve"> Competitiveness of </w:t>
      </w:r>
      <w:r w:rsidR="00E400F5">
        <w:rPr>
          <w:lang w:val="en-CA"/>
        </w:rPr>
        <w:t xml:space="preserve">a </w:t>
      </w:r>
      <w:r w:rsidRPr="00BC081A">
        <w:rPr>
          <w:lang w:val="en-CA"/>
        </w:rPr>
        <w:t>video game will increase Arousal of the players.</w:t>
      </w:r>
    </w:p>
    <w:p w14:paraId="7C88B38C" w14:textId="3FAB11E9" w:rsidR="009503F5" w:rsidRPr="00BC081A" w:rsidRDefault="009503F5" w:rsidP="00653A2D">
      <w:pPr>
        <w:rPr>
          <w:noProof/>
        </w:rPr>
      </w:pPr>
      <w:r w:rsidRPr="00BC081A">
        <w:t xml:space="preserve">Challenge has been closely connected to competition </w:t>
      </w:r>
      <w:r w:rsidRPr="00BC081A">
        <w:fldChar w:fldCharType="begin" w:fldLock="1"/>
      </w:r>
      <w:r w:rsidR="00AC1F7D">
        <w:instrText>ADDIN CSL_CITATION { "citationItems" : [ { "id" : "ITEM-1", "itemData" : { "author" : [ { "dropping-particle" : "", "family" : "Vorderer", "given" : "Peter", "non-dropping-particle" : "", "parse-names" : false, "suffix" : "" }, { "dropping-particle" : "", "family" : "Hartmann", "given" : "Tilo", "non-dropping-particle" : "", "parse-names" : false, "suffix" : "" }, { "dropping-particle" : "", "family" : "Klimmt", "given" : "Christoph", "non-dropping-particle" : "", "parse-names" : false, "suffix" : "" } ], "container-title" : "Proceedings of the second international conference on Entertainment computing", "id" : "ITEM-1", "issued" : { "date-parts" : [ [ "2003" ] ] }, "page" : "1-9", "title" : "Proceedings of the second international conference on Entertainment computing", "type" : "article-journal" }, "uris" : [ "http://www.mendeley.com/documents/?uuid=b268495a-6450-4e5e-885a-dfa2b25500ab" ] } ], "mendeley" : { "previouslyFormattedCitation" : "(Vorderer, Hartmann, &amp; Klimmt, 2003b)" }, "properties" : { "noteIndex" : 0 }, "schema" : "https://github.com/citation-style-language/schema/raw/master/csl-citation.json" }</w:instrText>
      </w:r>
      <w:r w:rsidRPr="00BC081A">
        <w:fldChar w:fldCharType="separate"/>
      </w:r>
      <w:r w:rsidRPr="00BC081A">
        <w:rPr>
          <w:noProof/>
        </w:rPr>
        <w:t>(Vorderer, Hartmann, &amp; Klimmt, 2003b)</w:t>
      </w:r>
      <w:r w:rsidRPr="00BC081A">
        <w:fldChar w:fldCharType="end"/>
      </w:r>
      <w:r w:rsidRPr="00BC081A">
        <w:t xml:space="preserve">, where creating competitive situations is easily manifested through the creation </w:t>
      </w:r>
      <w:r w:rsidR="009B33B5" w:rsidRPr="00BC081A">
        <w:t xml:space="preserve">of </w:t>
      </w:r>
      <w:r w:rsidRPr="00BC081A">
        <w:t xml:space="preserve">challenge </w:t>
      </w:r>
      <w:r w:rsidRPr="00BC081A">
        <w:fldChar w:fldCharType="begin" w:fldLock="1"/>
      </w:r>
      <w:r w:rsidR="00AC1F7D">
        <w:instrText>ADDIN CSL_CITATION { "citationItems" : [ { "id" : "ITEM-1", "itemData" : { "author" : [ { "dropping-particle" : "", "family" : "Csikszentmihalyi", "given" : "M", "non-dropping-particle" : "", "parse-names" : false, "suffix" : "" } ], "id" : "ITEM-1", "issued" : { "date-parts" : [ [ "1991" ] ] }, "publisher" : "Harper Collins Publishers", "title" : "Flow: The psychology of optimal experience: Steps toward enhancing the quality of life", "type" : "book" }, "uris" : [ "http://www.mendeley.com/documents/?uuid=c4b97a6d-79bb-4543-b899-eb543cc86b8b" ] } ], "mendeley" : { "previouslyFormattedCitation" : "(Csikszentmihalyi, 1991)" }, "properties" : { "noteIndex" : 0 }, "schema" : "https://github.com/citation-style-language/schema/raw/master/csl-citation.json" }</w:instrText>
      </w:r>
      <w:r w:rsidRPr="00BC081A">
        <w:fldChar w:fldCharType="separate"/>
      </w:r>
      <w:r w:rsidRPr="00BC081A">
        <w:rPr>
          <w:noProof/>
        </w:rPr>
        <w:t>(Csikszentmihalyi, 1991)</w:t>
      </w:r>
      <w:r w:rsidRPr="00BC081A">
        <w:fldChar w:fldCharType="end"/>
      </w:r>
      <w:r w:rsidRPr="00BC081A">
        <w:t xml:space="preserve">. </w:t>
      </w:r>
      <w:r w:rsidRPr="00BC081A">
        <w:rPr>
          <w:noProof/>
        </w:rPr>
        <w:t xml:space="preserve">Reeve and Deci’s </w:t>
      </w:r>
      <w:r w:rsidRPr="00BC081A">
        <w:rPr>
          <w:noProof/>
        </w:rPr>
        <w:fldChar w:fldCharType="begin" w:fldLock="1"/>
      </w:r>
      <w:r w:rsidR="00AC1F7D">
        <w:rPr>
          <w:noProof/>
        </w:rPr>
        <w:instrText>ADDIN CSL_CITATION { "citationItems" : [ { "id" : "ITEM-1", "itemData" : { "DOI" : "10.1177/0146167296221003", "ISSN" : "0146-1672", "author" : [ { "dropping-particle" : "", "family" : "Reeve", "given" : "Johnmarshall", "non-dropping-particle" : "", "parse-names" : false, "suffix" : "" }, { "dropping-particle" : "", "family" : "Deci", "given" : "Edward L.", "non-dropping-particle" : "", "parse-names" : false, "suffix" : "" } ], "container-title" : "Personality and Social Psychology Bulletin", "id" : "ITEM-1", "issue" : "1", "issued" : { "date-parts" : [ [ "1996", "1", "1" ] ] }, "page" : "24-33", "title" : "Elements of the Competitive Situation that Affect Intrinsic Motivation", "type" : "article-journal", "volume" : "22" }, "suppress-author" : 1, "uris" : [ "http://www.mendeley.com/documents/?uuid=2f4140eb-3fc8-4b42-9582-32621b3b302b" ] } ], "mendeley" : { "previouslyFormattedCitation" : "(1996)" }, "properties" : { "noteIndex" : 0 }, "schema" : "https://github.com/citation-style-language/schema/raw/master/csl-citation.json" }</w:instrText>
      </w:r>
      <w:r w:rsidRPr="00BC081A">
        <w:rPr>
          <w:noProof/>
        </w:rPr>
        <w:fldChar w:fldCharType="separate"/>
      </w:r>
      <w:r w:rsidRPr="00BC081A">
        <w:rPr>
          <w:noProof/>
        </w:rPr>
        <w:t>(1996)</w:t>
      </w:r>
      <w:r w:rsidRPr="00BC081A">
        <w:rPr>
          <w:noProof/>
        </w:rPr>
        <w:fldChar w:fldCharType="end"/>
      </w:r>
      <w:r w:rsidRPr="00BC081A">
        <w:rPr>
          <w:noProof/>
        </w:rPr>
        <w:t xml:space="preserve"> research on the effect of competition on intrinsic motivation showed that when competition provides proper forms of feedback, the task can become more challenging than </w:t>
      </w:r>
      <w:r w:rsidR="00B07073">
        <w:rPr>
          <w:noProof/>
        </w:rPr>
        <w:t xml:space="preserve">not only when the </w:t>
      </w:r>
      <w:r w:rsidR="00B07073" w:rsidRPr="00BC081A">
        <w:rPr>
          <w:noProof/>
        </w:rPr>
        <w:t>task does not involve competition</w:t>
      </w:r>
      <w:r w:rsidR="00B07073">
        <w:rPr>
          <w:noProof/>
        </w:rPr>
        <w:t xml:space="preserve">, but it can also be more challenging than </w:t>
      </w:r>
      <w:r w:rsidRPr="00BC081A">
        <w:rPr>
          <w:noProof/>
        </w:rPr>
        <w:t xml:space="preserve">when </w:t>
      </w:r>
      <w:r w:rsidR="00B07073">
        <w:rPr>
          <w:noProof/>
        </w:rPr>
        <w:t xml:space="preserve">competition </w:t>
      </w:r>
      <w:r w:rsidR="00D74C14">
        <w:rPr>
          <w:noProof/>
        </w:rPr>
        <w:t xml:space="preserve">involves </w:t>
      </w:r>
      <w:r w:rsidR="00B07073">
        <w:rPr>
          <w:noProof/>
        </w:rPr>
        <w:t>no feedback</w:t>
      </w:r>
      <w:r w:rsidRPr="00BC081A">
        <w:rPr>
          <w:noProof/>
        </w:rPr>
        <w:t xml:space="preserve">. Previous research has also shown that some people tend to search for </w:t>
      </w:r>
      <w:r w:rsidR="006819A7">
        <w:rPr>
          <w:noProof/>
        </w:rPr>
        <w:t>comp</w:t>
      </w:r>
      <w:r w:rsidR="001D2555">
        <w:rPr>
          <w:noProof/>
        </w:rPr>
        <w:t>e</w:t>
      </w:r>
      <w:r w:rsidR="006819A7">
        <w:rPr>
          <w:noProof/>
        </w:rPr>
        <w:t>titive situations</w:t>
      </w:r>
      <w:r w:rsidR="006819A7" w:rsidRPr="00BC081A">
        <w:rPr>
          <w:noProof/>
        </w:rPr>
        <w:t xml:space="preserve"> </w:t>
      </w:r>
      <w:r w:rsidRPr="00BC081A">
        <w:rPr>
          <w:noProof/>
        </w:rPr>
        <w:t xml:space="preserve">in order to create competition for themselves </w:t>
      </w:r>
      <w:r w:rsidRPr="00BC081A">
        <w:rPr>
          <w:noProof/>
        </w:rPr>
        <w:fldChar w:fldCharType="begin" w:fldLock="1"/>
      </w:r>
      <w:r w:rsidR="00AC1F7D">
        <w:rPr>
          <w:noProof/>
        </w:rPr>
        <w:instrText>ADDIN CSL_CITATION { "citationItems" : [ { "id" : "ITEM-1", "itemData" : { "DOI" : "10.1080/02783190009554040", "ISSN" : "0278-3193", "author" : [ { "dropping-particle" : "", "family" : "Udvari", "given" : "Stephen", "non-dropping-particle" : "", "parse-names" : false, "suffix" : "" }, { "dropping-particle" : "", "family" : "Schneider", "given" : "Barry", "non-dropping-particle" : "", "parse-names" : false, "suffix" : "" } ], "container-title" : "Roeper Review", "id" : "ITEM-1", "issue" : "4", "issued" : { "date-parts" : [ [ "2000", "6" ] ] }, "page" : "212-216", "title" : "Competition and the adjustment of gifted children: A matter of motivation", "type" : "article-journal", "volume" : "22" }, "uris" : [ "http://www.mendeley.com/documents/?uuid=0530dd5f-39a2-4078-9970-9ce5a89a909b" ] } ], "mendeley" : { "previouslyFormattedCitation" : "(Udvari &amp; Schneider, 2000)" }, "properties" : { "noteIndex" : 0 }, "schema" : "https://github.com/citation-style-language/schema/raw/master/csl-citation.json" }</w:instrText>
      </w:r>
      <w:r w:rsidRPr="00BC081A">
        <w:rPr>
          <w:noProof/>
        </w:rPr>
        <w:fldChar w:fldCharType="separate"/>
      </w:r>
      <w:r w:rsidRPr="00BC081A">
        <w:rPr>
          <w:noProof/>
        </w:rPr>
        <w:t>(Udvari &amp; Schneider, 2000)</w:t>
      </w:r>
      <w:r w:rsidRPr="00BC081A">
        <w:rPr>
          <w:noProof/>
        </w:rPr>
        <w:fldChar w:fldCharType="end"/>
      </w:r>
      <w:r w:rsidRPr="00BC081A">
        <w:rPr>
          <w:noProof/>
        </w:rPr>
        <w:t xml:space="preserve">. </w:t>
      </w:r>
      <w:r w:rsidRPr="00BC081A">
        <w:fldChar w:fldCharType="begin" w:fldLock="1"/>
      </w:r>
      <w:r w:rsidR="00AC1F7D">
        <w:instrText>ADDIN CSL_CITATION { "citationItems" : [ { "id" : "ITEM-1", "itemData" : { "DOI" : "10.1145/264701.264706", "ISSN" : "00950033", "author" : [ { "dropping-particle" : "", "family" : "Webster", "given" : "Jane", "non-dropping-particle" : "", "parse-names" : false, "suffix" : "" }, { "dropping-particle" : "", "family" : "Ho", "given" : "Hayes", "non-dropping-particle" : "", "parse-names" : false, "suffix" : "" } ], "container-title" : "ACM SIGMIS Database", "id" : "ITEM-1", "issue" : "2", "issued" : { "date-parts" : [ [ "1997", "4", "1" ] ] }, "page" : "63-77", "title" : "Audience engagement in multimedia presentations", "type" : "article-journal", "volume" : "28" }, "uris" : [ "http://www.mendeley.com/documents/?uuid=55090285-a670-4927-a214-d8e9a5e6aeeb" ] } ], "mendeley" : { "manualFormatting" : "Webster &amp; Ho (1997)", "previouslyFormattedCitation" : "(Webster &amp; Ho, 1997)" }, "properties" : { "noteIndex" : 0 }, "schema" : "https://github.com/citation-style-language/schema/raw/master/csl-citation.json" }</w:instrText>
      </w:r>
      <w:r w:rsidRPr="00BC081A">
        <w:fldChar w:fldCharType="separate"/>
      </w:r>
      <w:r w:rsidRPr="00BC081A">
        <w:rPr>
          <w:noProof/>
        </w:rPr>
        <w:t>Webster &amp; Ho (1997)</w:t>
      </w:r>
      <w:r w:rsidRPr="00BC081A">
        <w:fldChar w:fldCharType="end"/>
      </w:r>
      <w:r w:rsidRPr="00BC081A">
        <w:rPr>
          <w:noProof/>
        </w:rPr>
        <w:t xml:space="preserve"> have used comparison techniques that motivate competitiveness in order to distil</w:t>
      </w:r>
      <w:r w:rsidR="00002215">
        <w:rPr>
          <w:noProof/>
        </w:rPr>
        <w:t>l</w:t>
      </w:r>
      <w:r w:rsidRPr="00BC081A">
        <w:rPr>
          <w:noProof/>
        </w:rPr>
        <w:t xml:space="preserve"> the level of challenge among students. In the context of video games, competition can be used to create challenge. Previous studies have shown that “competitive elements” used in video games provide interactivity and clear and immediate feedback, which enables “active engagement” and a sense of challenge </w:t>
      </w:r>
      <w:r w:rsidRPr="00BC081A">
        <w:fldChar w:fldCharType="begin" w:fldLock="1"/>
      </w:r>
      <w:r w:rsidR="00AC1F7D">
        <w:instrText>ADDIN CSL_CITATION { "citationItems" : [ { "id" : "ITEM-1", "itemData" : { "author" : [ { "dropping-particle" : "", "family" : "Vorderer", "given" : "Peter", "non-dropping-particle" : "", "parse-names" : false, "suffix" : "" }, { "dropping-particle" : "", "family" : "Hartmann", "given" : "Tilo", "non-dropping-particle" : "", "parse-names" : false, "suffix" : "" }, { "dropping-particle" : "", "family" : "Klimmt", "given" : "Christoph", "non-dropping-particle" : "", "parse-names" : false, "suffix" : "" } ], "container-title" : "Proceedings of the second international conference on Entertainment computing", "id" : "ITEM-1", "issued" : { "date-parts" : [ [ "2003" ] ] }, "page" : "1-9", "title" : "Explaining the enjoyment of playing video games: the role of competition", "type" : "paper-conference" }, "uris" : [ "http://www.mendeley.com/documents/?uuid=725ae35f-975f-455b-bb09-e9615febcfca" ] } ], "mendeley" : { "previouslyFormattedCitation" : "(Vorderer et al., 2003a)" }, "properties" : { "noteIndex" : 0 }, "schema" : "https://github.com/citation-style-language/schema/raw/master/csl-citation.json" }</w:instrText>
      </w:r>
      <w:r w:rsidRPr="00BC081A">
        <w:fldChar w:fldCharType="separate"/>
      </w:r>
      <w:r w:rsidR="00584BDA" w:rsidRPr="00584BDA">
        <w:rPr>
          <w:noProof/>
        </w:rPr>
        <w:t>(Vorderer et al., 2003a)</w:t>
      </w:r>
      <w:r w:rsidRPr="00BC081A">
        <w:fldChar w:fldCharType="end"/>
      </w:r>
      <w:r w:rsidRPr="00BC081A">
        <w:rPr>
          <w:noProof/>
        </w:rPr>
        <w:t xml:space="preserve">. Thus, </w:t>
      </w:r>
      <w:r w:rsidR="00653A2D">
        <w:rPr>
          <w:noProof/>
        </w:rPr>
        <w:t>it is</w:t>
      </w:r>
      <w:r w:rsidRPr="00BC081A">
        <w:rPr>
          <w:noProof/>
        </w:rPr>
        <w:t xml:space="preserve"> hypothesize</w:t>
      </w:r>
      <w:r w:rsidR="00653A2D">
        <w:rPr>
          <w:noProof/>
        </w:rPr>
        <w:t>d that</w:t>
      </w:r>
      <w:r w:rsidRPr="00BC081A">
        <w:rPr>
          <w:noProof/>
        </w:rPr>
        <w:t>:</w:t>
      </w:r>
    </w:p>
    <w:p w14:paraId="235CF16E" w14:textId="44035BFA" w:rsidR="009503F5" w:rsidRPr="00BC081A" w:rsidRDefault="009503F5" w:rsidP="009503F5">
      <w:pPr>
        <w:pStyle w:val="Hypothesis"/>
        <w:ind w:firstLine="0"/>
        <w:rPr>
          <w:lang w:val="en-CA"/>
        </w:rPr>
      </w:pPr>
      <w:r w:rsidRPr="00BC081A">
        <w:rPr>
          <w:b/>
          <w:lang w:val="en-CA"/>
        </w:rPr>
        <w:t xml:space="preserve">Hypothesis 6: </w:t>
      </w:r>
      <w:r w:rsidRPr="00BC081A">
        <w:rPr>
          <w:lang w:val="en-CA"/>
        </w:rPr>
        <w:t xml:space="preserve">Higher </w:t>
      </w:r>
      <w:r w:rsidR="005624B9" w:rsidRPr="00BC081A">
        <w:rPr>
          <w:lang w:val="en-CA"/>
        </w:rPr>
        <w:t>Situational</w:t>
      </w:r>
      <w:r w:rsidRPr="00BC081A">
        <w:rPr>
          <w:lang w:val="en-CA"/>
        </w:rPr>
        <w:t xml:space="preserve"> Competitiveness of a video game will increase Perceived Challenge </w:t>
      </w:r>
      <w:r w:rsidR="009B33B5" w:rsidRPr="00BC081A">
        <w:rPr>
          <w:lang w:val="en-CA"/>
        </w:rPr>
        <w:t>of</w:t>
      </w:r>
      <w:r w:rsidRPr="00BC081A">
        <w:rPr>
          <w:lang w:val="en-CA"/>
        </w:rPr>
        <w:t xml:space="preserve"> the players.</w:t>
      </w:r>
    </w:p>
    <w:p w14:paraId="3FA6CE45" w14:textId="267ABFF0" w:rsidR="009503F5" w:rsidRPr="00BC081A" w:rsidRDefault="009503F5" w:rsidP="00653A2D">
      <w:r w:rsidRPr="00BC081A">
        <w:t xml:space="preserve">Social presence (the degree to which an individual is aware of </w:t>
      </w:r>
      <w:r w:rsidR="009B33B5" w:rsidRPr="00BC081A">
        <w:t xml:space="preserve">another </w:t>
      </w:r>
      <w:r w:rsidRPr="00BC081A">
        <w:t xml:space="preserve">person in a communication interaction) has been studied in various contexts, in particular in website use, </w:t>
      </w:r>
      <w:r w:rsidRPr="00BC081A">
        <w:lastRenderedPageBreak/>
        <w:t xml:space="preserve">where scholars have explained the </w:t>
      </w:r>
      <w:r w:rsidR="00C13645">
        <w:t xml:space="preserve">positive </w:t>
      </w:r>
      <w:r w:rsidRPr="00BC081A">
        <w:t>effect</w:t>
      </w:r>
      <w:r w:rsidR="00C13645">
        <w:t>s</w:t>
      </w:r>
      <w:r w:rsidRPr="00BC081A">
        <w:t xml:space="preserve"> of different human-centric features such as ‘human images’ </w:t>
      </w:r>
      <w:r w:rsidRPr="00BC081A">
        <w:fldChar w:fldCharType="begin" w:fldLock="1"/>
      </w:r>
      <w:r w:rsidR="00AC1F7D">
        <w:instrText>ADDIN CSL_CITATION { "citationItems" : [ { "id" : "ITEM-1", "itemData" : { "author" : [ { "dropping-particle" : "", "family" : "Cyr", "given" : "D", "non-dropping-particle" : "", "parse-names" : false, "suffix" : "" }, { "dropping-particle" : "", "family" : "Head", "given" : "M", "non-dropping-particle" : "", "parse-names" : false, "suffix" : "" }, { "dropping-particle" : "", "family" : "Ivanov", "given" : "A", "non-dropping-particle" : "", "parse-names" : false, "suffix" : "" } ], "container-title" : "International journal of human-computer studies", "id" : "ITEM-1", "issue" : "10", "issued" : { "date-parts" : [ [ "2009" ] ] }, "page" : "850-869", "publisher" : "Elsevier", "title" : "Perceived interactivity leading to e-loyalty: Development of a model for cognitive-affective user responses", "type" : "article-journal", "volume" : "67" }, "uris" : [ "http://www.mendeley.com/documents/?uuid=6de8126b-f68d-472d-994c-a6aae13e352d" ] }, { "id" : "ITEM-2", "itemData" : { "DOI" : "10.1016/j.ijhcs.2006.11.018", "author" : [ { "dropping-particle" : "", "family" : "Hassanein", "given" : "Khaled", "non-dropping-particle" : "", "parse-names" : false, "suffix" : "" }, { "dropping-particle" : "", "family" : "Head", "given" : "M.", "non-dropping-particle" : "", "parse-names" : false, "suffix" : "" } ], "container-title" : "International Journal of Human-Computer Studies", "id" : "ITEM-2", "issue" : "8", "issued" : { "date-parts" : [ [ "2007" ] ] }, "page" : "689\u2013708", "publisher" : "Elsevier", "title" : "Manipulating perceived social presence through the web interface and its impact on attitude towards online shopping", "type" : "article-journal", "volume" : "65" }, "uris" : [ "http://www.mendeley.com/documents/?uuid=4258cb91-a580-453a-a437-eca3b7558a6c" ] } ], "mendeley" : { "previouslyFormattedCitation" : "(Cyr, Head, &amp; Ivanov, 2009; Hassanein &amp; Head, 2007)" }, "properties" : { "noteIndex" : 0 }, "schema" : "https://github.com/citation-style-language/schema/raw/master/csl-citation.json" }</w:instrText>
      </w:r>
      <w:r w:rsidRPr="00BC081A">
        <w:fldChar w:fldCharType="separate"/>
      </w:r>
      <w:r w:rsidRPr="00BC081A">
        <w:rPr>
          <w:noProof/>
        </w:rPr>
        <w:t>(Cyr, Head, &amp; Ivanov, 2009; Hassanein &amp; Head, 2007)</w:t>
      </w:r>
      <w:r w:rsidRPr="00BC081A">
        <w:fldChar w:fldCharType="end"/>
      </w:r>
      <w:r w:rsidRPr="00BC081A">
        <w:t xml:space="preserve">. Social Facilitation Theory (SFT) </w:t>
      </w:r>
      <w:r w:rsidRPr="00BC081A">
        <w:fldChar w:fldCharType="begin" w:fldLock="1"/>
      </w:r>
      <w:r w:rsidR="00AC1F7D">
        <w:instrText>ADDIN CSL_CITATION { "citationItems" : [ { "id" : "ITEM-1", "itemData" : { "ISBN" : "2819650716", "author" : [ { "dropping-particle" : "", "family" : "Zajonc", "given" : "R.B.", "non-dropping-particle" : "", "parse-names" : false, "suffix" : "" } ], "container-title" : "Science", "id" : "ITEM-1", "issue" : "3681", "issued" : { "date-parts" : [ [ "1965" ] ] }, "page" : "269\u2013274", "title" : "Social facilitation", "type" : "article-journal", "volume" : "149" }, "uris" : [ "http://www.mendeley.com/documents/?uuid=44c52905-a8ff-4311-bcf9-35a8c28f3619" ] } ], "mendeley" : { "previouslyFormattedCitation" : "(Zajonc, 1965)" }, "properties" : { "noteIndex" : 0 }, "schema" : "https://github.com/citation-style-language/schema/raw/master/csl-citation.json" }</w:instrText>
      </w:r>
      <w:r w:rsidRPr="00BC081A">
        <w:fldChar w:fldCharType="separate"/>
      </w:r>
      <w:r w:rsidRPr="00BC081A">
        <w:rPr>
          <w:noProof/>
        </w:rPr>
        <w:t>(Zajonc, 1965)</w:t>
      </w:r>
      <w:r w:rsidRPr="00BC081A">
        <w:fldChar w:fldCharType="end"/>
      </w:r>
      <w:r w:rsidRPr="00BC081A">
        <w:t xml:space="preserve"> posits that the presence of others triggers the motivation to compete, and consequently, how people evaluate competitiveness of an environment. Moreover, previous research has shown the presence of others to directly affect people’s competitive behaviour </w:t>
      </w:r>
      <w:r w:rsidRPr="00BC081A">
        <w:fldChar w:fldCharType="begin" w:fldLock="1"/>
      </w:r>
      <w:r w:rsidR="00AC1F7D">
        <w:instrText>ADDIN CSL_CITATION { "citationItems" : [ { "id" : "ITEM-1", "itemData" : { "author" : [ { "dropping-particle" : "", "family" : "Garcia", "given" : "S.M.", "non-dropping-particle" : "", "parse-names" : false, "suffix" : "" }, { "dropping-particle" : "", "family" : "Tor", "given" : "A.", "non-dropping-particle" : "", "parse-names" : false, "suffix" : "" } ], "container-title" : "Psychological Science", "id" : "ITEM-1", "issue" : "7", "issued" : { "date-parts" : [ [ "2009" ] ] }, "page" : "871\u2013877", "publisher" : "Wiley Online Library", "title" : "The N-Effect: More Competitiors, Less Competition", "type" : "article-journal", "volume" : "20" }, "uris" : [ "http://www.mendeley.com/documents/?uuid=7e76c0b5-ff5e-47c5-b81c-b38c3af6bfa2" ] } ], "mendeley" : { "previouslyFormattedCitation" : "(Garcia &amp; Tor, 2009)" }, "properties" : { "noteIndex" : 0 }, "schema" : "https://github.com/citation-style-language/schema/raw/master/csl-citation.json" }</w:instrText>
      </w:r>
      <w:r w:rsidRPr="00BC081A">
        <w:fldChar w:fldCharType="separate"/>
      </w:r>
      <w:r w:rsidRPr="00BC081A">
        <w:rPr>
          <w:noProof/>
        </w:rPr>
        <w:t>(Garcia &amp; Tor, 2009)</w:t>
      </w:r>
      <w:r w:rsidRPr="00BC081A">
        <w:fldChar w:fldCharType="end"/>
      </w:r>
      <w:r w:rsidRPr="00BC081A">
        <w:t xml:space="preserve">, indicating a salient effect of social presence on the perception of competitiveness.  In other words, “social comparison processes fuel the motivation to compete” </w:t>
      </w:r>
      <w:r w:rsidRPr="00BC081A">
        <w:rPr>
          <w:noProof/>
        </w:rPr>
        <w:t>(ibid. p. 5)</w:t>
      </w:r>
      <w:r w:rsidRPr="00BC081A">
        <w:t>. Thus,</w:t>
      </w:r>
    </w:p>
    <w:p w14:paraId="7D440794" w14:textId="4B440865" w:rsidR="009503F5" w:rsidRPr="00BC081A" w:rsidRDefault="009503F5" w:rsidP="009503F5">
      <w:pPr>
        <w:pStyle w:val="Hypothesis"/>
        <w:ind w:firstLine="0"/>
        <w:rPr>
          <w:lang w:val="en-CA"/>
        </w:rPr>
      </w:pPr>
      <w:r w:rsidRPr="00BC081A">
        <w:rPr>
          <w:b/>
          <w:lang w:val="en-CA"/>
        </w:rPr>
        <w:t xml:space="preserve">Hypothesis 7: </w:t>
      </w:r>
      <w:r w:rsidRPr="00BC081A">
        <w:rPr>
          <w:lang w:val="en-CA"/>
        </w:rPr>
        <w:t xml:space="preserve">Higher perceptions of Social Presence will increase </w:t>
      </w:r>
      <w:r w:rsidR="005624B9" w:rsidRPr="00BC081A">
        <w:rPr>
          <w:lang w:val="en-CA"/>
        </w:rPr>
        <w:t>Situational</w:t>
      </w:r>
      <w:r w:rsidRPr="00BC081A">
        <w:rPr>
          <w:lang w:val="en-CA"/>
        </w:rPr>
        <w:t xml:space="preserve"> Competitiveness of video game experience.</w:t>
      </w:r>
    </w:p>
    <w:p w14:paraId="7391669D" w14:textId="77777777" w:rsidR="002D5519" w:rsidRDefault="009503F5" w:rsidP="00653A2D">
      <w:r w:rsidRPr="00BC081A">
        <w:t>In video gameplay, players can have various modes of competitive playing. Some games, for example sandbox or open world games, provide immense freedom for players to explore and build new things. In these types of games, players do not have a means for comparison with other individuals, providing no medium for competition. In other types of games, which provide competitive elements, competition can be seen in three forms. In some video games, the game includes intelligent agents that can play sophisticatedly against a human player. Thus, they create a mode of competition against the computer. In other situations where games can be played with multiple users, players can compete against one another. In this case, the mode of competition can be</w:t>
      </w:r>
      <w:r w:rsidR="004C321B">
        <w:t xml:space="preserve"> divided into two modes that are defined</w:t>
      </w:r>
      <w:r w:rsidRPr="00BC081A">
        <w:t xml:space="preserve"> by the relationship between the players; that is, the mode of competition can be categorized as competition against one’s friend or a stranger.</w:t>
      </w:r>
    </w:p>
    <w:p w14:paraId="35E3A2CA" w14:textId="7BEBD6F4" w:rsidR="009503F5" w:rsidRPr="00BC081A" w:rsidRDefault="002D5519" w:rsidP="00653A2D">
      <w:r>
        <w:t xml:space="preserve">In addition to the four modes mentioned above, one might argue that there exists another mode of competition </w:t>
      </w:r>
      <w:r w:rsidR="00DA43CB">
        <w:t>where</w:t>
      </w:r>
      <w:r>
        <w:t xml:space="preserve"> game does not include any explicit form of competition, yet the player is involved in competing against </w:t>
      </w:r>
      <w:r w:rsidR="00DA43CB">
        <w:t xml:space="preserve">him/herself </w:t>
      </w:r>
      <w:r>
        <w:t xml:space="preserve">in order to improve </w:t>
      </w:r>
      <w:r w:rsidR="00DA43CB">
        <w:t xml:space="preserve">his/her </w:t>
      </w:r>
      <w:r>
        <w:t xml:space="preserve">performance. </w:t>
      </w:r>
      <w:r>
        <w:lastRenderedPageBreak/>
        <w:t xml:space="preserve">However, this </w:t>
      </w:r>
      <w:r w:rsidR="00DA43CB">
        <w:t>potential competition mode is</w:t>
      </w:r>
      <w:r>
        <w:t xml:space="preserve"> subjective </w:t>
      </w:r>
      <w:r w:rsidR="00DA43CB">
        <w:t xml:space="preserve">in nature and </w:t>
      </w:r>
      <w:r>
        <w:t xml:space="preserve">cannot be objectively manipulated in the same fashion as the earlier mentioned modes. In fact, the four modes of competition discussed here can be controlled, whereas competition against </w:t>
      </w:r>
      <w:r w:rsidR="00DA43CB">
        <w:t xml:space="preserve">one’s </w:t>
      </w:r>
      <w:r>
        <w:t xml:space="preserve">self </w:t>
      </w:r>
      <w:proofErr w:type="gramStart"/>
      <w:r w:rsidR="00DA43CB">
        <w:t>can not</w:t>
      </w:r>
      <w:proofErr w:type="gramEnd"/>
      <w:r w:rsidR="00DA43CB">
        <w:t xml:space="preserve"> be controlled and can only be </w:t>
      </w:r>
      <w:r>
        <w:t>measured through self-report or some psychophysiological measures.</w:t>
      </w:r>
    </w:p>
    <w:p w14:paraId="78E8FA1E" w14:textId="3DB2635E" w:rsidR="009503F5" w:rsidRPr="00BC081A" w:rsidRDefault="009503F5" w:rsidP="009503F5">
      <w:pPr>
        <w:ind w:firstLine="0"/>
      </w:pPr>
      <w:r w:rsidRPr="00BC081A">
        <w:tab/>
      </w:r>
      <w:r w:rsidRPr="00BC081A">
        <w:fldChar w:fldCharType="begin" w:fldLock="1"/>
      </w:r>
      <w:r w:rsidR="00AC1F7D">
        <w:instrText>ADDIN CSL_CITATION { "citationItems" : [ { "id" : "ITEM-1", "itemData" : { "DOI" : "10.1287/orsc.9.2.160", "ISSN" : "1047-7039", "author" : [ { "dropping-particle" : "", "family" : "Straub", "given" : "Detmar W.", "non-dropping-particle" : "", "parse-names" : false, "suffix" : "" }, { "dropping-particle" : "", "family" : "Karahanna", "given" : "Elena", "non-dropping-particle" : "", "parse-names" : false, "suffix" : "" } ], "container-title" : "Organization Science", "id" : "ITEM-1", "issue" : "2", "issued" : { "date-parts" : [ [ "1998", "3", "1" ] ] }, "page" : "160-175", "title" : "Knowledge Worker Communications and Recipient Availability: Toward a Task Closure Explanation of Media Choice", "type" : "article-journal", "volume" : "9" }, "uris" : [ "http://www.mendeley.com/documents/?uuid=37bf2c0b-cc48-472f-844a-da86993bbaf0" ] } ], "mendeley" : { "manualFormatting" : "Straub &amp; Karahanna (1998)", "previouslyFormattedCitation" : "(Straub &amp; Karahanna, 1998)" }, "properties" : { "noteIndex" : 0 }, "schema" : "https://github.com/citation-style-language/schema/raw/master/csl-citation.json" }</w:instrText>
      </w:r>
      <w:r w:rsidRPr="00BC081A">
        <w:fldChar w:fldCharType="separate"/>
      </w:r>
      <w:r w:rsidRPr="00BC081A">
        <w:rPr>
          <w:noProof/>
        </w:rPr>
        <w:t>Straub &amp; Karahanna (1998)</w:t>
      </w:r>
      <w:r w:rsidRPr="00BC081A">
        <w:fldChar w:fldCharType="end"/>
      </w:r>
      <w:r w:rsidRPr="00BC081A">
        <w:t xml:space="preserve"> propose that the richer the communication medium between people is, the higher the perceptions of social presence. In the context of video games, this communication medium can include competition mode (communicating/competing with no one, with a computer or with a real person). In situations where gamers are aware of playing against a </w:t>
      </w:r>
      <w:proofErr w:type="gramStart"/>
      <w:r w:rsidRPr="00BC081A">
        <w:t>real</w:t>
      </w:r>
      <w:proofErr w:type="gramEnd"/>
      <w:r w:rsidRPr="00BC081A">
        <w:t xml:space="preserve"> person, it has been shown that they report higher levels of presence</w:t>
      </w:r>
      <w:r w:rsidR="00532CCE">
        <w:rPr>
          <w:rStyle w:val="FootnoteReference"/>
        </w:rPr>
        <w:footnoteReference w:id="13"/>
      </w:r>
      <w:r w:rsidRPr="00BC081A">
        <w:t xml:space="preserve">, Flow, and enjoyment </w:t>
      </w:r>
      <w:r w:rsidRPr="00BC081A">
        <w:fldChar w:fldCharType="begin" w:fldLock="1"/>
      </w:r>
      <w:r w:rsidR="00AC1F7D">
        <w:instrText>ADDIN CSL_CITATION { "citationItems" : [ { "id" : "ITEM-1", "itemData" : { "DOI" : "10.1016/j.chb.2007.11.002", "ISSN" : "07475632", "author" : [ { "dropping-particle" : "", "family" : "Weibel", "given" : "D", "non-dropping-particle" : "", "parse-names" : false, "suffix" : "" }, { "dropping-particle" : "", "family" : "Wissmath", "given" : "B", "non-dropping-particle" : "", "parse-names" : false, "suffix" : "" }, { "dropping-particle" : "", "family" : "Habegger", "given" : "S", "non-dropping-particle" : "", "parse-names" : false, "suffix" : "" }, { "dropping-particle" : "", "family" : "Steiner", "given" : "Y", "non-dropping-particle" : "", "parse-names" : false, "suffix" : "" }, { "dropping-particle" : "", "family" : "Groner", "given" : "R", "non-dropping-particle" : "", "parse-names" : false, "suffix" : "" } ], "container-title" : "Computers in Human Behavior", "id" : "ITEM-1", "issue" : "5", "issued" : { "date-parts" : [ [ "2008", "9" ] ] }, "page" : "2274-2291", "title" : "Playing online games against computer- vs. human-controlled opponents: Effects on presence, flow, and enjoyment", "type" : "article-journal", "volume" : "24" }, "uris" : [ "http://www.mendeley.com/documents/?uuid=01e515f2-1deb-46e2-9a3d-dd6f08624b13" ] } ], "mendeley" : { "manualFormatting" : "(Weibel, Wissmath, Habegger, Steiner, &amp; Groner, 2008)", "previouslyFormattedCitation" : "(D Weibel, Wissmath, Habegger, Steiner, &amp; Groner, 2008)" }, "properties" : { "noteIndex" : 0 }, "schema" : "https://github.com/citation-style-language/schema/raw/master/csl-citation.json" }</w:instrText>
      </w:r>
      <w:r w:rsidRPr="00BC081A">
        <w:fldChar w:fldCharType="separate"/>
      </w:r>
      <w:r w:rsidR="00653A2D">
        <w:rPr>
          <w:noProof/>
        </w:rPr>
        <w:t>(</w:t>
      </w:r>
      <w:r w:rsidR="00696E58" w:rsidRPr="00696E58">
        <w:rPr>
          <w:noProof/>
        </w:rPr>
        <w:t>Weibel, Wissmath, Habegger, Steiner, &amp; Groner, 2008)</w:t>
      </w:r>
      <w:r w:rsidRPr="00BC081A">
        <w:fldChar w:fldCharType="end"/>
      </w:r>
      <w:r w:rsidRPr="00BC081A">
        <w:t xml:space="preserve">. Similarly, </w:t>
      </w:r>
      <w:r w:rsidRPr="00BC081A">
        <w:fldChar w:fldCharType="begin" w:fldLock="1"/>
      </w:r>
      <w:r w:rsidR="00AC1F7D">
        <w:instrText>ADDIN CSL_CITATION { "citationItems" : [ { "id" : "ITEM-1", "itemData" : { "DOI" : "10.1162/pres.15.4.381", "ISSN" : "1054-7460", "author" : [ { "dropping-particle" : "", "family" : "Ravaja", "given" : "Niklas", "non-dropping-particle" : "", "parse-names" : false, "suffix" : "" }, { "dropping-particle" : "", "family" : "Saari", "given" : "Timo", "non-dropping-particle" : "", "parse-names" : false, "suffix" : "" }, { "dropping-particle" : "", "family" : "Turpeinen", "given" : "Marko", "non-dropping-particle" : "", "parse-names" : false, "suffix" : "" }, { "dropping-particle" : "", "family" : "Laarni", "given" : "Jari", "non-dropping-particle" : "", "parse-names" : false, "suffix" : "" }, { "dropping-particle" : "", "family" : "Salminen", "given" : "Mikko", "non-dropping-particle" : "", "parse-names" : false, "suffix" : "" }, { "dropping-particle" : "", "family" : "Kivikangas", "given" : "Matias", "non-dropping-particle" : "", "parse-names" : false, "suffix" : "" } ], "container-title" : "Presence: Teleoperators and Virtual Environments", "id" : "ITEM-1", "issue" : "4", "issued" : { "date-parts" : [ [ "2006", "8" ] ] }, "page" : "381-392", "title" : "Spatial Presence and Emotions during Video Game Playing: Does It Matter with Whom You Play?", "type" : "article-journal", "volume" : "15" }, "uris" : [ "http://www.mendeley.com/documents/?uuid=2f31f848-2c6e-4c66-982b-31f77631bcbb" ] } ], "mendeley" : { "manualFormatting" : "Ravaja et al. (2006)", "previouslyFormattedCitation" : "(Ravaja et al., 2006)" }, "properties" : { "noteIndex" : 0 }, "schema" : "https://github.com/citation-style-language/schema/raw/master/csl-citation.json" }</w:instrText>
      </w:r>
      <w:r w:rsidRPr="00BC081A">
        <w:fldChar w:fldCharType="separate"/>
      </w:r>
      <w:r w:rsidRPr="00BC081A">
        <w:rPr>
          <w:noProof/>
        </w:rPr>
        <w:t>Ravaja et al. (2006)</w:t>
      </w:r>
      <w:r w:rsidRPr="00BC081A">
        <w:fldChar w:fldCharType="end"/>
      </w:r>
      <w:r w:rsidRPr="00BC081A">
        <w:t xml:space="preserve"> have shown that playing video games with human opponents, compared to computer opponents, causes higher levels of emotional involvement, measured by presence, engagement, and arousal (physiological and self-reported). </w:t>
      </w:r>
      <w:r w:rsidRPr="00BC081A">
        <w:fldChar w:fldCharType="begin" w:fldLock="1"/>
      </w:r>
      <w:r w:rsidR="00AC1F7D">
        <w:instrText>ADDIN CSL_CITATION { "citationItems" : [ { "id" : "ITEM-1", "itemData" : { "DOI" : "10.1162/pres.15.4.381", "ISSN" : "1054-7460", "author" : [ { "dropping-particle" : "", "family" : "Ravaja", "given" : "Niklas", "non-dropping-particle" : "", "parse-names" : false, "suffix" : "" }, { "dropping-particle" : "", "family" : "Saari", "given" : "Timo", "non-dropping-particle" : "", "parse-names" : false, "suffix" : "" }, { "dropping-particle" : "", "family" : "Turpeinen", "given" : "Marko", "non-dropping-particle" : "", "parse-names" : false, "suffix" : "" }, { "dropping-particle" : "", "family" : "Laarni", "given" : "Jari", "non-dropping-particle" : "", "parse-names" : false, "suffix" : "" }, { "dropping-particle" : "", "family" : "Salminen", "given" : "Mikko", "non-dropping-particle" : "", "parse-names" : false, "suffix" : "" }, { "dropping-particle" : "", "family" : "Kivikangas", "given" : "Matias", "non-dropping-particle" : "", "parse-names" : false, "suffix" : "" } ], "container-title" : "Presence: Teleoperators and Virtual Environments", "id" : "ITEM-1", "issue" : "4", "issued" : { "date-parts" : [ [ "2006", "8" ] ] }, "page" : "381-392", "title" : "Spatial Presence and Emotions during Video Game Playing: Does It Matter with Whom You Play?", "type" : "article-journal", "volume" : "15" }, "uris" : [ "http://www.mendeley.com/documents/?uuid=2f31f848-2c6e-4c66-982b-31f77631bcbb" ] } ], "mendeley" : { "manualFormatting" : "Ravaja et al. (2006)", "previouslyFormattedCitation" : "(Ravaja et al., 2006)" }, "properties" : { "noteIndex" : 0 }, "schema" : "https://github.com/citation-style-language/schema/raw/master/csl-citation.json" }</w:instrText>
      </w:r>
      <w:r w:rsidRPr="00BC081A">
        <w:fldChar w:fldCharType="separate"/>
      </w:r>
      <w:r w:rsidRPr="00BC081A">
        <w:rPr>
          <w:noProof/>
        </w:rPr>
        <w:t>Ravaja et al. (2006)</w:t>
      </w:r>
      <w:r w:rsidRPr="00BC081A">
        <w:fldChar w:fldCharType="end"/>
      </w:r>
      <w:r w:rsidRPr="00BC081A">
        <w:t xml:space="preserve"> also found that playing against friends has a deeper level of emotional involvement compared to playing against strangers. Thus, </w:t>
      </w:r>
      <w:r w:rsidR="00653A2D">
        <w:t>it is</w:t>
      </w:r>
      <w:r w:rsidRPr="00BC081A">
        <w:t xml:space="preserve"> hypothesize</w:t>
      </w:r>
      <w:r w:rsidR="00653A2D">
        <w:t>d that</w:t>
      </w:r>
      <w:r w:rsidRPr="00BC081A">
        <w:t>:</w:t>
      </w:r>
    </w:p>
    <w:p w14:paraId="1CD04FD4" w14:textId="7CAA5E4F" w:rsidR="009503F5" w:rsidRPr="00BC081A" w:rsidRDefault="009503F5" w:rsidP="009503F5">
      <w:pPr>
        <w:pStyle w:val="Hypothesis"/>
        <w:ind w:firstLine="0"/>
        <w:rPr>
          <w:lang w:val="en-CA"/>
        </w:rPr>
      </w:pPr>
      <w:r w:rsidRPr="00BC081A">
        <w:rPr>
          <w:b/>
          <w:lang w:val="en-CA"/>
        </w:rPr>
        <w:t xml:space="preserve">Hypothesis 8: </w:t>
      </w:r>
      <w:r w:rsidRPr="00BC081A">
        <w:rPr>
          <w:lang w:val="en-CA"/>
        </w:rPr>
        <w:t>Diffe</w:t>
      </w:r>
      <w:r w:rsidR="009B23C9">
        <w:rPr>
          <w:lang w:val="en-CA"/>
        </w:rPr>
        <w:t xml:space="preserve">rent Competition Modes </w:t>
      </w:r>
      <w:r w:rsidR="009B23C9">
        <w:rPr>
          <w:lang w:val="en-CA"/>
        </w:rPr>
        <w:softHyphen/>
        <w:t>– no competition,</w:t>
      </w:r>
      <w:r w:rsidRPr="00BC081A">
        <w:rPr>
          <w:lang w:val="en-CA"/>
        </w:rPr>
        <w:t xml:space="preserve"> competing against computer</w:t>
      </w:r>
      <w:r w:rsidR="009B23C9">
        <w:rPr>
          <w:lang w:val="en-CA"/>
        </w:rPr>
        <w:t>,</w:t>
      </w:r>
      <w:r w:rsidRPr="00BC081A">
        <w:rPr>
          <w:lang w:val="en-CA"/>
        </w:rPr>
        <w:t xml:space="preserve"> competing against human strangers</w:t>
      </w:r>
      <w:r w:rsidR="009B23C9">
        <w:rPr>
          <w:lang w:val="en-CA"/>
        </w:rPr>
        <w:t>,</w:t>
      </w:r>
      <w:r w:rsidRPr="00BC081A">
        <w:rPr>
          <w:lang w:val="en-CA"/>
        </w:rPr>
        <w:t xml:space="preserve"> </w:t>
      </w:r>
      <w:r w:rsidR="009B23C9">
        <w:rPr>
          <w:lang w:val="en-CA"/>
        </w:rPr>
        <w:t xml:space="preserve">and </w:t>
      </w:r>
      <w:r w:rsidRPr="00BC081A">
        <w:rPr>
          <w:lang w:val="en-CA"/>
        </w:rPr>
        <w:t>competing agai</w:t>
      </w:r>
      <w:r w:rsidR="009B23C9">
        <w:rPr>
          <w:lang w:val="en-CA"/>
        </w:rPr>
        <w:t>nst human acquaintances/friends –</w:t>
      </w:r>
      <w:r w:rsidRPr="00BC081A">
        <w:rPr>
          <w:lang w:val="en-CA"/>
        </w:rPr>
        <w:t xml:space="preserve"> will </w:t>
      </w:r>
      <w:r w:rsidR="009B23C9">
        <w:rPr>
          <w:lang w:val="en-CA"/>
        </w:rPr>
        <w:t xml:space="preserve">yield progressively </w:t>
      </w:r>
      <w:r w:rsidR="00D576E8">
        <w:rPr>
          <w:lang w:val="en-CA"/>
        </w:rPr>
        <w:t xml:space="preserve">more </w:t>
      </w:r>
      <w:r w:rsidR="009B23C9">
        <w:rPr>
          <w:lang w:val="en-CA"/>
        </w:rPr>
        <w:t xml:space="preserve">increased </w:t>
      </w:r>
      <w:r w:rsidR="00D576E8">
        <w:rPr>
          <w:lang w:val="en-CA"/>
        </w:rPr>
        <w:t xml:space="preserve">perceived Social Presence </w:t>
      </w:r>
      <w:r w:rsidRPr="00BC081A">
        <w:rPr>
          <w:lang w:val="en-CA"/>
        </w:rPr>
        <w:t>in a video games experience.</w:t>
      </w:r>
    </w:p>
    <w:p w14:paraId="730323E3" w14:textId="6727AFEE" w:rsidR="009503F5" w:rsidRPr="00BC081A" w:rsidRDefault="009503F5" w:rsidP="002A714D">
      <w:r w:rsidRPr="00BC081A">
        <w:t xml:space="preserve">As previously mentioned (for hypothesis 5), competition can be situational or characterized as a personality trait.  Individuals who possess a competitive personality trait or </w:t>
      </w:r>
      <w:r w:rsidRPr="00BC081A">
        <w:lastRenderedPageBreak/>
        <w:t>attitude are termed</w:t>
      </w:r>
      <w:r w:rsidR="00E74BA9">
        <w:t xml:space="preserve"> Dispositionally Competitive</w:t>
      </w:r>
      <w:r w:rsidRPr="00BC081A">
        <w:t xml:space="preserve"> </w:t>
      </w:r>
      <w:r w:rsidRPr="00BC081A">
        <w:fldChar w:fldCharType="begin" w:fldLock="1"/>
      </w:r>
      <w:r w:rsidR="00AC1F7D">
        <w:instrText>ADDIN CSL_CITATION { "citationItems" : [ { "id" : "ITEM-1", "itemData" : { "ISSN" : "0022-3514", "PMID" : "9418284", "abstract" : "The performance of individuals within groups, and of groups as units, is the product of immediate goal structures and personality differences pertinent to those goals among group members. A level-of-analysis approach linked the dimension of agreeableness to situated competitiveness and task performance in group settings. Hypotheses were (a) individual differences in self-rated and other-rated competitiveness are related (inversely) to the Big Five dimension of agreeableness, (b) immediately situated promotive and contrient goal structures influence self-ratings of competitiveness, (c) immediate goal structures differentially activate competitiveness to affect task performance in groups, and (d) agreeableness effects on task performance are partially mediated by competitiveness. Structural equation modeling corroborated hypotheses about the links among agreeableness, competitiveness, and task performance.", "author" : [ { "dropping-particle" : "", "family" : "Graziano", "given" : "William G", "non-dropping-particle" : "", "parse-names" : false, "suffix" : "" }, { "dropping-particle" : "", "family" : "Hair", "given" : "Elizabeth C", "non-dropping-particle" : "", "parse-names" : false, "suffix" : "" }, { "dropping-particle" : "", "family" : "Finch", "given" : "John F", "non-dropping-particle" : "", "parse-names" : false, "suffix" : "" } ], "container-title" : "Journal of Personality and Social Psychology", "id" : "ITEM-1", "issue" : "6", "issued" : { "date-parts" : [ [ "1997", "12" ] ] }, "page" : "1394-1408", "title" : "Competitiveness Mediates the Link Between Personality and Group Performance", "type" : "article-journal", "volume" : "73" }, "uris" : [ "http://www.mendeley.com/documents/?uuid=49f4b737-da09-418c-9500-20e1b4cb54a4" ] } ], "mendeley" : { "previouslyFormattedCitation" : "(Graziano et al., 1997)" }, "properties" : { "noteIndex" : 0 }, "schema" : "https://github.com/citation-style-language/schema/raw/master/csl-citation.json" }</w:instrText>
      </w:r>
      <w:r w:rsidRPr="00BC081A">
        <w:fldChar w:fldCharType="separate"/>
      </w:r>
      <w:r w:rsidRPr="00BC081A">
        <w:rPr>
          <w:noProof/>
        </w:rPr>
        <w:t>(Graziano et al., 1997)</w:t>
      </w:r>
      <w:r w:rsidRPr="00BC081A">
        <w:fldChar w:fldCharType="end"/>
      </w:r>
      <w:r w:rsidRPr="00BC081A">
        <w:t xml:space="preserve">. Early research has showed that </w:t>
      </w:r>
      <w:r w:rsidR="00E74BA9">
        <w:t>D</w:t>
      </w:r>
      <w:r w:rsidRPr="00BC081A">
        <w:t xml:space="preserve">ispositionally </w:t>
      </w:r>
      <w:r w:rsidR="00E74BA9">
        <w:t>C</w:t>
      </w:r>
      <w:r w:rsidRPr="00BC081A">
        <w:t xml:space="preserve">ompetitive people are more likely to perceive other people and situations as competitive and elicit competitive behaviour </w:t>
      </w:r>
      <w:r w:rsidRPr="00BC081A">
        <w:fldChar w:fldCharType="begin" w:fldLock="1"/>
      </w:r>
      <w:r w:rsidR="00AC1F7D">
        <w:instrText>ADDIN CSL_CITATION { "citationItems" : [ { "id" : "ITEM-1", "itemData" : { "DOI" : "10.1037/h0029849", "ISSN" : "0022-3514", "author" : [ { "dropping-particle" : "", "family" : "Kelley", "given" : "Harold H.", "non-dropping-particle" : "", "parse-names" : false, "suffix" : "" }, { "dropping-particle" : "", "family" : "Stahelski", "given" : "Anthony J.", "non-dropping-particle" : "", "parse-names" : false, "suffix" : "" } ], "container-title" : "Journal of Personality and Social Psychology", "id" : "ITEM-1", "issue" : "1", "issued" : { "date-parts" : [ [ "1970" ] ] }, "page" : "66-91", "title" : "Social interaction basis of cooperators' and competitors' beliefs about others.", "type" : "article-journal", "volume" : "16" }, "uris" : [ "http://www.mendeley.com/documents/?uuid=260c01aa-e475-4d85-98d9-a4cf07a149a4" ] } ], "mendeley" : { "previouslyFormattedCitation" : "(Kelley &amp; Stahelski, 1970)" }, "properties" : { "noteIndex" : 0 }, "schema" : "https://github.com/citation-style-language/schema/raw/master/csl-citation.json" }</w:instrText>
      </w:r>
      <w:r w:rsidRPr="00BC081A">
        <w:fldChar w:fldCharType="separate"/>
      </w:r>
      <w:r w:rsidRPr="00BC081A">
        <w:rPr>
          <w:noProof/>
        </w:rPr>
        <w:t>(Kelley &amp; Stahelski, 1970)</w:t>
      </w:r>
      <w:r w:rsidRPr="00BC081A">
        <w:fldChar w:fldCharType="end"/>
      </w:r>
      <w:r w:rsidRPr="00BC081A">
        <w:t xml:space="preserve">. Individuals with higher orientation towards achievement are more intrinsically motivated through competition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Pr="00BC081A">
        <w:fldChar w:fldCharType="separate"/>
      </w:r>
      <w:r w:rsidR="00AC1F7D" w:rsidRPr="00AC1F7D">
        <w:rPr>
          <w:noProof/>
        </w:rPr>
        <w:t>(Tauer &amp; Harackiewicz, 1999)</w:t>
      </w:r>
      <w:r w:rsidRPr="00BC081A">
        <w:fldChar w:fldCharType="end"/>
      </w:r>
      <w:r w:rsidRPr="00BC081A">
        <w:t xml:space="preserve">. Additionally, how people react to the challenge of an IT task is dependent on their personal characteristics and their condition while performing the computer task </w:t>
      </w:r>
      <w:r w:rsidRPr="00BC081A">
        <w:fldChar w:fldCharType="begin" w:fldLock="1"/>
      </w:r>
      <w:r w:rsidR="00AC1F7D">
        <w:instrText>ADDIN CSL_CITATION { "citationItems" : [ { "id" : "ITEM-1", "itemData" : { "author" : [ { "dropping-particle" : "", "family" : "Ghani", "given" : "J.A.", "non-dropping-particle" : "", "parse-names" : false, "suffix" : "" }, { "dropping-particle" : "", "family" : "Deshpande", "given" : "S.P.", "non-dropping-particle" : "", "parse-names" : false, "suffix" : "" } ], "container-title" : "the journal of psychology", "id" : "ITEM-1", "issue" : "4", "issued" : { "date-parts" : [ [ "1994" ] ] }, "page" : "381\u2013391", "publisher" : "Taylor &amp; Francis", "title" : "Task Characteristics and the Experience of Optimal Flow in Human\u2014Computer Interaction", "type" : "article-journal", "volume" : "128" }, "uris" : [ "http://www.mendeley.com/documents/?uuid=542d672d-b87e-427f-a67f-b744aa0a00ab" ] } ], "mendeley" : { "previouslyFormattedCitation" : "(Ghani &amp; Deshpande, 1994)" }, "properties" : { "noteIndex" : 0 }, "schema" : "https://github.com/citation-style-language/schema/raw/master/csl-citation.json" }</w:instrText>
      </w:r>
      <w:r w:rsidRPr="00BC081A">
        <w:fldChar w:fldCharType="separate"/>
      </w:r>
      <w:r w:rsidRPr="00BC081A">
        <w:rPr>
          <w:noProof/>
        </w:rPr>
        <w:t>(Ghani &amp; Deshpande, 1994)</w:t>
      </w:r>
      <w:r w:rsidRPr="00BC081A">
        <w:fldChar w:fldCharType="end"/>
      </w:r>
      <w:r w:rsidRPr="00BC081A">
        <w:t>. Among gamblers, personality trait</w:t>
      </w:r>
      <w:r w:rsidR="003F003F">
        <w:t>s</w:t>
      </w:r>
      <w:r w:rsidRPr="00BC081A">
        <w:t xml:space="preserve"> has an important effect in the level of arousal they seek and enjoy </w:t>
      </w:r>
      <w:r w:rsidRPr="00BC081A">
        <w:fldChar w:fldCharType="begin" w:fldLock="1"/>
      </w:r>
      <w:r w:rsidR="00AC1F7D">
        <w:instrText>ADDIN CSL_CITATION { "citationItems" : [ { "id" : "ITEM-1", "itemData" : { "ISSN" : "0965-2140", "PMID" : "8485432", "abstract" : "Male off-course bettors were assessed using: the Sensation-Seeking Scale (SSS) Form V, two measures of subjective arousal while betting, and questions concerning chasing, preferences for gambling activities and other aspects of betting behaviour. The SSS was also administered to a random sample of the male general population of Glasgow, together with questions concerning preferences for gambling activities to allow comparison between regular gamblers and the general population. In comparison with the general population and with non-gamblers, off-course bettors scored lower on SSS; gamblers preferring the casino and/or the race-track scored higher on SSS; gamblers betting on many different forms scored higher on SSS. A further analysis produced a cluster of variables among off-course bettors associated with impaired control of gambling, among which both SSS scores and chasing were prominent features.", "author" : [ { "dropping-particle" : "", "family" : "Coventry", "given" : "K R", "non-dropping-particle" : "", "parse-names" : false, "suffix" : "" }, { "dropping-particle" : "", "family" : "Brown", "given" : "R I", "non-dropping-particle" : "", "parse-names" : false, "suffix" : "" } ], "container-title" : "Addiction (Abingdon, England)", "id" : "ITEM-1", "issue" : "4", "issued" : { "date-parts" : [ [ "1993", "4" ] ] }, "page" : "541-54", "title" : "Sensation seeking, gambling and gambling addictions.", "type" : "article-journal", "volume" : "88" }, "uris" : [ "http://www.mendeley.com/documents/?uuid=28d43dde-43f0-47a2-bda4-6ee81bf62506" ] } ], "mendeley" : { "previouslyFormattedCitation" : "(Coventry &amp; Brown, 1993)" }, "properties" : { "noteIndex" : 0 }, "schema" : "https://github.com/citation-style-language/schema/raw/master/csl-citation.json" }</w:instrText>
      </w:r>
      <w:r w:rsidRPr="00BC081A">
        <w:fldChar w:fldCharType="separate"/>
      </w:r>
      <w:r w:rsidRPr="00BC081A">
        <w:rPr>
          <w:noProof/>
        </w:rPr>
        <w:t>(Coventry &amp; Brown, 1993)</w:t>
      </w:r>
      <w:r w:rsidRPr="00BC081A">
        <w:fldChar w:fldCharType="end"/>
      </w:r>
      <w:r w:rsidRPr="00BC081A">
        <w:t xml:space="preserve">, which </w:t>
      </w:r>
      <w:r w:rsidR="00D27F97">
        <w:t>it is expected</w:t>
      </w:r>
      <w:r w:rsidRPr="00BC081A">
        <w:t xml:space="preserve"> to be similar among gamers. </w:t>
      </w:r>
      <w:r w:rsidRPr="00BC081A">
        <w:rPr>
          <w:noProof/>
        </w:rPr>
        <w:fldChar w:fldCharType="begin" w:fldLock="1"/>
      </w:r>
      <w:r w:rsidR="00AC1F7D">
        <w:rPr>
          <w:noProof/>
        </w:rPr>
        <w:instrText>ADDIN CSL_CITATION { "citationItems" : [ { "id" : "ITEM-1", "itemData" : { "DOI" : "10.1111/j.1083-6101.2008.00428.x", "ISSN" : "10836101", "author" : [ { "dropping-particle" : "", "family" : "Williams", "given" : "Dmitri", "non-dropping-particle" : "", "parse-names" : false, "suffix" : "" }, { "dropping-particle" : "", "family" : "Yee", "given" : "Nick", "non-dropping-particle" : "", "parse-names" : false, "suffix" : "" }, { "dropping-particle" : "", "family" : "Caplan", "given" : "Scott E.", "non-dropping-particle" : "", "parse-names" : false, "suffix" : "" } ], "container-title" : "Journal of Computer-Mediated Communication", "id" : "ITEM-1", "issue" : "4", "issued" : { "date-parts" : [ [ "2008", "7" ] ] }, "page" : "993-1018", "title" : "Who plays, how much, and why? Debunking the stereotypical gamer profile", "type" : "article-journal", "volume" : "13" }, "uris" : [ "http://www.mendeley.com/documents/?uuid=69dced29-761d-41b7-97de-999f7c5dc42b" ] } ], "mendeley" : { "manualFormatting" : "Williams, Yee, &amp; Caplan (2008)", "previouslyFormattedCitation" : "(Williams et al., 2008)" }, "properties" : { "noteIndex" : 0 }, "schema" : "https://github.com/citation-style-language/schema/raw/master/csl-citation.json" }</w:instrText>
      </w:r>
      <w:r w:rsidRPr="00BC081A">
        <w:rPr>
          <w:noProof/>
        </w:rPr>
        <w:fldChar w:fldCharType="separate"/>
      </w:r>
      <w:r w:rsidRPr="00BC081A">
        <w:rPr>
          <w:noProof/>
        </w:rPr>
        <w:t>Williams, Yee, &amp; Caplan (2008)</w:t>
      </w:r>
      <w:r w:rsidRPr="00BC081A">
        <w:rPr>
          <w:noProof/>
        </w:rPr>
        <w:fldChar w:fldCharType="end"/>
      </w:r>
      <w:r w:rsidRPr="00BC081A">
        <w:t xml:space="preserve"> further explain: “a player seeking to achieve and compete might process stimuli or model behaviours differently than someone interested in role play and immersion” (p. 1008). Previous research has also shown that people’s motivation to compete significantly predicts how competitive they perceive a game to be </w:t>
      </w:r>
      <w:r w:rsidRPr="00BC081A">
        <w:fldChar w:fldCharType="begin" w:fldLock="1"/>
      </w:r>
      <w:r w:rsidR="00AC1F7D">
        <w:instrText>ADDIN CSL_CITATION { "citationItems" : [ { "id" : "ITEM-1", "itemData" : { "author" : [ { "dropping-particle" : "", "family" : "Vorderer", "given" : "Peter", "non-dropping-particle" : "", "parse-names" : false, "suffix" : "" }, { "dropping-particle" : "", "family" : "Hartmann", "given" : "Tilo", "non-dropping-particle" : "", "parse-names" : false, "suffix" : "" }, { "dropping-particle" : "", "family" : "Klimmt", "given" : "Christoph", "non-dropping-particle" : "", "parse-names" : false, "suffix" : "" } ], "container-title" : "Proceedings of the second international conference on Entertainment computing", "id" : "ITEM-1", "issued" : { "date-parts" : [ [ "2003" ] ] }, "page" : "1-9", "title" : "Proceedings of the second international conference on Entertainment computing", "type" : "article-journal" }, "uris" : [ "http://www.mendeley.com/documents/?uuid=b268495a-6450-4e5e-885a-dfa2b25500ab" ] } ], "mendeley" : { "previouslyFormattedCitation" : "(Vorderer et al., 2003b)" }, "properties" : { "noteIndex" : 0 }, "schema" : "https://github.com/citation-style-language/schema/raw/master/csl-citation.json" }</w:instrText>
      </w:r>
      <w:r w:rsidRPr="00BC081A">
        <w:fldChar w:fldCharType="separate"/>
      </w:r>
      <w:r w:rsidRPr="00BC081A">
        <w:rPr>
          <w:noProof/>
        </w:rPr>
        <w:t>(Vorderer et al., 2003b)</w:t>
      </w:r>
      <w:r w:rsidRPr="00BC081A">
        <w:fldChar w:fldCharType="end"/>
      </w:r>
      <w:r w:rsidRPr="00BC081A">
        <w:t>. On the other hand, situational competitiveness (introduced in H2</w:t>
      </w:r>
      <w:proofErr w:type="gramStart"/>
      <w:r w:rsidRPr="00BC081A">
        <w:t>),</w:t>
      </w:r>
      <w:proofErr w:type="gramEnd"/>
      <w:r w:rsidRPr="00BC081A">
        <w:t xml:space="preserve"> is affected by various contextual criteria. Based on Social Comparison Theory </w:t>
      </w:r>
      <w:r w:rsidRPr="00BC081A">
        <w:rPr>
          <w:noProof/>
        </w:rPr>
        <w:fldChar w:fldCharType="begin" w:fldLock="1"/>
      </w:r>
      <w:r w:rsidR="00AC1F7D">
        <w:rPr>
          <w:noProof/>
        </w:rPr>
        <w:instrText>ADDIN CSL_CITATION { "citationItems" : [ { "id" : "ITEM-1", "itemData" : { "author" : [ { "dropping-particle" : "", "family" : "Festinger", "given" : "Leon", "non-dropping-particle" : "", "parse-names" : false, "suffix" : "" } ], "container-title" : "Human relations", "id" : "ITEM-1", "issue" : "2", "issued" : { "date-parts" : [ [ "1954" ] ] }, "page" : "117-140", "publisher" : "Bobbs-Merrill", "title" : "A theory of social comparison processes", "type" : "article-journal", "volume" : "7" }, "uris" : [ "http://www.mendeley.com/documents/?uuid=ca4fef55-77b2-4d55-85ca-ef9635357392" ] } ], "mendeley" : { "previouslyFormattedCitation" : "(Festinger, 1954)" }, "properties" : { "noteIndex" : 0 }, "schema" : "https://github.com/citation-style-language/schema/raw/master/csl-citation.json" }</w:instrText>
      </w:r>
      <w:r w:rsidRPr="00BC081A">
        <w:rPr>
          <w:noProof/>
        </w:rPr>
        <w:fldChar w:fldCharType="separate"/>
      </w:r>
      <w:r w:rsidRPr="00BC081A">
        <w:rPr>
          <w:noProof/>
        </w:rPr>
        <w:t>(Festinger, 1954)</w:t>
      </w:r>
      <w:r w:rsidRPr="00BC081A">
        <w:rPr>
          <w:noProof/>
        </w:rPr>
        <w:fldChar w:fldCharType="end"/>
      </w:r>
      <w:r w:rsidRPr="00BC081A">
        <w:t>, an important contextual criterion is comparison with other people. It is expected that, in a social setting, the closer the relationship among participants in a competitive task is, the greater the comparison and perceptions of competition. Thus:</w:t>
      </w:r>
    </w:p>
    <w:p w14:paraId="5A84A197" w14:textId="34B058AE" w:rsidR="009503F5" w:rsidRPr="00BC081A" w:rsidRDefault="009503F5" w:rsidP="009503F5">
      <w:pPr>
        <w:ind w:left="720" w:firstLine="0"/>
      </w:pPr>
      <w:r w:rsidRPr="00BC081A">
        <w:rPr>
          <w:b/>
        </w:rPr>
        <w:t xml:space="preserve">Hypothesis 9: </w:t>
      </w:r>
      <w:r w:rsidRPr="00BC081A">
        <w:t xml:space="preserve">Different Competition Modes </w:t>
      </w:r>
      <w:r w:rsidR="00D576E8">
        <w:t>– no competition,</w:t>
      </w:r>
      <w:r w:rsidR="00D576E8" w:rsidRPr="00BC081A">
        <w:t xml:space="preserve"> competing against computer</w:t>
      </w:r>
      <w:r w:rsidR="00D576E8">
        <w:t>,</w:t>
      </w:r>
      <w:r w:rsidR="00D576E8" w:rsidRPr="00BC081A">
        <w:t xml:space="preserve"> competing against human strangers</w:t>
      </w:r>
      <w:r w:rsidR="00D576E8">
        <w:t>,</w:t>
      </w:r>
      <w:r w:rsidR="00D576E8" w:rsidRPr="00BC081A">
        <w:t xml:space="preserve"> </w:t>
      </w:r>
      <w:r w:rsidR="00D576E8">
        <w:t xml:space="preserve">and </w:t>
      </w:r>
      <w:r w:rsidR="00D576E8" w:rsidRPr="00BC081A">
        <w:t>competing agai</w:t>
      </w:r>
      <w:r w:rsidR="00D576E8">
        <w:t>nst human acquaintances/friends –</w:t>
      </w:r>
      <w:r w:rsidR="00D576E8" w:rsidRPr="00BC081A">
        <w:t xml:space="preserve"> will </w:t>
      </w:r>
      <w:r w:rsidR="00D576E8">
        <w:t xml:space="preserve">yield progressively more increased </w:t>
      </w:r>
      <w:r w:rsidR="005624B9" w:rsidRPr="00BC081A">
        <w:t>Situational</w:t>
      </w:r>
      <w:r w:rsidRPr="00BC081A">
        <w:t xml:space="preserve"> Competitiveness</w:t>
      </w:r>
      <w:r w:rsidR="00D576E8">
        <w:t xml:space="preserve"> </w:t>
      </w:r>
      <w:r w:rsidRPr="00BC081A">
        <w:t>in a video game experience.</w:t>
      </w:r>
    </w:p>
    <w:p w14:paraId="582692F7" w14:textId="6AB4A66B" w:rsidR="009503F5" w:rsidRPr="00BC081A" w:rsidRDefault="009503F5" w:rsidP="00D517AC">
      <w:pPr>
        <w:pStyle w:val="Hypothesis"/>
        <w:ind w:firstLine="0"/>
        <w:rPr>
          <w:rFonts w:asciiTheme="majorHAnsi" w:eastAsiaTheme="majorEastAsia" w:hAnsiTheme="majorHAnsi" w:cstheme="majorBidi"/>
          <w:b/>
          <w:bCs/>
          <w:caps/>
          <w:color w:val="345A8A" w:themeColor="accent1" w:themeShade="B5"/>
          <w:sz w:val="30"/>
          <w:szCs w:val="32"/>
        </w:rPr>
      </w:pPr>
      <w:r w:rsidRPr="00BC081A">
        <w:rPr>
          <w:b/>
          <w:lang w:val="en-CA"/>
        </w:rPr>
        <w:t xml:space="preserve">Hypothesis 10: </w:t>
      </w:r>
      <w:r w:rsidRPr="00BC081A">
        <w:rPr>
          <w:lang w:val="en-CA"/>
        </w:rPr>
        <w:t xml:space="preserve">Individuals with higher levels of </w:t>
      </w:r>
      <w:r w:rsidR="00B56387" w:rsidRPr="00BC081A">
        <w:rPr>
          <w:lang w:val="en-CA"/>
        </w:rPr>
        <w:t>Dispositional</w:t>
      </w:r>
      <w:r w:rsidRPr="00BC081A">
        <w:rPr>
          <w:lang w:val="en-CA"/>
        </w:rPr>
        <w:t xml:space="preserve"> Competitiveness will experience higher </w:t>
      </w:r>
      <w:r w:rsidR="005624B9" w:rsidRPr="00BC081A">
        <w:rPr>
          <w:lang w:val="en-CA"/>
        </w:rPr>
        <w:t>Situational</w:t>
      </w:r>
      <w:r w:rsidRPr="00BC081A">
        <w:rPr>
          <w:lang w:val="en-CA"/>
        </w:rPr>
        <w:t xml:space="preserve"> Competitiveness in a video game environment.</w:t>
      </w:r>
    </w:p>
    <w:p w14:paraId="40EE4BD6" w14:textId="33DAF070" w:rsidR="00E45FDB" w:rsidRPr="00BC081A" w:rsidRDefault="00E45FDB" w:rsidP="00352572">
      <w:pPr>
        <w:pStyle w:val="Heading1"/>
      </w:pPr>
      <w:bookmarkStart w:id="55" w:name="_Toc275209825"/>
      <w:r w:rsidRPr="00BC081A">
        <w:lastRenderedPageBreak/>
        <w:t>Research Methodology</w:t>
      </w:r>
      <w:bookmarkEnd w:id="55"/>
    </w:p>
    <w:p w14:paraId="4AC0A611" w14:textId="69B28057" w:rsidR="00D576E8" w:rsidRPr="00706197" w:rsidRDefault="00E45FDB" w:rsidP="00E45FDB">
      <w:r w:rsidRPr="00706197">
        <w:t>This chapter explains the research methodology that was used to address this study’s research</w:t>
      </w:r>
      <w:r w:rsidR="00E400F5" w:rsidRPr="00706197">
        <w:t xml:space="preserve"> objectives</w:t>
      </w:r>
      <w:r w:rsidRPr="00706197">
        <w:t xml:space="preserve"> and validate the </w:t>
      </w:r>
      <w:r w:rsidR="00A402C1" w:rsidRPr="00706197">
        <w:t xml:space="preserve">theoretical </w:t>
      </w:r>
      <w:r w:rsidRPr="00706197">
        <w:t xml:space="preserve">model that was presented in the previous chapter. Prior to </w:t>
      </w:r>
      <w:r w:rsidR="004B6580">
        <w:t xml:space="preserve">the </w:t>
      </w:r>
      <w:r w:rsidRPr="00706197">
        <w:t>development of</w:t>
      </w:r>
      <w:r w:rsidR="00E400F5" w:rsidRPr="00706197">
        <w:t xml:space="preserve"> the final model, a preliminary</w:t>
      </w:r>
      <w:r w:rsidRPr="00706197">
        <w:t xml:space="preserve"> study</w:t>
      </w:r>
      <w:r w:rsidR="00D576E8" w:rsidRPr="00706197">
        <w:t>, composed</w:t>
      </w:r>
      <w:r w:rsidRPr="00706197">
        <w:t xml:space="preserve"> of one focus group and one longitudinal survey on an educational competitive game</w:t>
      </w:r>
      <w:r w:rsidR="00A402C1" w:rsidRPr="00706197">
        <w:t>,</w:t>
      </w:r>
      <w:r w:rsidRPr="00706197">
        <w:t xml:space="preserve"> w</w:t>
      </w:r>
      <w:r w:rsidR="00A402C1" w:rsidRPr="00706197">
        <w:t>as</w:t>
      </w:r>
      <w:r w:rsidRPr="00706197">
        <w:t xml:space="preserve"> conducted in order to </w:t>
      </w:r>
      <w:r w:rsidR="00284BDB" w:rsidRPr="00706197">
        <w:t>provide initial support for the proposed theoretical model and inform the full study procedures</w:t>
      </w:r>
      <w:r w:rsidR="00706197" w:rsidRPr="00706197">
        <w:t xml:space="preserve">  (discussed in Appendix 2)</w:t>
      </w:r>
      <w:r w:rsidRPr="00706197">
        <w:t xml:space="preserve">. </w:t>
      </w:r>
      <w:r w:rsidR="00DF188A" w:rsidRPr="00706197">
        <w:t xml:space="preserve">This </w:t>
      </w:r>
      <w:r w:rsidR="00A402C1" w:rsidRPr="00706197">
        <w:t>preliminary</w:t>
      </w:r>
      <w:r w:rsidR="00DF188A" w:rsidRPr="00706197">
        <w:t xml:space="preserve"> study helped to understand the construct of Flow better and</w:t>
      </w:r>
      <w:r w:rsidR="004B6580">
        <w:t xml:space="preserve"> to</w:t>
      </w:r>
      <w:r w:rsidR="00DF188A" w:rsidRPr="00706197">
        <w:t xml:space="preserve"> identify when it is </w:t>
      </w:r>
      <w:r w:rsidR="004B6580">
        <w:t xml:space="preserve">likely to be </w:t>
      </w:r>
      <w:r w:rsidR="00DF188A" w:rsidRPr="00706197">
        <w:t xml:space="preserve">highest </w:t>
      </w:r>
      <w:r w:rsidR="00843A00" w:rsidRPr="00706197">
        <w:t xml:space="preserve">during </w:t>
      </w:r>
      <w:r w:rsidR="00DF188A" w:rsidRPr="00706197">
        <w:t xml:space="preserve">the process of competition. </w:t>
      </w:r>
    </w:p>
    <w:p w14:paraId="79C0C313" w14:textId="01B65123" w:rsidR="00E45FDB" w:rsidRPr="00BC081A" w:rsidRDefault="00DF188A" w:rsidP="00706197">
      <w:r w:rsidRPr="00706197">
        <w:t>The main study</w:t>
      </w:r>
      <w:r w:rsidR="00D576E8" w:rsidRPr="00706197">
        <w:t xml:space="preserve"> </w:t>
      </w:r>
      <w:r w:rsidRPr="00706197">
        <w:t xml:space="preserve">was further refined through a pilot study, which provided procedural insights and reaffirmed when Flow is at its highest peak in the context of </w:t>
      </w:r>
      <w:r w:rsidR="00D74F09" w:rsidRPr="00706197">
        <w:t xml:space="preserve">the </w:t>
      </w:r>
      <w:r w:rsidRPr="00706197">
        <w:t>specific game used in the main experiment.</w:t>
      </w:r>
      <w:r w:rsidRPr="00BC081A">
        <w:t xml:space="preserve"> </w:t>
      </w:r>
    </w:p>
    <w:p w14:paraId="7308A979" w14:textId="77777777" w:rsidR="00E45FDB" w:rsidRPr="00BC081A" w:rsidRDefault="00E45FDB" w:rsidP="00E45FDB">
      <w:pPr>
        <w:pStyle w:val="Heading3"/>
      </w:pPr>
      <w:bookmarkStart w:id="56" w:name="_Toc275209826"/>
      <w:r w:rsidRPr="00BC081A">
        <w:t>Data Collection Procedure</w:t>
      </w:r>
      <w:bookmarkEnd w:id="56"/>
    </w:p>
    <w:p w14:paraId="2E5A690A" w14:textId="07276475" w:rsidR="00E45FDB" w:rsidRPr="00BC081A" w:rsidRDefault="00E45FDB" w:rsidP="00E45FDB">
      <w:pPr>
        <w:tabs>
          <w:tab w:val="left" w:pos="1495"/>
        </w:tabs>
      </w:pPr>
      <w:r w:rsidRPr="00BC081A">
        <w:t>An experiment was designed to examine the manipulation of four competition modes:  (1) no competition, (2) competition with the computer, (3) competition with a human stranger opponent, and (4) c</w:t>
      </w:r>
      <w:r w:rsidR="00DF08B7" w:rsidRPr="00BC081A">
        <w:t xml:space="preserve">ompetition with a human friend. </w:t>
      </w:r>
      <w:r w:rsidRPr="00BC081A">
        <w:t>Participant</w:t>
      </w:r>
      <w:r w:rsidR="00622BB9" w:rsidRPr="00BC081A">
        <w:t>s were recruited from the student population of a major Canadian university</w:t>
      </w:r>
      <w:r w:rsidRPr="00BC081A">
        <w:t xml:space="preserve">. Students are a suitable sample for this study as they have significant interest and experience in gaming </w:t>
      </w:r>
      <w:r w:rsidRPr="00BC081A">
        <w:rPr>
          <w:noProof/>
        </w:rPr>
        <w:fldChar w:fldCharType="begin" w:fldLock="1"/>
      </w:r>
      <w:r w:rsidR="00AC1F7D">
        <w:rPr>
          <w:noProof/>
        </w:rPr>
        <w:instrText>ADDIN CSL_CITATION { "citationItems" : [ { "id" : "ITEM-1", "itemData" : { "author" : [ { "dropping-particle" : "", "family" : "Beck", "given" : "J C", "non-dropping-particle" : "", "parse-names" : false, "suffix" : "" }, { "dropping-particle" : "", "family" : "Wade", "given" : "M", "non-dropping-particle" : "", "parse-names" : false, "suffix" : "" } ], "id" : "ITEM-1", "issued" : { "date-parts" : [ [ "2006" ] ] }, "publisher" : "Harvard Business Press", "title" : "The kids are alright: How the gamer generation is changing the workplace", "type" : "book" }, "uris" : [ "http://www.mendeley.com/documents/?uuid=7f7bfc96-ffad-4483-8e7c-e4a9871a73af" ] } ], "mendeley" : { "previouslyFormattedCitation" : "(Beck &amp; Wade, 2006)" }, "properties" : { "noteIndex" : 0 }, "schema" : "https://github.com/citation-style-language/schema/raw/master/csl-citation.json" }</w:instrText>
      </w:r>
      <w:r w:rsidRPr="00BC081A">
        <w:rPr>
          <w:noProof/>
        </w:rPr>
        <w:fldChar w:fldCharType="separate"/>
      </w:r>
      <w:r w:rsidRPr="00BC081A">
        <w:rPr>
          <w:noProof/>
        </w:rPr>
        <w:t>(Beck &amp; Wade, 2006)</w:t>
      </w:r>
      <w:r w:rsidRPr="00BC081A">
        <w:rPr>
          <w:noProof/>
        </w:rPr>
        <w:fldChar w:fldCharType="end"/>
      </w:r>
      <w:r w:rsidRPr="00BC081A">
        <w:rPr>
          <w:noProof/>
        </w:rPr>
        <w:t>, and they represent the Millenial generation that is the focus of this research investigation</w:t>
      </w:r>
      <w:r w:rsidRPr="00BC081A">
        <w:t xml:space="preserve">. 114 students were recruited for the experiment, which is more than the required sample size for PLS analysis given the number of constructs and construct items in the model </w:t>
      </w:r>
      <w:r w:rsidRPr="00BC081A">
        <w:rPr>
          <w:noProof/>
        </w:rPr>
        <w:fldChar w:fldCharType="begin" w:fldLock="1"/>
      </w:r>
      <w:r w:rsidR="00AC1F7D">
        <w:rPr>
          <w:noProof/>
        </w:rPr>
        <w:instrText>ADDIN CSL_CITATION { "citationItems" : [ { "id" : "ITEM-1", "itemData" : { "author" : [ { "dropping-particle" : "", "family" : "Gefen", "given" : "David", "non-dropping-particle" : "", "parse-names" : false, "suffix" : "" }, { "dropping-particle" : "", "family" : "Straub", "given" : "Detmar W.", "non-dropping-particle" : "", "parse-names" : false, "suffix" : "" }, { "dropping-particle" : "", "family" : "Boudreau", "given" : "M C", "non-dropping-particle" : "", "parse-names" : false, "suffix" : "" } ], "container-title" : "Communications of the Association for Information Systems", "id" : "ITEM-1", "issue" : "1", "issued" : { "date-parts" : [ [ "2000" ] ] }, "page" : "7", "title" : "Structural equation modeling and regression: Guidelines for research practice", "type" : "article-journal", "volume" : "4" }, "uris" : [ "http://www.mendeley.com/documents/?uuid=bc756ac6-0259-4b5b-9efb-aca984bd47fd" ] } ], "mendeley" : { "previouslyFormattedCitation" : "(Gefen, Straub, &amp; Boudreau, 2000)" }, "properties" : { "noteIndex" : 0 }, "schema" : "https://github.com/citation-style-language/schema/raw/master/csl-citation.json" }</w:instrText>
      </w:r>
      <w:r w:rsidRPr="00BC081A">
        <w:rPr>
          <w:noProof/>
        </w:rPr>
        <w:fldChar w:fldCharType="separate"/>
      </w:r>
      <w:r w:rsidRPr="00BC081A">
        <w:rPr>
          <w:noProof/>
        </w:rPr>
        <w:t>(Gefen, Straub, &amp; Boudreau, 2000)</w:t>
      </w:r>
      <w:r w:rsidRPr="00BC081A">
        <w:rPr>
          <w:noProof/>
        </w:rPr>
        <w:fldChar w:fldCharType="end"/>
      </w:r>
      <w:r w:rsidRPr="00BC081A">
        <w:t xml:space="preserve"> and provides adequate power for an acceptable effect size</w:t>
      </w:r>
      <w:r w:rsidR="00444815">
        <w:t xml:space="preserve"> that is </w:t>
      </w:r>
      <w:r w:rsidR="00862E48">
        <w:t xml:space="preserve">going to be illustrated </w:t>
      </w:r>
      <w:r w:rsidR="00444815">
        <w:t>in the next chapter</w:t>
      </w:r>
      <w:r w:rsidRPr="00BC081A">
        <w:t xml:space="preserve"> </w:t>
      </w:r>
      <w:r w:rsidRPr="00BC081A">
        <w:rPr>
          <w:noProof/>
        </w:rPr>
        <w:fldChar w:fldCharType="begin" w:fldLock="1"/>
      </w:r>
      <w:r w:rsidR="00AC1F7D">
        <w:rPr>
          <w:noProof/>
        </w:rPr>
        <w:instrText>ADDIN CSL_CITATION { "citationItems" : [ { "id" : "ITEM-1", "itemData" : { "ISSN" : "1554-351X", "PMID" : "17695343", "abstract" : "G*Power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chi2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 "author" : [ { "dropping-particle" : "", "family" : "Faul", "given" : "Franz", "non-dropping-particle" : "", "parse-names" : false, "suffix" : "" }, { "dropping-particle" : "", "family" : "Erdfelder", "given" : "Edgar", "non-dropping-particle" : "", "parse-names" : false, "suffix" : "" }, { "dropping-particle" : "", "family" : "Lang", "given" : "Albert-Georg", "non-dropping-particle" : "", "parse-names" : false, "suffix" : "" }, { "dropping-particle" : "", "family" : "Buchner", "given" : "Axel", "non-dropping-particle" : "", "parse-names" : false, "suffix" : "" } ], "container-title" : "Behavior research methods", "id" : "ITEM-1", "issue" : "2", "issued" : { "date-parts" : [ [ "2007", "5" ] ] }, "page" : "175-91", "title" : "G*Power 3: a flexible statistical power analysis program for the social, behavioral, and biomedical sciences.", "type" : "article-journal", "volume" : "39" }, "uris" : [ "http://www.mendeley.com/documents/?uuid=09621dcb-57ba-4ac8-9b88-70f65315567b" ] } ], "mendeley" : { "previouslyFormattedCitation" : "(Faul, Erdfelder, Lang, &amp; Buchner, 2007)" }, "properties" : { "noteIndex" : 0 }, "schema" : "https://github.com/citation-style-language/schema/raw/master/csl-citation.json" }</w:instrText>
      </w:r>
      <w:r w:rsidRPr="00BC081A">
        <w:rPr>
          <w:noProof/>
        </w:rPr>
        <w:fldChar w:fldCharType="separate"/>
      </w:r>
      <w:r w:rsidRPr="00BC081A">
        <w:rPr>
          <w:noProof/>
        </w:rPr>
        <w:t>(Faul, Erdfelder, Lang, &amp; Buchner, 2007)</w:t>
      </w:r>
      <w:r w:rsidRPr="00BC081A">
        <w:rPr>
          <w:noProof/>
        </w:rPr>
        <w:fldChar w:fldCharType="end"/>
      </w:r>
      <w:r w:rsidRPr="00BC081A">
        <w:t xml:space="preserve">. As described in the next chapter, post-hoc power analysis also showed that the achieved power for mean differences between the </w:t>
      </w:r>
      <w:r w:rsidRPr="00BC081A">
        <w:lastRenderedPageBreak/>
        <w:t>independent variable of competition mode (i.e.</w:t>
      </w:r>
      <w:r w:rsidR="00E30D01" w:rsidRPr="00BC081A">
        <w:t xml:space="preserve"> </w:t>
      </w:r>
      <w:r w:rsidRPr="00BC081A">
        <w:t xml:space="preserve">Social Presence and Situational Competitiveness) were statistically significant, showing that </w:t>
      </w:r>
      <w:r w:rsidR="00653A2D">
        <w:t>the</w:t>
      </w:r>
      <w:r w:rsidRPr="00BC081A">
        <w:t xml:space="preserve"> sample size was appropriate for analyses</w:t>
      </w:r>
      <w:r w:rsidR="003D40C4">
        <w:t xml:space="preserve"> of this research</w:t>
      </w:r>
      <w:r w:rsidRPr="00BC081A">
        <w:t>.</w:t>
      </w:r>
    </w:p>
    <w:p w14:paraId="5D7C75A1" w14:textId="77777777" w:rsidR="00E45FDB" w:rsidRPr="00BC081A" w:rsidRDefault="00E45FDB" w:rsidP="00E45FDB">
      <w:pPr>
        <w:pStyle w:val="Heading3"/>
      </w:pPr>
      <w:bookmarkStart w:id="57" w:name="_Toc275209827"/>
      <w:r w:rsidRPr="00BC081A">
        <w:t>Pilot Study</w:t>
      </w:r>
      <w:bookmarkEnd w:id="57"/>
      <w:r w:rsidRPr="00BC081A">
        <w:t xml:space="preserve"> </w:t>
      </w:r>
    </w:p>
    <w:p w14:paraId="0AB988E5" w14:textId="20DAEAE4" w:rsidR="00E45FDB" w:rsidRPr="00BC081A" w:rsidRDefault="00E45FDB" w:rsidP="00E45FDB">
      <w:r w:rsidRPr="00BC081A">
        <w:t xml:space="preserve">Prior to the main study’s data collection, a pilot study was conducted with 19 students. The purpose of the pilot study was to test and refine the measurements that </w:t>
      </w:r>
      <w:r w:rsidR="00E30D01" w:rsidRPr="00BC081A">
        <w:t xml:space="preserve">were </w:t>
      </w:r>
      <w:r w:rsidRPr="00BC081A">
        <w:t xml:space="preserve">adapted from extant literature. Additionally, after each interval of gameplay, a mini-survey of challenge, skill, and Flow were given to the participants (shown in </w:t>
      </w:r>
      <w:r w:rsidRPr="00BC081A">
        <w:rPr>
          <w:i/>
        </w:rPr>
        <w:t>Table 1)</w:t>
      </w:r>
      <w:r w:rsidRPr="00BC081A">
        <w:t xml:space="preserve">. Through this technique the average timeframe that is proper for evaluating the proposed model during Flow state </w:t>
      </w:r>
      <w:r w:rsidR="00D27F97">
        <w:t xml:space="preserve">could be identified </w:t>
      </w:r>
      <w:r w:rsidRPr="00BC081A">
        <w:t>and the potential negative consequences of winning/losing predictions</w:t>
      </w:r>
      <w:r w:rsidR="00D27F97">
        <w:t xml:space="preserve"> could be</w:t>
      </w:r>
      <w:r w:rsidR="00D27F97" w:rsidRPr="00BC081A">
        <w:t xml:space="preserve"> avoid</w:t>
      </w:r>
      <w:r w:rsidR="00D27F97">
        <w:t>ed</w:t>
      </w:r>
      <w:r w:rsidRPr="00BC081A">
        <w:t xml:space="preserve">. </w:t>
      </w:r>
      <w:r w:rsidR="00D27F97">
        <w:t xml:space="preserve">It was </w:t>
      </w:r>
      <w:r w:rsidRPr="00BC081A">
        <w:t xml:space="preserve">expected </w:t>
      </w:r>
      <w:r w:rsidR="00D27F97">
        <w:t xml:space="preserve">that </w:t>
      </w:r>
      <w:r w:rsidRPr="00BC081A">
        <w:t xml:space="preserve">the learning curve </w:t>
      </w:r>
      <w:r w:rsidR="00D27F97">
        <w:t xml:space="preserve">would </w:t>
      </w:r>
      <w:r w:rsidRPr="00BC081A">
        <w:t>flatten after a certain number of gameplaying</w:t>
      </w:r>
      <w:r w:rsidR="00002215">
        <w:t xml:space="preserve"> repetitions</w:t>
      </w:r>
      <w:r w:rsidRPr="00BC081A">
        <w:t xml:space="preserve">, where Flow would be at its highest </w:t>
      </w:r>
      <w:r w:rsidR="00723EE9" w:rsidRPr="00BC081A">
        <w:t>p</w:t>
      </w:r>
      <w:r w:rsidR="00723EE9">
        <w:t>eak</w:t>
      </w:r>
      <w:r w:rsidRPr="00BC081A">
        <w:t>. Through the pilot study, however, different intervals were tested to find the best point during the game to give the survey to the participants. Moreover, the pilot study helped us to resolve potential technical or procedural issues</w:t>
      </w:r>
      <w:r w:rsidR="00E30D01" w:rsidRPr="00BC081A">
        <w:t xml:space="preserve"> via open-ended questions.</w:t>
      </w:r>
      <w:r w:rsidRPr="00BC081A">
        <w:t xml:space="preserve"> </w:t>
      </w:r>
    </w:p>
    <w:p w14:paraId="0AC55FC8" w14:textId="77777777" w:rsidR="00E45FDB" w:rsidRPr="00BC081A" w:rsidRDefault="00E45FDB" w:rsidP="00C92D78">
      <w:pPr>
        <w:pStyle w:val="Caption"/>
      </w:pPr>
      <w:r w:rsidRPr="00BC081A">
        <w:t>Table 1 – Mini-Survey for Pilot Study (Adapted from Pearce et al., 2005)</w:t>
      </w:r>
    </w:p>
    <w:tbl>
      <w:tblPr>
        <w:tblStyle w:val="TableGrid"/>
        <w:tblW w:w="0" w:type="auto"/>
        <w:tblLook w:val="04A0" w:firstRow="1" w:lastRow="0" w:firstColumn="1" w:lastColumn="0" w:noHBand="0" w:noVBand="1"/>
      </w:tblPr>
      <w:tblGrid>
        <w:gridCol w:w="3369"/>
        <w:gridCol w:w="6207"/>
      </w:tblGrid>
      <w:tr w:rsidR="00E45FDB" w:rsidRPr="00BC081A" w14:paraId="26991011" w14:textId="77777777" w:rsidTr="008C71FB">
        <w:trPr>
          <w:trHeight w:val="399"/>
        </w:trPr>
        <w:tc>
          <w:tcPr>
            <w:tcW w:w="3369" w:type="dxa"/>
            <w:shd w:val="clear" w:color="auto" w:fill="F2F2F2" w:themeFill="background1" w:themeFillShade="F2"/>
            <w:vAlign w:val="center"/>
          </w:tcPr>
          <w:p w14:paraId="50F84409" w14:textId="77777777" w:rsidR="00E45FDB" w:rsidRPr="00BC081A" w:rsidRDefault="00E45FDB" w:rsidP="00FC3905">
            <w:pPr>
              <w:spacing w:line="240" w:lineRule="auto"/>
              <w:ind w:firstLine="0"/>
              <w:jc w:val="center"/>
            </w:pPr>
            <w:r w:rsidRPr="00BC081A">
              <w:t>Construct</w:t>
            </w:r>
          </w:p>
        </w:tc>
        <w:tc>
          <w:tcPr>
            <w:tcW w:w="6207" w:type="dxa"/>
            <w:shd w:val="clear" w:color="auto" w:fill="F2F2F2" w:themeFill="background1" w:themeFillShade="F2"/>
            <w:vAlign w:val="center"/>
          </w:tcPr>
          <w:p w14:paraId="5F56F8F1" w14:textId="77777777" w:rsidR="00E45FDB" w:rsidRPr="00BC081A" w:rsidRDefault="00E45FDB" w:rsidP="00FC3905">
            <w:pPr>
              <w:spacing w:line="240" w:lineRule="auto"/>
              <w:ind w:firstLine="0"/>
              <w:jc w:val="center"/>
            </w:pPr>
            <w:r w:rsidRPr="00BC081A">
              <w:t>Question</w:t>
            </w:r>
          </w:p>
        </w:tc>
      </w:tr>
      <w:tr w:rsidR="00E45FDB" w:rsidRPr="00BC081A" w14:paraId="72A2ADBB" w14:textId="77777777" w:rsidTr="008C71FB">
        <w:trPr>
          <w:trHeight w:val="559"/>
        </w:trPr>
        <w:tc>
          <w:tcPr>
            <w:tcW w:w="3369" w:type="dxa"/>
            <w:shd w:val="clear" w:color="auto" w:fill="F2F2F2" w:themeFill="background1" w:themeFillShade="F2"/>
            <w:vAlign w:val="center"/>
          </w:tcPr>
          <w:p w14:paraId="590A1FD6" w14:textId="77777777" w:rsidR="00E45FDB" w:rsidRPr="00BC081A" w:rsidRDefault="00E45FDB" w:rsidP="00FC3905">
            <w:pPr>
              <w:spacing w:line="240" w:lineRule="auto"/>
              <w:ind w:firstLine="0"/>
              <w:jc w:val="center"/>
              <w:rPr>
                <w:b/>
              </w:rPr>
            </w:pPr>
            <w:r w:rsidRPr="00BC081A">
              <w:rPr>
                <w:b/>
              </w:rPr>
              <w:t>General Statement</w:t>
            </w:r>
          </w:p>
        </w:tc>
        <w:tc>
          <w:tcPr>
            <w:tcW w:w="6207" w:type="dxa"/>
          </w:tcPr>
          <w:p w14:paraId="74742F67" w14:textId="77777777" w:rsidR="00E45FDB" w:rsidRPr="00BC081A" w:rsidRDefault="00E45FDB" w:rsidP="00FC3905">
            <w:pPr>
              <w:pStyle w:val="TableContext"/>
              <w:spacing w:line="360" w:lineRule="auto"/>
              <w:rPr>
                <w:lang w:val="en-CA"/>
              </w:rPr>
            </w:pPr>
            <w:r w:rsidRPr="00BC081A">
              <w:rPr>
                <w:lang w:val="en-CA"/>
              </w:rPr>
              <w:t xml:space="preserve">You have completed one stage of the game. </w:t>
            </w:r>
          </w:p>
          <w:p w14:paraId="284B7A61" w14:textId="77777777" w:rsidR="00E45FDB" w:rsidRPr="00BC081A" w:rsidRDefault="00E45FDB" w:rsidP="00FC3905">
            <w:pPr>
              <w:pStyle w:val="TableContext"/>
              <w:spacing w:line="360" w:lineRule="auto"/>
              <w:rPr>
                <w:lang w:val="en-CA"/>
              </w:rPr>
            </w:pPr>
            <w:r w:rsidRPr="00BC081A">
              <w:rPr>
                <w:lang w:val="en-CA"/>
              </w:rPr>
              <w:t xml:space="preserve">Before you continue please answer the following: </w:t>
            </w:r>
          </w:p>
        </w:tc>
      </w:tr>
      <w:tr w:rsidR="00E45FDB" w:rsidRPr="00BC081A" w14:paraId="1D17B11F" w14:textId="77777777" w:rsidTr="008C71FB">
        <w:trPr>
          <w:trHeight w:val="339"/>
        </w:trPr>
        <w:tc>
          <w:tcPr>
            <w:tcW w:w="3369" w:type="dxa"/>
            <w:shd w:val="clear" w:color="auto" w:fill="F2F2F2" w:themeFill="background1" w:themeFillShade="F2"/>
            <w:vAlign w:val="center"/>
          </w:tcPr>
          <w:p w14:paraId="65EFDE9C" w14:textId="77777777" w:rsidR="00E45FDB" w:rsidRPr="00BC081A" w:rsidRDefault="00E45FDB" w:rsidP="00FC3905">
            <w:pPr>
              <w:spacing w:line="240" w:lineRule="auto"/>
              <w:ind w:firstLine="0"/>
              <w:jc w:val="center"/>
              <w:rPr>
                <w:b/>
              </w:rPr>
            </w:pPr>
            <w:r w:rsidRPr="00BC081A">
              <w:rPr>
                <w:b/>
              </w:rPr>
              <w:t>Challenge</w:t>
            </w:r>
          </w:p>
        </w:tc>
        <w:tc>
          <w:tcPr>
            <w:tcW w:w="6207" w:type="dxa"/>
          </w:tcPr>
          <w:p w14:paraId="3E3BF44B" w14:textId="77777777" w:rsidR="00E45FDB" w:rsidRPr="00BC081A" w:rsidRDefault="00E45FDB" w:rsidP="00FC3905">
            <w:pPr>
              <w:pStyle w:val="TableContext"/>
              <w:spacing w:line="360" w:lineRule="auto"/>
              <w:rPr>
                <w:lang w:val="en-CA"/>
              </w:rPr>
            </w:pPr>
            <w:r w:rsidRPr="00BC081A">
              <w:rPr>
                <w:lang w:val="en-CA"/>
              </w:rPr>
              <w:t>How challenging did you find this last stage? (5-point Likert scale)</w:t>
            </w:r>
          </w:p>
        </w:tc>
      </w:tr>
      <w:tr w:rsidR="00E45FDB" w:rsidRPr="00BC081A" w14:paraId="7649680F" w14:textId="77777777" w:rsidTr="008C71FB">
        <w:trPr>
          <w:trHeight w:val="558"/>
        </w:trPr>
        <w:tc>
          <w:tcPr>
            <w:tcW w:w="3369" w:type="dxa"/>
            <w:shd w:val="clear" w:color="auto" w:fill="F2F2F2" w:themeFill="background1" w:themeFillShade="F2"/>
            <w:vAlign w:val="center"/>
          </w:tcPr>
          <w:p w14:paraId="30F2BDDE" w14:textId="77777777" w:rsidR="00E45FDB" w:rsidRPr="00BC081A" w:rsidRDefault="00E45FDB" w:rsidP="00FC3905">
            <w:pPr>
              <w:spacing w:line="240" w:lineRule="auto"/>
              <w:ind w:firstLine="0"/>
              <w:jc w:val="center"/>
              <w:rPr>
                <w:b/>
              </w:rPr>
            </w:pPr>
            <w:r w:rsidRPr="00BC081A">
              <w:rPr>
                <w:b/>
              </w:rPr>
              <w:t>Skill</w:t>
            </w:r>
          </w:p>
        </w:tc>
        <w:tc>
          <w:tcPr>
            <w:tcW w:w="6207" w:type="dxa"/>
          </w:tcPr>
          <w:p w14:paraId="6B6AABB0" w14:textId="424E2DA4" w:rsidR="00E45FDB" w:rsidRPr="00BC081A" w:rsidRDefault="00862ED1" w:rsidP="00FC3905">
            <w:pPr>
              <w:pStyle w:val="TableContext"/>
              <w:spacing w:line="360" w:lineRule="auto"/>
              <w:rPr>
                <w:lang w:val="en-CA"/>
              </w:rPr>
            </w:pPr>
            <w:r w:rsidRPr="00BC081A">
              <w:rPr>
                <w:lang w:val="en-CA"/>
              </w:rPr>
              <w:t>Were</w:t>
            </w:r>
            <w:r w:rsidR="00E45FDB" w:rsidRPr="00BC081A">
              <w:rPr>
                <w:lang w:val="en-CA"/>
              </w:rPr>
              <w:t xml:space="preserve"> your skills appropriate for performing this last stage? (5-point Likert scale) </w:t>
            </w:r>
          </w:p>
        </w:tc>
      </w:tr>
      <w:tr w:rsidR="00E45FDB" w:rsidRPr="00BC081A" w14:paraId="0215A2B1" w14:textId="77777777" w:rsidTr="008C71FB">
        <w:tc>
          <w:tcPr>
            <w:tcW w:w="3369" w:type="dxa"/>
            <w:shd w:val="clear" w:color="auto" w:fill="F2F2F2" w:themeFill="background1" w:themeFillShade="F2"/>
            <w:vAlign w:val="center"/>
          </w:tcPr>
          <w:p w14:paraId="792A01A7" w14:textId="77777777" w:rsidR="00E45FDB" w:rsidRPr="00BC081A" w:rsidRDefault="00E45FDB" w:rsidP="00FC3905">
            <w:pPr>
              <w:spacing w:line="240" w:lineRule="auto"/>
              <w:ind w:firstLine="0"/>
              <w:jc w:val="center"/>
              <w:rPr>
                <w:b/>
              </w:rPr>
            </w:pPr>
            <w:r w:rsidRPr="00BC081A">
              <w:rPr>
                <w:b/>
              </w:rPr>
              <w:lastRenderedPageBreak/>
              <w:t>Flow</w:t>
            </w:r>
          </w:p>
        </w:tc>
        <w:tc>
          <w:tcPr>
            <w:tcW w:w="6207" w:type="dxa"/>
          </w:tcPr>
          <w:p w14:paraId="5B8E6DC2" w14:textId="77777777" w:rsidR="00E45FDB" w:rsidRPr="00BC081A" w:rsidRDefault="00E45FDB" w:rsidP="00FC3905">
            <w:pPr>
              <w:pStyle w:val="TableContext"/>
              <w:spacing w:line="360" w:lineRule="auto"/>
              <w:rPr>
                <w:lang w:val="en-CA"/>
              </w:rPr>
            </w:pPr>
            <w:r w:rsidRPr="00BC081A">
              <w:rPr>
                <w:lang w:val="en-CA"/>
              </w:rPr>
              <w:t>Do you think you have experienced Flow during this last stage? (5-point Likert scale, followed by definition of Flow based on Novak et al.’s (2000) questionnaire</w:t>
            </w:r>
            <w:r w:rsidRPr="00BC081A">
              <w:rPr>
                <w:rStyle w:val="FootnoteReference"/>
                <w:lang w:val="en-CA"/>
              </w:rPr>
              <w:footnoteReference w:id="14"/>
            </w:r>
            <w:r w:rsidRPr="00BC081A">
              <w:rPr>
                <w:lang w:val="en-CA"/>
              </w:rPr>
              <w:t xml:space="preserve">. </w:t>
            </w:r>
          </w:p>
        </w:tc>
      </w:tr>
    </w:tbl>
    <w:p w14:paraId="130F1368" w14:textId="77777777" w:rsidR="00E45FDB" w:rsidRPr="00BC081A" w:rsidRDefault="00E45FDB" w:rsidP="00E45FDB">
      <w:pPr>
        <w:tabs>
          <w:tab w:val="left" w:pos="1495"/>
        </w:tabs>
        <w:ind w:firstLine="0"/>
      </w:pPr>
    </w:p>
    <w:p w14:paraId="44682B9D" w14:textId="602C31ED" w:rsidR="00E45FDB" w:rsidRPr="00BC081A" w:rsidRDefault="00E45FDB" w:rsidP="00E45FDB">
      <w:pPr>
        <w:pStyle w:val="Heading3"/>
      </w:pPr>
      <w:bookmarkStart w:id="58" w:name="_Toc275209828"/>
      <w:r w:rsidRPr="00BC081A">
        <w:t>Data Collection</w:t>
      </w:r>
      <w:bookmarkEnd w:id="58"/>
    </w:p>
    <w:p w14:paraId="6B5E04AB" w14:textId="0FC91D5E" w:rsidR="00E45FDB" w:rsidRPr="00BC081A" w:rsidRDefault="00E45FDB" w:rsidP="00E45FDB">
      <w:pPr>
        <w:tabs>
          <w:tab w:val="left" w:pos="1495"/>
        </w:tabs>
      </w:pPr>
      <w:r w:rsidRPr="00BC081A">
        <w:t>Due to the requirement</w:t>
      </w:r>
      <w:r w:rsidR="00D27F97">
        <w:t xml:space="preserve"> of different competition modes, </w:t>
      </w:r>
      <w:r w:rsidRPr="00BC081A">
        <w:t>the challenge of recruiting friends for playing against each other</w:t>
      </w:r>
      <w:r w:rsidR="00D27F97">
        <w:t xml:space="preserve"> </w:t>
      </w:r>
      <w:r w:rsidR="00D27F97" w:rsidRPr="00BC081A">
        <w:t xml:space="preserve">had to </w:t>
      </w:r>
      <w:r w:rsidR="00D27F97">
        <w:t xml:space="preserve">be </w:t>
      </w:r>
      <w:r w:rsidR="00D27F97" w:rsidRPr="00BC081A">
        <w:t>overcome</w:t>
      </w:r>
      <w:r w:rsidRPr="00BC081A">
        <w:t>. As such, the study was advertised inside multiple undergraduate classes (more than 1800 students) in person along with emails that were sent to undergraduate and graduate mailing lists. The students were given a small advertisement with the link to a website that they could register for an available time slot to participate in the experiment. The potential participants could choose a time slot and register with one of their friends, or register for any of the other time slots, in which they could be the only person in that time slot and be randomly assigned to one of the two individual modes (competing with computer and no competition) or someone else that they did not know could possibly register for that time slot, which would create the third competition mode of the experiment.</w:t>
      </w:r>
    </w:p>
    <w:p w14:paraId="10E5FDC6" w14:textId="6C6C66BB" w:rsidR="00E45FDB" w:rsidRPr="00BC081A" w:rsidRDefault="00E45FDB" w:rsidP="00E45FDB">
      <w:pPr>
        <w:tabs>
          <w:tab w:val="left" w:pos="1495"/>
        </w:tabs>
      </w:pPr>
      <w:r w:rsidRPr="00BC081A">
        <w:lastRenderedPageBreak/>
        <w:t xml:space="preserve">During the experiment, participants were asked to play a simple video game with educational content. The video game that was chosen for the experiment was </w:t>
      </w:r>
      <w:proofErr w:type="spellStart"/>
      <w:r w:rsidRPr="00BC081A">
        <w:t>TypeRacer</w:t>
      </w:r>
      <w:proofErr w:type="spellEnd"/>
      <w:r w:rsidR="006D0A74">
        <w:t>™</w:t>
      </w:r>
      <w:r w:rsidRPr="00BC081A">
        <w:rPr>
          <w:rStyle w:val="FootnoteReference"/>
        </w:rPr>
        <w:footnoteReference w:id="15"/>
      </w:r>
      <w:r w:rsidRPr="00BC081A">
        <w:t xml:space="preserve">, which is a simple typing game that is used to increase one’s typing speed through a simulated multi-player car racing game. </w:t>
      </w:r>
      <w:proofErr w:type="spellStart"/>
      <w:r w:rsidR="00AD604F" w:rsidRPr="00BC081A">
        <w:t>TypeRacer</w:t>
      </w:r>
      <w:proofErr w:type="spellEnd"/>
      <w:r w:rsidR="006D0A74">
        <w:t>™</w:t>
      </w:r>
      <w:r w:rsidR="00AD604F" w:rsidRPr="00BC081A">
        <w:t xml:space="preserve"> provides a simple environment and a simple task (typing) that everyone can relate to. It also enable</w:t>
      </w:r>
      <w:r w:rsidR="00D74F09">
        <w:t>d the</w:t>
      </w:r>
      <w:r w:rsidR="00AD604F" w:rsidRPr="00BC081A">
        <w:t xml:space="preserve"> creation of the four manipulation modes that this experiment require</w:t>
      </w:r>
      <w:r w:rsidR="00D74F09">
        <w:t>d</w:t>
      </w:r>
      <w:r w:rsidR="00AD604F" w:rsidRPr="00BC081A">
        <w:t xml:space="preserve">. </w:t>
      </w:r>
      <w:r w:rsidRPr="00BC081A">
        <w:t xml:space="preserve">In </w:t>
      </w:r>
      <w:proofErr w:type="spellStart"/>
      <w:r w:rsidRPr="00BC081A">
        <w:t>TypeRacer</w:t>
      </w:r>
      <w:proofErr w:type="spellEnd"/>
      <w:r w:rsidR="006D0A74">
        <w:t>™</w:t>
      </w:r>
      <w:r w:rsidRPr="00BC081A">
        <w:t xml:space="preserve"> players have to type a</w:t>
      </w:r>
      <w:r w:rsidR="006D0A74">
        <w:t xml:space="preserve"> (randomly assigned)</w:t>
      </w:r>
      <w:r w:rsidRPr="00BC081A">
        <w:t xml:space="preserve"> text paragraph without any mistakes (refer to </w:t>
      </w:r>
      <w:r w:rsidRPr="00BC081A">
        <w:fldChar w:fldCharType="begin"/>
      </w:r>
      <w:r w:rsidRPr="00BC081A">
        <w:instrText xml:space="preserve"> REF _Ref264674837 \h </w:instrText>
      </w:r>
      <w:r w:rsidRPr="00BC081A">
        <w:fldChar w:fldCharType="separate"/>
      </w:r>
      <w:r w:rsidR="008C71FB" w:rsidRPr="00BC081A">
        <w:t xml:space="preserve">Figure </w:t>
      </w:r>
      <w:r w:rsidR="008C71FB">
        <w:rPr>
          <w:noProof/>
        </w:rPr>
        <w:t>10</w:t>
      </w:r>
      <w:r w:rsidRPr="00BC081A">
        <w:fldChar w:fldCharType="end"/>
      </w:r>
      <w:r w:rsidRPr="00BC081A">
        <w:t xml:space="preserve"> for an example of the game). As players advance in the selected text, their racing car advances in the field towards the finish line</w:t>
      </w:r>
      <w:r w:rsidR="00F72B5E" w:rsidRPr="00BC081A">
        <w:t xml:space="preserve"> relative to the length of the text</w:t>
      </w:r>
      <w:r w:rsidRPr="00BC081A">
        <w:t xml:space="preserve">. </w:t>
      </w:r>
      <w:r w:rsidR="00593C83" w:rsidRPr="00BC081A">
        <w:t xml:space="preserve">If the player </w:t>
      </w:r>
      <w:r w:rsidR="00F72B5E" w:rsidRPr="00BC081A">
        <w:t xml:space="preserve">makes a mistake while typing the text, the car would stop and text would turn red. </w:t>
      </w:r>
      <w:r w:rsidRPr="00BC081A">
        <w:t>At any moment the player can see how fast they are typing by reading the quantified number of WPM (words per minute).</w:t>
      </w:r>
    </w:p>
    <w:p w14:paraId="62454CE6" w14:textId="78BA1837" w:rsidR="00E45FDB" w:rsidRPr="00BC081A" w:rsidRDefault="006D0A74" w:rsidP="00E45FDB">
      <w:pPr>
        <w:keepNext/>
        <w:tabs>
          <w:tab w:val="left" w:pos="1495"/>
        </w:tabs>
        <w:ind w:firstLine="0"/>
      </w:pPr>
      <w:r>
        <w:rPr>
          <w:noProof/>
          <w:lang w:val="en-US"/>
        </w:rPr>
        <w:drawing>
          <wp:inline distT="0" distB="0" distL="0" distR="0" wp14:anchorId="4753CA26" wp14:editId="2AE39CCA">
            <wp:extent cx="5939155" cy="2324735"/>
            <wp:effectExtent l="0" t="0" r="4445" b="12065"/>
            <wp:docPr id="4" name="Picture 4" descr="SepSep:Users:SepSep:Desktop:Screen Shot 2014-10-08 at 7.12.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Sep:Users:SepSep:Desktop:Screen Shot 2014-10-08 at 7.12.53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2324735"/>
                    </a:xfrm>
                    <a:prstGeom prst="rect">
                      <a:avLst/>
                    </a:prstGeom>
                    <a:noFill/>
                    <a:ln>
                      <a:noFill/>
                    </a:ln>
                  </pic:spPr>
                </pic:pic>
              </a:graphicData>
            </a:graphic>
          </wp:inline>
        </w:drawing>
      </w:r>
    </w:p>
    <w:p w14:paraId="17A407B2" w14:textId="77777777" w:rsidR="00E45FDB" w:rsidRPr="00BC081A" w:rsidRDefault="00E45FDB" w:rsidP="00C92D78">
      <w:pPr>
        <w:pStyle w:val="Caption"/>
      </w:pPr>
      <w:bookmarkStart w:id="59" w:name="_Ref264674837"/>
      <w:bookmarkStart w:id="60" w:name="_Toc278912300"/>
      <w:r w:rsidRPr="00BC081A">
        <w:t xml:space="preserve">Figure </w:t>
      </w:r>
      <w:r w:rsidR="007804FF">
        <w:fldChar w:fldCharType="begin"/>
      </w:r>
      <w:r w:rsidR="007804FF">
        <w:instrText xml:space="preserve"> SEQ Figure \* ARABIC </w:instrText>
      </w:r>
      <w:r w:rsidR="007804FF">
        <w:fldChar w:fldCharType="separate"/>
      </w:r>
      <w:r w:rsidR="008C71FB">
        <w:rPr>
          <w:noProof/>
        </w:rPr>
        <w:t>10</w:t>
      </w:r>
      <w:r w:rsidR="007804FF">
        <w:rPr>
          <w:noProof/>
        </w:rPr>
        <w:fldChar w:fldCharType="end"/>
      </w:r>
      <w:bookmarkEnd w:id="59"/>
      <w:r w:rsidRPr="00BC081A">
        <w:t xml:space="preserve"> - Screenshot of </w:t>
      </w:r>
      <w:proofErr w:type="spellStart"/>
      <w:r w:rsidRPr="00BC081A">
        <w:t>TypeRacer</w:t>
      </w:r>
      <w:proofErr w:type="spellEnd"/>
      <w:r w:rsidRPr="00BC081A">
        <w:t xml:space="preserve"> Game</w:t>
      </w:r>
      <w:bookmarkEnd w:id="60"/>
    </w:p>
    <w:p w14:paraId="0AC7FFF9" w14:textId="7632BD8F" w:rsidR="00E45FDB" w:rsidRPr="00040C30" w:rsidRDefault="00DD4F8A" w:rsidP="00040C30">
      <w:pPr>
        <w:tabs>
          <w:tab w:val="left" w:pos="1495"/>
        </w:tabs>
        <w:rPr>
          <w:lang w:val="en-US"/>
        </w:rPr>
      </w:pPr>
      <w:r w:rsidRPr="00BC081A">
        <w:t xml:space="preserve">For competition against another human (stranger or friend), the participants sat in two separate rooms with one experimental facilitator per room. </w:t>
      </w:r>
      <w:r w:rsidR="00E45FDB" w:rsidRPr="00BC081A">
        <w:t>In order to ensure consistency between both</w:t>
      </w:r>
      <w:r w:rsidR="00862ED1" w:rsidRPr="00BC081A">
        <w:t xml:space="preserve"> experimental</w:t>
      </w:r>
      <w:r w:rsidR="00E45FDB" w:rsidRPr="00BC081A">
        <w:t xml:space="preserve"> facilitators and across time among all the participants, a dynamic </w:t>
      </w:r>
      <w:r w:rsidR="00E45FDB" w:rsidRPr="00BC081A">
        <w:lastRenderedPageBreak/>
        <w:t xml:space="preserve">website was designed for giving the instructions to the participants with all the links to the surveys and the game. In addition, a guideline (as shown in Appendix </w:t>
      </w:r>
      <w:r w:rsidR="00171A70">
        <w:t>3</w:t>
      </w:r>
      <w:r w:rsidR="00E45FDB" w:rsidRPr="00BC081A">
        <w:t xml:space="preserve">) was prepared for the facilitators, which </w:t>
      </w:r>
      <w:r w:rsidR="00862ED1" w:rsidRPr="00BC081A">
        <w:t>detailed</w:t>
      </w:r>
      <w:r w:rsidR="00E45FDB" w:rsidRPr="00BC081A">
        <w:t xml:space="preserve"> every step </w:t>
      </w:r>
      <w:r w:rsidR="00862ED1" w:rsidRPr="00BC081A">
        <w:t xml:space="preserve">to run </w:t>
      </w:r>
      <w:r w:rsidR="00E45FDB" w:rsidRPr="00BC081A">
        <w:t>the experiment. After reading and signing the consent form</w:t>
      </w:r>
      <w:r w:rsidR="000B1497" w:rsidRPr="00BC081A">
        <w:t xml:space="preserve"> (Appendi</w:t>
      </w:r>
      <w:r w:rsidR="00171A70">
        <w:t>x 4</w:t>
      </w:r>
      <w:r w:rsidR="000B1497" w:rsidRPr="00BC081A">
        <w:t>)</w:t>
      </w:r>
      <w:r w:rsidR="00E45FDB" w:rsidRPr="00BC081A">
        <w:t>, participants were given a personality and general demographics questionnaire before playing the video game. Each participant was then introduced to the environment of the game and had a chance to practice it twice before the experiment began. For the experiment, each participant played 5 rounds of the game and after each round was asked to complete a mini-survey that briefly asked them about their challenge and experience. After completing the third round of the game, the participants were asked to complete a survey based on the measurement items of the proposed model. The third round was chosen for survey administration, as the outcome of the game was still unknown</w:t>
      </w:r>
      <w:r w:rsidR="00AD4DC0">
        <w:t xml:space="preserve"> and it would be more likely creating the peak point for Flow based on </w:t>
      </w:r>
      <w:r w:rsidR="003D40C4">
        <w:t>preliminary studies (Appendix 2) and pilot study</w:t>
      </w:r>
      <w:r w:rsidR="00AD4DC0">
        <w:t>’ results</w:t>
      </w:r>
      <w:r w:rsidR="00E45FDB" w:rsidRPr="00BC081A">
        <w:t xml:space="preserve">. As such, players would not bias their responses based on game results but rather focus their responses on the gameplay experience. The survey was implemented using </w:t>
      </w:r>
      <w:proofErr w:type="spellStart"/>
      <w:r w:rsidR="00E45FDB" w:rsidRPr="00BC081A">
        <w:t>LimeSurvey</w:t>
      </w:r>
      <w:proofErr w:type="spellEnd"/>
      <w:r w:rsidR="00E45FDB" w:rsidRPr="00BC081A">
        <w:t xml:space="preserve">, which is a free and open-source survey application, on </w:t>
      </w:r>
      <w:r w:rsidR="004A7EA6" w:rsidRPr="00BC081A">
        <w:t xml:space="preserve">the </w:t>
      </w:r>
      <w:r w:rsidR="00E45FDB" w:rsidRPr="00BC081A">
        <w:t xml:space="preserve">DeGroote School of Business’ server. </w:t>
      </w:r>
      <w:r w:rsidR="00415840">
        <w:t xml:space="preserve">Prior to any data collection, the </w:t>
      </w:r>
      <w:r w:rsidR="00040C30">
        <w:t>McMaster Research Ethics Board approved the experiment’s procedure and questionnaire’s content</w:t>
      </w:r>
      <w:r w:rsidR="00040C30">
        <w:rPr>
          <w:lang w:val="en-US"/>
        </w:rPr>
        <w:t xml:space="preserve">. </w:t>
      </w:r>
    </w:p>
    <w:p w14:paraId="35B3B1CC" w14:textId="77777777" w:rsidR="00E45FDB" w:rsidRPr="00BC081A" w:rsidRDefault="00E45FDB" w:rsidP="00E45FDB">
      <w:pPr>
        <w:pStyle w:val="Heading3"/>
      </w:pPr>
      <w:bookmarkStart w:id="61" w:name="_Toc275209829"/>
      <w:r w:rsidRPr="00BC081A">
        <w:t>Instrument and Model Validation</w:t>
      </w:r>
      <w:bookmarkEnd w:id="61"/>
      <w:r w:rsidRPr="00BC081A">
        <w:t xml:space="preserve"> </w:t>
      </w:r>
    </w:p>
    <w:p w14:paraId="49B8BDBE" w14:textId="641DCC31" w:rsidR="00E45FDB" w:rsidRPr="00BC081A" w:rsidRDefault="00E45FDB" w:rsidP="00E45FDB">
      <w:pPr>
        <w:rPr>
          <w:strike/>
        </w:rPr>
      </w:pPr>
      <w:r w:rsidRPr="00BC081A">
        <w:t xml:space="preserve">All the constructs that were used in this study came from extant literature where their items have been found to be reliable and valid. The constructs that are extracted from the extant literature and adapted to reflect </w:t>
      </w:r>
      <w:r w:rsidR="003D40C4">
        <w:t>the</w:t>
      </w:r>
      <w:r w:rsidRPr="00BC081A">
        <w:t xml:space="preserve"> context</w:t>
      </w:r>
      <w:r w:rsidR="003D40C4">
        <w:t xml:space="preserve"> of this research</w:t>
      </w:r>
      <w:r w:rsidRPr="00BC081A">
        <w:t xml:space="preserve">, in the order that appeared on the survey, are shown in </w:t>
      </w:r>
      <w:r w:rsidRPr="00BC081A">
        <w:rPr>
          <w:i/>
        </w:rPr>
        <w:t>Table 2.</w:t>
      </w:r>
    </w:p>
    <w:p w14:paraId="4F540BAC" w14:textId="77777777" w:rsidR="00E45FDB" w:rsidRPr="00BC081A" w:rsidRDefault="00E45FDB" w:rsidP="00C92D78">
      <w:pPr>
        <w:pStyle w:val="Caption"/>
      </w:pPr>
      <w:r w:rsidRPr="00BC081A">
        <w:lastRenderedPageBreak/>
        <w:t>Table 2 – Measurement scales for the constructs in the proposed research model</w:t>
      </w:r>
    </w:p>
    <w:tbl>
      <w:tblPr>
        <w:tblStyle w:val="TableGrid"/>
        <w:tblW w:w="0" w:type="auto"/>
        <w:jc w:val="center"/>
        <w:tblLook w:val="04A0" w:firstRow="1" w:lastRow="0" w:firstColumn="1" w:lastColumn="0" w:noHBand="0" w:noVBand="1"/>
      </w:tblPr>
      <w:tblGrid>
        <w:gridCol w:w="1896"/>
        <w:gridCol w:w="1689"/>
        <w:gridCol w:w="5991"/>
      </w:tblGrid>
      <w:tr w:rsidR="00E45FDB" w:rsidRPr="00BC081A" w14:paraId="46EC5BFB" w14:textId="77777777" w:rsidTr="008C71FB">
        <w:trPr>
          <w:jc w:val="center"/>
        </w:trPr>
        <w:tc>
          <w:tcPr>
            <w:tcW w:w="1896" w:type="dxa"/>
            <w:shd w:val="clear" w:color="auto" w:fill="F2F2F2" w:themeFill="background1" w:themeFillShade="F2"/>
          </w:tcPr>
          <w:p w14:paraId="6650A3AB" w14:textId="77777777" w:rsidR="00E45FDB" w:rsidRPr="00BC081A" w:rsidRDefault="00E45FDB" w:rsidP="00FC3905">
            <w:pPr>
              <w:pStyle w:val="TableContext"/>
              <w:rPr>
                <w:lang w:val="en-CA"/>
              </w:rPr>
            </w:pPr>
            <w:r w:rsidRPr="00BC081A">
              <w:rPr>
                <w:lang w:val="en-CA"/>
              </w:rPr>
              <w:t>Construct</w:t>
            </w:r>
          </w:p>
        </w:tc>
        <w:tc>
          <w:tcPr>
            <w:tcW w:w="1689" w:type="dxa"/>
            <w:shd w:val="clear" w:color="auto" w:fill="F2F2F2" w:themeFill="background1" w:themeFillShade="F2"/>
            <w:vAlign w:val="center"/>
          </w:tcPr>
          <w:p w14:paraId="3EA3BD53" w14:textId="77777777" w:rsidR="00E45FDB" w:rsidRPr="00BC081A" w:rsidRDefault="00E45FDB" w:rsidP="00FC3905">
            <w:pPr>
              <w:pStyle w:val="TableContext"/>
              <w:rPr>
                <w:lang w:val="en-CA"/>
              </w:rPr>
            </w:pPr>
            <w:r w:rsidRPr="00BC081A">
              <w:rPr>
                <w:lang w:val="en-CA"/>
              </w:rPr>
              <w:t>Reference</w:t>
            </w:r>
          </w:p>
        </w:tc>
        <w:tc>
          <w:tcPr>
            <w:tcW w:w="5991" w:type="dxa"/>
            <w:shd w:val="clear" w:color="auto" w:fill="F2F2F2" w:themeFill="background1" w:themeFillShade="F2"/>
          </w:tcPr>
          <w:p w14:paraId="2AA2E9B4" w14:textId="77777777" w:rsidR="00E45FDB" w:rsidRPr="00BC081A" w:rsidRDefault="00E45FDB" w:rsidP="00FC3905">
            <w:pPr>
              <w:pStyle w:val="TableContext"/>
              <w:rPr>
                <w:lang w:val="en-CA"/>
              </w:rPr>
            </w:pPr>
            <w:r w:rsidRPr="00BC081A">
              <w:rPr>
                <w:lang w:val="en-CA"/>
              </w:rPr>
              <w:t>Items</w:t>
            </w:r>
          </w:p>
        </w:tc>
      </w:tr>
      <w:tr w:rsidR="00E45FDB" w:rsidRPr="00BC081A" w14:paraId="2581603B" w14:textId="77777777" w:rsidTr="008C71FB">
        <w:trPr>
          <w:jc w:val="center"/>
        </w:trPr>
        <w:tc>
          <w:tcPr>
            <w:tcW w:w="1896" w:type="dxa"/>
            <w:shd w:val="clear" w:color="auto" w:fill="F2F2F2" w:themeFill="background1" w:themeFillShade="F2"/>
          </w:tcPr>
          <w:p w14:paraId="749191DC" w14:textId="62E18719" w:rsidR="00E45FDB" w:rsidRPr="00BC081A" w:rsidRDefault="00B56387" w:rsidP="00FC3905">
            <w:pPr>
              <w:pStyle w:val="TableContext"/>
              <w:rPr>
                <w:b/>
                <w:lang w:val="en-CA"/>
              </w:rPr>
            </w:pPr>
            <w:r w:rsidRPr="00BC081A">
              <w:rPr>
                <w:b/>
                <w:lang w:val="en-CA"/>
              </w:rPr>
              <w:t>Dispositional</w:t>
            </w:r>
            <w:r w:rsidR="00E45FDB" w:rsidRPr="00BC081A">
              <w:rPr>
                <w:b/>
                <w:lang w:val="en-CA"/>
              </w:rPr>
              <w:t xml:space="preserve"> Competitiveness (Personality)</w:t>
            </w:r>
          </w:p>
        </w:tc>
        <w:tc>
          <w:tcPr>
            <w:tcW w:w="1689" w:type="dxa"/>
            <w:vAlign w:val="center"/>
          </w:tcPr>
          <w:p w14:paraId="0F95916C" w14:textId="4D5A25A1" w:rsidR="00E45FDB" w:rsidRPr="00BC081A" w:rsidRDefault="00E45FDB" w:rsidP="00FC3905">
            <w:pPr>
              <w:pStyle w:val="TableContext"/>
              <w:rPr>
                <w:noProof/>
                <w:lang w:val="en-CA"/>
              </w:rPr>
            </w:pPr>
            <w:r w:rsidRPr="00BC081A">
              <w:rPr>
                <w:noProof/>
                <w:lang w:val="en-CA"/>
              </w:rPr>
              <w:fldChar w:fldCharType="begin" w:fldLock="1"/>
            </w:r>
            <w:r w:rsidR="00AC1F7D">
              <w:rPr>
                <w:noProof/>
                <w:lang w:val="en-CA"/>
              </w:rPr>
              <w:instrText>ADDIN CSL_CITATION { "citationItems" : [ { "id" : "ITEM-1", "itemData" : { "author" : [ { "dropping-particle" : "", "family" : "Spence", "given" : "JT", "non-dropping-particle" : "", "parse-names" : false, "suffix" : "" }, { "dropping-particle" : "", "family" : "Helmreich", "given" : "RL", "non-dropping-particle" : "", "parse-names" : false, "suffix" : "" } ], "container-title" : "Achievement and achievement motives: Psychological \u2026", "id" : "ITEM-1", "issued" : { "date-parts" : [ [ "1983" ] ] }, "title" : "Achievement-Related Motives and Behaviors", "type" : "article-journal" }, "uris" : [ "http://www.mendeley.com/documents/?uuid=dbc2dd7c-02d3-41db-9826-467e535bdf12" ] } ], "mendeley" : { "previouslyFormattedCitation" : "(Spence &amp; Helmreich, 1983)" }, "properties" : { "noteIndex" : 0 }, "schema" : "https://github.com/citation-style-language/schema/raw/master/csl-citation.json" }</w:instrText>
            </w:r>
            <w:r w:rsidRPr="00BC081A">
              <w:rPr>
                <w:noProof/>
                <w:lang w:val="en-CA"/>
              </w:rPr>
              <w:fldChar w:fldCharType="separate"/>
            </w:r>
            <w:r w:rsidRPr="00BC081A">
              <w:rPr>
                <w:noProof/>
                <w:lang w:val="en-CA"/>
              </w:rPr>
              <w:t>(Spence &amp; Helmreich, 1983)</w:t>
            </w:r>
            <w:r w:rsidRPr="00BC081A">
              <w:rPr>
                <w:noProof/>
                <w:lang w:val="en-CA"/>
              </w:rPr>
              <w:fldChar w:fldCharType="end"/>
            </w:r>
          </w:p>
        </w:tc>
        <w:tc>
          <w:tcPr>
            <w:tcW w:w="5991" w:type="dxa"/>
          </w:tcPr>
          <w:p w14:paraId="77F8904E" w14:textId="77777777" w:rsidR="00E45FDB" w:rsidRPr="00BC081A" w:rsidRDefault="00E45FDB" w:rsidP="00536F6A">
            <w:pPr>
              <w:pStyle w:val="TableList"/>
              <w:numPr>
                <w:ilvl w:val="0"/>
                <w:numId w:val="15"/>
              </w:numPr>
            </w:pPr>
            <w:r w:rsidRPr="00BC081A">
              <w:t>I enjoy working in situations involving competition with others.</w:t>
            </w:r>
          </w:p>
          <w:p w14:paraId="15C509C2" w14:textId="77777777" w:rsidR="00E45FDB" w:rsidRPr="00BC081A" w:rsidRDefault="00E45FDB" w:rsidP="00536F6A">
            <w:pPr>
              <w:pStyle w:val="TableList"/>
              <w:numPr>
                <w:ilvl w:val="0"/>
                <w:numId w:val="15"/>
              </w:numPr>
            </w:pPr>
            <w:r w:rsidRPr="00BC081A">
              <w:t>It is important to me to perform better than others on a task.</w:t>
            </w:r>
          </w:p>
          <w:p w14:paraId="4314100C" w14:textId="77777777" w:rsidR="00E45FDB" w:rsidRPr="00BC081A" w:rsidRDefault="00E45FDB" w:rsidP="00536F6A">
            <w:pPr>
              <w:pStyle w:val="TableList"/>
              <w:numPr>
                <w:ilvl w:val="0"/>
                <w:numId w:val="15"/>
              </w:numPr>
            </w:pPr>
            <w:r w:rsidRPr="00BC081A">
              <w:t>In general, I feel that winning is important.</w:t>
            </w:r>
          </w:p>
          <w:p w14:paraId="73B87B84" w14:textId="77777777" w:rsidR="00E45FDB" w:rsidRPr="00BC081A" w:rsidRDefault="00E45FDB" w:rsidP="00536F6A">
            <w:pPr>
              <w:pStyle w:val="TableList"/>
              <w:numPr>
                <w:ilvl w:val="0"/>
                <w:numId w:val="15"/>
              </w:numPr>
            </w:pPr>
            <w:r w:rsidRPr="00BC081A">
              <w:t>It annoys me when other people perform better then I do.</w:t>
            </w:r>
          </w:p>
          <w:p w14:paraId="07676B05" w14:textId="77777777" w:rsidR="00E45FDB" w:rsidRPr="00BC081A" w:rsidRDefault="00E45FDB" w:rsidP="00536F6A">
            <w:pPr>
              <w:pStyle w:val="TableList"/>
              <w:numPr>
                <w:ilvl w:val="0"/>
                <w:numId w:val="15"/>
              </w:numPr>
            </w:pPr>
            <w:r w:rsidRPr="00BC081A">
              <w:t>I try harder when I'm in competition with other people.</w:t>
            </w:r>
          </w:p>
        </w:tc>
      </w:tr>
      <w:tr w:rsidR="00E45FDB" w:rsidRPr="00BC081A" w14:paraId="4EC706E5" w14:textId="77777777" w:rsidTr="008C71FB">
        <w:trPr>
          <w:jc w:val="center"/>
        </w:trPr>
        <w:tc>
          <w:tcPr>
            <w:tcW w:w="1896" w:type="dxa"/>
            <w:shd w:val="clear" w:color="auto" w:fill="F2F2F2" w:themeFill="background1" w:themeFillShade="F2"/>
          </w:tcPr>
          <w:p w14:paraId="6F5580DC" w14:textId="77777777" w:rsidR="00E45FDB" w:rsidRPr="00BC081A" w:rsidRDefault="00E45FDB" w:rsidP="00FC3905">
            <w:pPr>
              <w:pStyle w:val="TableContext"/>
              <w:rPr>
                <w:b/>
                <w:lang w:val="en-CA"/>
              </w:rPr>
            </w:pPr>
            <w:r w:rsidRPr="00BC081A">
              <w:rPr>
                <w:b/>
                <w:lang w:val="en-CA"/>
              </w:rPr>
              <w:t>Social Presence</w:t>
            </w:r>
          </w:p>
        </w:tc>
        <w:tc>
          <w:tcPr>
            <w:tcW w:w="1689" w:type="dxa"/>
            <w:vAlign w:val="center"/>
          </w:tcPr>
          <w:p w14:paraId="3E3D786D" w14:textId="607A343E" w:rsidR="00E45FDB" w:rsidRPr="00BC081A" w:rsidRDefault="00E45FDB" w:rsidP="00FC3905">
            <w:pPr>
              <w:pStyle w:val="TableContext"/>
              <w:rPr>
                <w:lang w:val="en-CA"/>
              </w:rPr>
            </w:pPr>
            <w:r w:rsidRPr="00BC081A">
              <w:rPr>
                <w:noProof/>
                <w:lang w:val="en-CA"/>
              </w:rPr>
              <w:fldChar w:fldCharType="begin" w:fldLock="1"/>
            </w:r>
            <w:r w:rsidR="00AC1F7D">
              <w:rPr>
                <w:noProof/>
                <w:lang w:val="en-CA"/>
              </w:rPr>
              <w:instrText>ADDIN CSL_CITATION { "citationItems" : [ { "id" : "ITEM-1", "itemData" : { "DOI" : "10.1353/esj.2003.0011", "ISSN" : "1528-8234", "author" : [ { "dropping-particle" : "", "family" : "Gefen", "given" : "David", "non-dropping-particle" : "", "parse-names" : false, "suffix" : "" }, { "dropping-particle" : "", "family" : "Straub", "given" : "Detmar W.", "non-dropping-particle" : "", "parse-names" : false, "suffix" : "" } ], "container-title" : "e-Service Journal", "id" : "ITEM-1", "issue" : "2", "issued" : { "date-parts" : [ [ "2003" ] ] }, "page" : "7-24", "title" : "Managing User Trust in B2C e-Services", "type" : "article-journal", "volume" : "2" }, "uris" : [ "http://www.mendeley.com/documents/?uuid=a5d36ad2-7049-4dda-ab11-8a2d3ca1b8ab" ] } ], "mendeley" : { "previouslyFormattedCitation" : "(Gefen &amp; Straub, 2003)" }, "properties" : { "noteIndex" : 0 }, "schema" : "https://github.com/citation-style-language/schema/raw/master/csl-citation.json" }</w:instrText>
            </w:r>
            <w:r w:rsidRPr="00BC081A">
              <w:rPr>
                <w:noProof/>
                <w:lang w:val="en-CA"/>
              </w:rPr>
              <w:fldChar w:fldCharType="separate"/>
            </w:r>
            <w:r w:rsidRPr="00BC081A">
              <w:rPr>
                <w:noProof/>
                <w:lang w:val="en-CA"/>
              </w:rPr>
              <w:t>(Gefen &amp; Straub, 2003)</w:t>
            </w:r>
            <w:r w:rsidRPr="00BC081A">
              <w:rPr>
                <w:noProof/>
                <w:lang w:val="en-CA"/>
              </w:rPr>
              <w:fldChar w:fldCharType="end"/>
            </w:r>
          </w:p>
        </w:tc>
        <w:tc>
          <w:tcPr>
            <w:tcW w:w="5991" w:type="dxa"/>
          </w:tcPr>
          <w:p w14:paraId="5741B4DA" w14:textId="77777777" w:rsidR="00E45FDB" w:rsidRPr="00BC081A" w:rsidRDefault="00E45FDB" w:rsidP="00536F6A">
            <w:pPr>
              <w:pStyle w:val="ListParagraph"/>
              <w:widowControl w:val="0"/>
              <w:numPr>
                <w:ilvl w:val="0"/>
                <w:numId w:val="20"/>
              </w:numPr>
              <w:spacing w:before="120" w:after="120" w:line="360" w:lineRule="auto"/>
            </w:pPr>
            <w:r w:rsidRPr="00BC081A">
              <w:t>There is a sense of human contact in the game.</w:t>
            </w:r>
          </w:p>
          <w:p w14:paraId="0EC4056F" w14:textId="77777777" w:rsidR="00E45FDB" w:rsidRPr="00BC081A" w:rsidRDefault="00E45FDB" w:rsidP="00536F6A">
            <w:pPr>
              <w:pStyle w:val="ListParagraph"/>
              <w:widowControl w:val="0"/>
              <w:numPr>
                <w:ilvl w:val="0"/>
                <w:numId w:val="20"/>
              </w:numPr>
              <w:spacing w:before="120" w:after="120" w:line="360" w:lineRule="auto"/>
            </w:pPr>
            <w:r w:rsidRPr="00BC081A">
              <w:t>There is a sense of personalness in the game.</w:t>
            </w:r>
          </w:p>
          <w:p w14:paraId="11113EEE" w14:textId="77777777" w:rsidR="00E45FDB" w:rsidRPr="00BC081A" w:rsidRDefault="00E45FDB" w:rsidP="00536F6A">
            <w:pPr>
              <w:pStyle w:val="ListParagraph"/>
              <w:widowControl w:val="0"/>
              <w:numPr>
                <w:ilvl w:val="0"/>
                <w:numId w:val="20"/>
              </w:numPr>
              <w:spacing w:before="120" w:after="120" w:line="360" w:lineRule="auto"/>
            </w:pPr>
            <w:r w:rsidRPr="00BC081A">
              <w:t>There is a sense of sociability in the game.</w:t>
            </w:r>
          </w:p>
          <w:p w14:paraId="5DA7EE80" w14:textId="77777777" w:rsidR="00E45FDB" w:rsidRPr="00BC081A" w:rsidRDefault="00E45FDB" w:rsidP="00536F6A">
            <w:pPr>
              <w:pStyle w:val="ListParagraph"/>
              <w:widowControl w:val="0"/>
              <w:numPr>
                <w:ilvl w:val="0"/>
                <w:numId w:val="20"/>
              </w:numPr>
              <w:spacing w:before="120" w:after="120" w:line="360" w:lineRule="auto"/>
            </w:pPr>
            <w:r w:rsidRPr="00BC081A">
              <w:t>There is a sense of human warmth in the game.</w:t>
            </w:r>
          </w:p>
          <w:p w14:paraId="0E758DA1" w14:textId="77777777" w:rsidR="00E45FDB" w:rsidRPr="00BC081A" w:rsidRDefault="00E45FDB" w:rsidP="00536F6A">
            <w:pPr>
              <w:pStyle w:val="ListParagraph"/>
              <w:widowControl w:val="0"/>
              <w:numPr>
                <w:ilvl w:val="0"/>
                <w:numId w:val="20"/>
              </w:numPr>
              <w:spacing w:before="120" w:after="120" w:line="360" w:lineRule="auto"/>
            </w:pPr>
            <w:r w:rsidRPr="00BC081A">
              <w:t>There is a sense of human sensitivity in the game.</w:t>
            </w:r>
          </w:p>
        </w:tc>
      </w:tr>
      <w:tr w:rsidR="00E45FDB" w:rsidRPr="00BC081A" w14:paraId="07CEBFE6" w14:textId="77777777" w:rsidTr="008C71FB">
        <w:trPr>
          <w:jc w:val="center"/>
        </w:trPr>
        <w:tc>
          <w:tcPr>
            <w:tcW w:w="1896" w:type="dxa"/>
            <w:shd w:val="clear" w:color="auto" w:fill="F2F2F2" w:themeFill="background1" w:themeFillShade="F2"/>
          </w:tcPr>
          <w:p w14:paraId="44605BE1" w14:textId="3FCB694B" w:rsidR="00E45FDB" w:rsidRPr="00BC081A" w:rsidRDefault="005624B9" w:rsidP="00FC3905">
            <w:pPr>
              <w:pStyle w:val="TableContext"/>
              <w:rPr>
                <w:b/>
                <w:lang w:val="en-CA"/>
              </w:rPr>
            </w:pPr>
            <w:r w:rsidRPr="00BC081A">
              <w:rPr>
                <w:b/>
                <w:lang w:val="en-CA"/>
              </w:rPr>
              <w:t>Situational</w:t>
            </w:r>
            <w:r w:rsidR="00E45FDB" w:rsidRPr="00BC081A">
              <w:rPr>
                <w:b/>
                <w:lang w:val="en-CA"/>
              </w:rPr>
              <w:t xml:space="preserve"> Competitiveness</w:t>
            </w:r>
          </w:p>
        </w:tc>
        <w:tc>
          <w:tcPr>
            <w:tcW w:w="1689" w:type="dxa"/>
            <w:vAlign w:val="center"/>
          </w:tcPr>
          <w:p w14:paraId="3FB194AA" w14:textId="45AF39B9" w:rsidR="00E45FDB" w:rsidRPr="00BC081A" w:rsidRDefault="00E45FDB" w:rsidP="00FC3905">
            <w:pPr>
              <w:pStyle w:val="TableContext"/>
              <w:rPr>
                <w:noProof/>
                <w:lang w:val="en-CA"/>
              </w:rPr>
            </w:pPr>
            <w:r w:rsidRPr="00BC081A">
              <w:rPr>
                <w:noProof/>
                <w:lang w:val="en-CA"/>
              </w:rPr>
              <w:fldChar w:fldCharType="begin" w:fldLock="1"/>
            </w:r>
            <w:r w:rsidR="00AC1F7D">
              <w:rPr>
                <w:noProof/>
                <w:lang w:val="en-CA"/>
              </w:rPr>
              <w:instrText>ADDIN CSL_CITATION { "citationItems" : [ { "id" : "ITEM-1", "itemData" : { "DOI" : "10.1016/j.jesp.2009.04.019", "ISSN" : "00221031", "author" : [ { "dropping-particle" : "", "family" : "Anderson", "given" : "Craig a.", "non-dropping-particle" : "", "parse-names" : false, "suffix" : "" }, { "dropping-particle" : "", "family" : "Carnagey", "given" : "Nicholas L.", "non-dropping-particle" : "", "parse-names" : false, "suffix" : "" } ], "container-title" : "Journal of Experimental Social Psychology", "id" : "ITEM-1", "issue" : "4", "issued" : { "date-parts" : [ [ "2009", "7" ] ] }, "page" : "731-739", "publisher" : "Elsevier Inc.", "title" : "Causal effects of violent sports video games on aggression: Is it competitiveness or violent content?", "type" : "article-journal", "volume" : "45" }, "uris" : [ "http://www.mendeley.com/documents/?uuid=17ddc4a0-77d9-4830-bbd4-586cd89ae64d" ] } ], "mendeley" : { "previouslyFormattedCitation" : "(C. a. Anderson &amp; Carnagey, 2009)" }, "properties" : { "noteIndex" : 0 }, "schema" : "https://github.com/citation-style-language/schema/raw/master/csl-citation.json" }</w:instrText>
            </w:r>
            <w:r w:rsidRPr="00BC081A">
              <w:rPr>
                <w:noProof/>
                <w:lang w:val="en-CA"/>
              </w:rPr>
              <w:fldChar w:fldCharType="separate"/>
            </w:r>
            <w:r w:rsidR="00F04BB4" w:rsidRPr="00BC081A">
              <w:rPr>
                <w:noProof/>
                <w:lang w:val="en-CA"/>
              </w:rPr>
              <w:t>(C. a. Anderson &amp; Carnagey, 2009)</w:t>
            </w:r>
            <w:r w:rsidRPr="00BC081A">
              <w:rPr>
                <w:noProof/>
                <w:lang w:val="en-CA"/>
              </w:rPr>
              <w:fldChar w:fldCharType="end"/>
            </w:r>
          </w:p>
        </w:tc>
        <w:tc>
          <w:tcPr>
            <w:tcW w:w="5991" w:type="dxa"/>
          </w:tcPr>
          <w:p w14:paraId="1AA11401" w14:textId="77777777" w:rsidR="00E45FDB" w:rsidRPr="00BC081A" w:rsidRDefault="00E45FDB" w:rsidP="00536F6A">
            <w:pPr>
              <w:pStyle w:val="ListParagraph"/>
              <w:widowControl w:val="0"/>
              <w:numPr>
                <w:ilvl w:val="0"/>
                <w:numId w:val="21"/>
              </w:numPr>
              <w:spacing w:before="120" w:after="120" w:line="360" w:lineRule="auto"/>
            </w:pPr>
            <w:r w:rsidRPr="00BC081A">
              <w:t xml:space="preserve">To what extent did you feel like you were competing with someone </w:t>
            </w:r>
            <w:proofErr w:type="gramStart"/>
            <w:r w:rsidRPr="00BC081A">
              <w:t>else.</w:t>
            </w:r>
            <w:proofErr w:type="gramEnd"/>
          </w:p>
          <w:p w14:paraId="30892076" w14:textId="77777777" w:rsidR="00E45FDB" w:rsidRPr="00BC081A" w:rsidRDefault="00E45FDB" w:rsidP="00536F6A">
            <w:pPr>
              <w:pStyle w:val="ListParagraph"/>
              <w:widowControl w:val="0"/>
              <w:numPr>
                <w:ilvl w:val="0"/>
                <w:numId w:val="21"/>
              </w:numPr>
              <w:spacing w:before="120" w:after="120" w:line="360" w:lineRule="auto"/>
            </w:pPr>
            <w:r w:rsidRPr="00BC081A">
              <w:t xml:space="preserve">How hard were you trying to win the </w:t>
            </w:r>
            <w:proofErr w:type="gramStart"/>
            <w:r w:rsidRPr="00BC081A">
              <w:t>game.</w:t>
            </w:r>
            <w:proofErr w:type="gramEnd"/>
          </w:p>
          <w:p w14:paraId="17AF2E41" w14:textId="77777777" w:rsidR="00E45FDB" w:rsidRPr="00BC081A" w:rsidRDefault="00E45FDB" w:rsidP="00536F6A">
            <w:pPr>
              <w:pStyle w:val="ListParagraph"/>
              <w:widowControl w:val="0"/>
              <w:numPr>
                <w:ilvl w:val="0"/>
                <w:numId w:val="21"/>
              </w:numPr>
              <w:spacing w:before="120" w:after="120" w:line="360" w:lineRule="auto"/>
            </w:pPr>
            <w:r w:rsidRPr="00BC081A">
              <w:t>How competitive was this video game</w:t>
            </w:r>
          </w:p>
          <w:p w14:paraId="368E2FDB" w14:textId="77777777" w:rsidR="00E45FDB" w:rsidRPr="00BC081A" w:rsidRDefault="00E45FDB" w:rsidP="00536F6A">
            <w:pPr>
              <w:pStyle w:val="ListParagraph"/>
              <w:widowControl w:val="0"/>
              <w:numPr>
                <w:ilvl w:val="0"/>
                <w:numId w:val="21"/>
              </w:numPr>
              <w:spacing w:before="120" w:after="120" w:line="360" w:lineRule="auto"/>
            </w:pPr>
            <w:r w:rsidRPr="00BC081A">
              <w:t>To what extent did this video game involve competition.</w:t>
            </w:r>
          </w:p>
        </w:tc>
      </w:tr>
      <w:tr w:rsidR="00E45FDB" w:rsidRPr="00BC081A" w14:paraId="43CCAD5C" w14:textId="77777777" w:rsidTr="008C71FB">
        <w:trPr>
          <w:jc w:val="center"/>
        </w:trPr>
        <w:tc>
          <w:tcPr>
            <w:tcW w:w="1896" w:type="dxa"/>
            <w:shd w:val="clear" w:color="auto" w:fill="F2F2F2" w:themeFill="background1" w:themeFillShade="F2"/>
          </w:tcPr>
          <w:p w14:paraId="21A49E24" w14:textId="77777777" w:rsidR="00E45FDB" w:rsidRPr="00BC081A" w:rsidRDefault="00E45FDB" w:rsidP="00FC3905">
            <w:pPr>
              <w:pStyle w:val="TableContext"/>
              <w:rPr>
                <w:b/>
                <w:lang w:val="en-CA"/>
              </w:rPr>
            </w:pPr>
            <w:r w:rsidRPr="00BC081A">
              <w:rPr>
                <w:b/>
                <w:lang w:val="en-CA"/>
              </w:rPr>
              <w:t>Arousal</w:t>
            </w:r>
          </w:p>
        </w:tc>
        <w:tc>
          <w:tcPr>
            <w:tcW w:w="1689" w:type="dxa"/>
            <w:vAlign w:val="center"/>
          </w:tcPr>
          <w:p w14:paraId="43539EC6" w14:textId="04B6B20C" w:rsidR="00E45FDB" w:rsidRPr="00BC081A" w:rsidRDefault="00E45FDB" w:rsidP="00FC3905">
            <w:pPr>
              <w:pStyle w:val="TableContext"/>
              <w:rPr>
                <w:lang w:val="en-CA"/>
              </w:rPr>
            </w:pPr>
            <w:r w:rsidRPr="00BC081A">
              <w:rPr>
                <w:noProof/>
                <w:lang w:val="en-CA"/>
              </w:rPr>
              <w:fldChar w:fldCharType="begin" w:fldLock="1"/>
            </w:r>
            <w:r w:rsidR="00AC1F7D">
              <w:rPr>
                <w:noProof/>
                <w:lang w:val="en-CA"/>
              </w:rPr>
              <w:instrText>ADDIN CSL_CITATION { "citationItems" : [ { "id" : "ITEM-1", "itemData" : { "DOI" : "10.1016/j.chb.2011.03.001", "ISSN" : "07475632", "author" : [ { "dropping-particle" : "", "family" : "Koo", "given" : "Dong-Mo", "non-dropping-particle" : "", "parse-names" : false, "suffix" : "" }, { "dropping-particle" : "", "family" : "Lee", "given" : "Ji-Hoon", "non-dropping-particle" : "", "parse-names" : false, "suffix" : "" } ], "container-title" : "Computers in Human Behavior", "id" : "ITEM-1", "issue" : "5", "issued" : { "date-parts" : [ [ "2011", "9" ] ] }, "page" : "1740-1750", "publisher" : "Elsevier Ltd", "title" : "Inter-relationships among dominance, energetic and tense arousal, and pleasure, and differences in their impacts under online vs. offline environment", "type" : "article-journal", "volume" : "27" }, "uris" : [ "http://www.mendeley.com/documents/?uuid=4724b7f9-adb3-4f4c-bd10-a801819d4459" ] } ], "mendeley" : { "previouslyFormattedCitation" : "(Koo &amp; Lee, 2011)" }, "properties" : { "noteIndex" : 0 }, "schema" : "https://github.com/citation-style-language/schema/raw/master/csl-citation.json" }</w:instrText>
            </w:r>
            <w:r w:rsidRPr="00BC081A">
              <w:rPr>
                <w:noProof/>
                <w:lang w:val="en-CA"/>
              </w:rPr>
              <w:fldChar w:fldCharType="separate"/>
            </w:r>
            <w:r w:rsidRPr="00BC081A">
              <w:rPr>
                <w:noProof/>
                <w:lang w:val="en-CA"/>
              </w:rPr>
              <w:t>(Koo &amp; Lee, 2011)</w:t>
            </w:r>
            <w:r w:rsidRPr="00BC081A">
              <w:rPr>
                <w:noProof/>
                <w:lang w:val="en-CA"/>
              </w:rPr>
              <w:fldChar w:fldCharType="end"/>
            </w:r>
          </w:p>
        </w:tc>
        <w:tc>
          <w:tcPr>
            <w:tcW w:w="5991" w:type="dxa"/>
          </w:tcPr>
          <w:p w14:paraId="79FEE7A5" w14:textId="77777777" w:rsidR="00E45FDB" w:rsidRPr="00BC081A" w:rsidRDefault="00E45FDB" w:rsidP="00FC3905">
            <w:pPr>
              <w:pStyle w:val="TableContext"/>
              <w:rPr>
                <w:lang w:val="en-CA"/>
              </w:rPr>
            </w:pPr>
            <w:r w:rsidRPr="00BC081A">
              <w:rPr>
                <w:lang w:val="en-CA"/>
              </w:rPr>
              <w:t>When I was playing the game, I felt (acted)</w:t>
            </w:r>
          </w:p>
          <w:p w14:paraId="43099D5A" w14:textId="77777777" w:rsidR="00E45FDB" w:rsidRPr="00BC081A" w:rsidRDefault="00E45FDB" w:rsidP="00536F6A">
            <w:pPr>
              <w:pStyle w:val="ListParagraph"/>
              <w:widowControl w:val="0"/>
              <w:numPr>
                <w:ilvl w:val="0"/>
                <w:numId w:val="19"/>
              </w:numPr>
              <w:spacing w:before="120" w:after="120" w:line="360" w:lineRule="auto"/>
            </w:pPr>
            <w:r w:rsidRPr="00BC081A">
              <w:t>Active</w:t>
            </w:r>
          </w:p>
          <w:p w14:paraId="62E65BA3" w14:textId="77777777" w:rsidR="00E45FDB" w:rsidRPr="00BC081A" w:rsidRDefault="00E45FDB" w:rsidP="00536F6A">
            <w:pPr>
              <w:pStyle w:val="ListParagraph"/>
              <w:widowControl w:val="0"/>
              <w:numPr>
                <w:ilvl w:val="0"/>
                <w:numId w:val="19"/>
              </w:numPr>
              <w:spacing w:before="120" w:after="120" w:line="360" w:lineRule="auto"/>
            </w:pPr>
            <w:r w:rsidRPr="00BC081A">
              <w:t>Energetic</w:t>
            </w:r>
          </w:p>
          <w:p w14:paraId="3A56632B" w14:textId="77777777" w:rsidR="00E45FDB" w:rsidRPr="00BC081A" w:rsidRDefault="00E45FDB" w:rsidP="00536F6A">
            <w:pPr>
              <w:pStyle w:val="ListParagraph"/>
              <w:widowControl w:val="0"/>
              <w:numPr>
                <w:ilvl w:val="0"/>
                <w:numId w:val="19"/>
              </w:numPr>
              <w:spacing w:before="120" w:after="120" w:line="360" w:lineRule="auto"/>
            </w:pPr>
            <w:r w:rsidRPr="00BC081A">
              <w:t>Vigorous</w:t>
            </w:r>
          </w:p>
          <w:p w14:paraId="1F273221" w14:textId="77777777" w:rsidR="00E45FDB" w:rsidRPr="00BC081A" w:rsidRDefault="00E45FDB" w:rsidP="00536F6A">
            <w:pPr>
              <w:pStyle w:val="ListParagraph"/>
              <w:widowControl w:val="0"/>
              <w:numPr>
                <w:ilvl w:val="0"/>
                <w:numId w:val="19"/>
              </w:numPr>
              <w:spacing w:before="120" w:after="120" w:line="360" w:lineRule="auto"/>
            </w:pPr>
            <w:r w:rsidRPr="00BC081A">
              <w:t>Sleepy (R)</w:t>
            </w:r>
          </w:p>
          <w:p w14:paraId="3DBAD6BC" w14:textId="77777777" w:rsidR="00E45FDB" w:rsidRPr="00BC081A" w:rsidRDefault="00E45FDB" w:rsidP="00536F6A">
            <w:pPr>
              <w:pStyle w:val="ListParagraph"/>
              <w:widowControl w:val="0"/>
              <w:numPr>
                <w:ilvl w:val="0"/>
                <w:numId w:val="19"/>
              </w:numPr>
              <w:spacing w:before="120" w:after="120" w:line="360" w:lineRule="auto"/>
            </w:pPr>
            <w:r w:rsidRPr="00BC081A">
              <w:t>Excited</w:t>
            </w:r>
          </w:p>
        </w:tc>
      </w:tr>
      <w:tr w:rsidR="00E45FDB" w:rsidRPr="00BC081A" w14:paraId="4BB970B5" w14:textId="77777777" w:rsidTr="008C71FB">
        <w:trPr>
          <w:jc w:val="center"/>
        </w:trPr>
        <w:tc>
          <w:tcPr>
            <w:tcW w:w="1896" w:type="dxa"/>
            <w:shd w:val="clear" w:color="auto" w:fill="F2F2F2" w:themeFill="background1" w:themeFillShade="F2"/>
          </w:tcPr>
          <w:p w14:paraId="1E236BB4" w14:textId="77777777" w:rsidR="00E45FDB" w:rsidRPr="00BC081A" w:rsidRDefault="00E45FDB" w:rsidP="00FC3905">
            <w:pPr>
              <w:pStyle w:val="TableContext"/>
              <w:rPr>
                <w:b/>
                <w:lang w:val="en-CA"/>
              </w:rPr>
            </w:pPr>
            <w:r w:rsidRPr="00BC081A">
              <w:rPr>
                <w:b/>
                <w:lang w:val="en-CA"/>
              </w:rPr>
              <w:lastRenderedPageBreak/>
              <w:t>Challenge</w:t>
            </w:r>
          </w:p>
        </w:tc>
        <w:tc>
          <w:tcPr>
            <w:tcW w:w="1689" w:type="dxa"/>
            <w:vAlign w:val="center"/>
          </w:tcPr>
          <w:p w14:paraId="4FE7A498" w14:textId="6D80E20E" w:rsidR="00E45FDB" w:rsidRPr="00BC081A" w:rsidRDefault="00E45FDB" w:rsidP="00FC3905">
            <w:pPr>
              <w:pStyle w:val="TableContext"/>
              <w:rPr>
                <w:lang w:val="en-CA"/>
              </w:rPr>
            </w:pPr>
            <w:r w:rsidRPr="00BC081A">
              <w:rPr>
                <w:noProof/>
                <w:lang w:val="en-CA"/>
              </w:rPr>
              <w:fldChar w:fldCharType="begin" w:fldLock="1"/>
            </w:r>
            <w:r w:rsidR="00AC1F7D">
              <w:rPr>
                <w:noProof/>
                <w:lang w:val="en-CA"/>
              </w:rPr>
              <w:instrText>ADDIN CSL_CITATION { "citationItems" : [ { "id" : "ITEM-1", "itemData" : { "author" : [ { "dropping-particle" : "", "family" : "Novak", "given" : "T.P.", "non-dropping-particle" : "", "parse-names" : false, "suffix" : "" }, { "dropping-particle" : "", "family" : "Hoffman", "given" : "D.L.", "non-dropping-particle" : "", "parse-names" : false, "suffix" : "" }, { "dropping-particle" : "", "family" : "Yung", "given" : "Y.F.", "non-dropping-particle" : "", "parse-names" : false, "suffix" : "" } ], "container-title" : "Marketing science", "id" : "ITEM-1", "issue" : "1", "issued" : { "date-parts" : [ [ "2000" ] ] }, "page" : "22\u201342", "publisher" : "JSTOR", "title" : "Measuring the customer experience in online environments: A structural modeling approach", "type" : "article-journal", "volume" : "19" }, "uris" : [ "http://www.mendeley.com/documents/?uuid=b35cae6a-73b7-4a7a-be70-cd903b6f266a" ] } ], "mendeley" : { "previouslyFormattedCitation" : "(Novak, Hoffman, &amp; Yung, 2000)" }, "properties" : { "noteIndex" : 0 }, "schema" : "https://github.com/citation-style-language/schema/raw/master/csl-citation.json" }</w:instrText>
            </w:r>
            <w:r w:rsidRPr="00BC081A">
              <w:rPr>
                <w:noProof/>
                <w:lang w:val="en-CA"/>
              </w:rPr>
              <w:fldChar w:fldCharType="separate"/>
            </w:r>
            <w:r w:rsidRPr="00BC081A">
              <w:rPr>
                <w:noProof/>
                <w:lang w:val="en-CA"/>
              </w:rPr>
              <w:t>(Novak, Hoffman, &amp; Yung, 2000)</w:t>
            </w:r>
            <w:r w:rsidRPr="00BC081A">
              <w:rPr>
                <w:noProof/>
                <w:lang w:val="en-CA"/>
              </w:rPr>
              <w:fldChar w:fldCharType="end"/>
            </w:r>
          </w:p>
        </w:tc>
        <w:tc>
          <w:tcPr>
            <w:tcW w:w="5991" w:type="dxa"/>
          </w:tcPr>
          <w:p w14:paraId="04A22AA6" w14:textId="5505F5C1" w:rsidR="00E45FDB" w:rsidRPr="00BC081A" w:rsidRDefault="00E45FDB" w:rsidP="00536F6A">
            <w:pPr>
              <w:pStyle w:val="ListParagraph"/>
              <w:widowControl w:val="0"/>
              <w:numPr>
                <w:ilvl w:val="0"/>
                <w:numId w:val="22"/>
              </w:numPr>
              <w:spacing w:before="120" w:after="120" w:line="360" w:lineRule="auto"/>
            </w:pPr>
            <w:r w:rsidRPr="00BC081A">
              <w:t xml:space="preserve">Playing the </w:t>
            </w:r>
            <w:proofErr w:type="spellStart"/>
            <w:r w:rsidRPr="00BC081A">
              <w:t>Type</w:t>
            </w:r>
            <w:r w:rsidR="008B79F0">
              <w:t>R</w:t>
            </w:r>
            <w:r w:rsidRPr="00BC081A">
              <w:t>acer</w:t>
            </w:r>
            <w:proofErr w:type="spellEnd"/>
            <w:r w:rsidRPr="00BC081A">
              <w:t xml:space="preserve"> game challenges me to perform to the best of my ability.</w:t>
            </w:r>
          </w:p>
          <w:p w14:paraId="5C4AC419" w14:textId="213E1864" w:rsidR="00E45FDB" w:rsidRPr="00BC081A" w:rsidRDefault="00E45FDB" w:rsidP="00536F6A">
            <w:pPr>
              <w:pStyle w:val="ListParagraph"/>
              <w:widowControl w:val="0"/>
              <w:numPr>
                <w:ilvl w:val="0"/>
                <w:numId w:val="22"/>
              </w:numPr>
              <w:spacing w:before="120" w:after="120" w:line="360" w:lineRule="auto"/>
            </w:pPr>
            <w:r w:rsidRPr="00BC081A">
              <w:t xml:space="preserve">Playing the </w:t>
            </w:r>
            <w:proofErr w:type="spellStart"/>
            <w:r w:rsidRPr="00BC081A">
              <w:t>Type</w:t>
            </w:r>
            <w:r w:rsidR="008B79F0">
              <w:t>R</w:t>
            </w:r>
            <w:r w:rsidRPr="00BC081A">
              <w:t>acer</w:t>
            </w:r>
            <w:proofErr w:type="spellEnd"/>
            <w:r w:rsidRPr="00BC081A">
              <w:t xml:space="preserve"> game provides a good test of my skills.</w:t>
            </w:r>
          </w:p>
          <w:p w14:paraId="3B51C9D9" w14:textId="6A56B3E0" w:rsidR="00E45FDB" w:rsidRPr="00BC081A" w:rsidRDefault="00E45FDB" w:rsidP="008B79F0">
            <w:pPr>
              <w:pStyle w:val="ListParagraph"/>
              <w:widowControl w:val="0"/>
              <w:numPr>
                <w:ilvl w:val="0"/>
                <w:numId w:val="22"/>
              </w:numPr>
              <w:spacing w:before="120" w:after="120" w:line="360" w:lineRule="auto"/>
            </w:pPr>
            <w:r w:rsidRPr="00BC081A">
              <w:t xml:space="preserve">I find that playing the </w:t>
            </w:r>
            <w:proofErr w:type="spellStart"/>
            <w:r w:rsidRPr="00BC081A">
              <w:t>Type</w:t>
            </w:r>
            <w:r w:rsidR="008B79F0">
              <w:t>R</w:t>
            </w:r>
            <w:r w:rsidRPr="00BC081A">
              <w:t>acer</w:t>
            </w:r>
            <w:proofErr w:type="spellEnd"/>
            <w:r w:rsidRPr="00BC081A">
              <w:t xml:space="preserve"> game stretches my capabilities to my limits.</w:t>
            </w:r>
          </w:p>
        </w:tc>
      </w:tr>
      <w:tr w:rsidR="00E45FDB" w:rsidRPr="00BC081A" w14:paraId="03ABC46C" w14:textId="77777777" w:rsidTr="008C71FB">
        <w:trPr>
          <w:jc w:val="center"/>
        </w:trPr>
        <w:tc>
          <w:tcPr>
            <w:tcW w:w="1896" w:type="dxa"/>
            <w:shd w:val="clear" w:color="auto" w:fill="F2F2F2" w:themeFill="background1" w:themeFillShade="F2"/>
          </w:tcPr>
          <w:p w14:paraId="2425B8A8" w14:textId="77777777" w:rsidR="00E45FDB" w:rsidRPr="00BC081A" w:rsidRDefault="00E45FDB" w:rsidP="00FC3905">
            <w:pPr>
              <w:pStyle w:val="TableContext"/>
              <w:rPr>
                <w:b/>
                <w:lang w:val="en-CA"/>
              </w:rPr>
            </w:pPr>
            <w:r w:rsidRPr="00BC081A">
              <w:rPr>
                <w:b/>
                <w:lang w:val="en-CA"/>
              </w:rPr>
              <w:t>Flow: Focused Immersion</w:t>
            </w:r>
          </w:p>
        </w:tc>
        <w:tc>
          <w:tcPr>
            <w:tcW w:w="1689" w:type="dxa"/>
            <w:vMerge w:val="restart"/>
            <w:vAlign w:val="center"/>
          </w:tcPr>
          <w:p w14:paraId="5629C3E5" w14:textId="0918344F" w:rsidR="00E45FDB" w:rsidRPr="00BC081A" w:rsidRDefault="00E45FDB" w:rsidP="00FC3905">
            <w:pPr>
              <w:pStyle w:val="TableContext"/>
              <w:rPr>
                <w:lang w:val="en-CA"/>
              </w:rPr>
            </w:pPr>
            <w:r w:rsidRPr="00BC081A">
              <w:rPr>
                <w:noProof/>
                <w:lang w:val="en-CA"/>
              </w:rPr>
              <w:fldChar w:fldCharType="begin" w:fldLock="1"/>
            </w:r>
            <w:r w:rsidR="00AC1F7D">
              <w:rPr>
                <w:noProof/>
                <w:lang w:val="en-CA"/>
              </w:rPr>
              <w:instrText>ADDIN CSL_CITATION { "citationItems" : [ { "id" : "ITEM-1", "itemData" : { "DOI" : "10.2307/3250951", "ISSN" : "02767783", "author" : [ { "dropping-particle" : "", "family" : "Agarwal", "given" : "Ritu", "non-dropping-particle" : "", "parse-names" : false, "suffix" : "" }, { "dropping-particle" : "", "family" : "Karahanna", "given" : "Elena", "non-dropping-particle" : "", "parse-names" : false, "suffix" : "" } ], "container-title" : "MIS quarterly", "id" : "ITEM-1", "issue" : "4", "issued" : { "date-parts" : [ [ "2000", "12" ] ] }, "page" : "665-694", "title" : "Time flies when you're having fun: cognitive absorption and beliefs about information technology usage 1", "type" : "article-journal", "volume" : "24" }, "uris" : [ "http://www.mendeley.com/documents/?uuid=fe9ae25b-41a9-496b-bd50-859eb6651219" ] } ], "mendeley" : { "previouslyFormattedCitation" : "(Agarwal &amp; Karahanna, 2000)" }, "properties" : { "noteIndex" : 0 }, "schema" : "https://github.com/citation-style-language/schema/raw/master/csl-citation.json" }</w:instrText>
            </w:r>
            <w:r w:rsidRPr="00BC081A">
              <w:rPr>
                <w:noProof/>
                <w:lang w:val="en-CA"/>
              </w:rPr>
              <w:fldChar w:fldCharType="separate"/>
            </w:r>
            <w:r w:rsidRPr="00BC081A">
              <w:rPr>
                <w:noProof/>
                <w:lang w:val="en-CA"/>
              </w:rPr>
              <w:t>(Agarwal &amp; Karahanna, 2000)</w:t>
            </w:r>
            <w:r w:rsidRPr="00BC081A">
              <w:rPr>
                <w:noProof/>
                <w:lang w:val="en-CA"/>
              </w:rPr>
              <w:fldChar w:fldCharType="end"/>
            </w:r>
          </w:p>
        </w:tc>
        <w:tc>
          <w:tcPr>
            <w:tcW w:w="5991" w:type="dxa"/>
          </w:tcPr>
          <w:p w14:paraId="1B4D113E" w14:textId="77777777" w:rsidR="00E45FDB" w:rsidRPr="00BC081A" w:rsidRDefault="00E45FDB" w:rsidP="00536F6A">
            <w:pPr>
              <w:pStyle w:val="ListParagraph"/>
              <w:widowControl w:val="0"/>
              <w:numPr>
                <w:ilvl w:val="0"/>
                <w:numId w:val="16"/>
              </w:numPr>
              <w:spacing w:before="120" w:after="120" w:line="360" w:lineRule="auto"/>
            </w:pPr>
            <w:r w:rsidRPr="00BC081A">
              <w:t>While playing the game, I am able to block out most other distractions.</w:t>
            </w:r>
          </w:p>
          <w:p w14:paraId="769B4452" w14:textId="77777777" w:rsidR="00E45FDB" w:rsidRPr="00BC081A" w:rsidRDefault="00E45FDB" w:rsidP="00536F6A">
            <w:pPr>
              <w:pStyle w:val="ListParagraph"/>
              <w:widowControl w:val="0"/>
              <w:numPr>
                <w:ilvl w:val="0"/>
                <w:numId w:val="16"/>
              </w:numPr>
              <w:spacing w:before="120" w:after="120" w:line="360" w:lineRule="auto"/>
            </w:pPr>
            <w:r w:rsidRPr="00BC081A">
              <w:t>While playing the game, I am absorbed in what I am doing.</w:t>
            </w:r>
          </w:p>
          <w:p w14:paraId="3D9904F6" w14:textId="77777777" w:rsidR="00E45FDB" w:rsidRPr="00BC081A" w:rsidRDefault="00E45FDB" w:rsidP="00536F6A">
            <w:pPr>
              <w:pStyle w:val="ListParagraph"/>
              <w:widowControl w:val="0"/>
              <w:numPr>
                <w:ilvl w:val="0"/>
                <w:numId w:val="16"/>
              </w:numPr>
              <w:spacing w:before="120" w:after="120" w:line="360" w:lineRule="auto"/>
            </w:pPr>
            <w:r w:rsidRPr="00BC081A">
              <w:t>While playing the game, I am immersed in the task I am performing.</w:t>
            </w:r>
          </w:p>
          <w:p w14:paraId="32601EEB" w14:textId="77777777" w:rsidR="00E45FDB" w:rsidRPr="00BC081A" w:rsidRDefault="00E45FDB" w:rsidP="00536F6A">
            <w:pPr>
              <w:pStyle w:val="ListParagraph"/>
              <w:widowControl w:val="0"/>
              <w:numPr>
                <w:ilvl w:val="0"/>
                <w:numId w:val="16"/>
              </w:numPr>
              <w:spacing w:before="120" w:after="120" w:line="360" w:lineRule="auto"/>
            </w:pPr>
            <w:r w:rsidRPr="00BC081A">
              <w:t xml:space="preserve">When playing the game, </w:t>
            </w:r>
            <w:proofErr w:type="gramStart"/>
            <w:r w:rsidRPr="00BC081A">
              <w:t>I get distracted by other attentions</w:t>
            </w:r>
            <w:proofErr w:type="gramEnd"/>
            <w:r w:rsidRPr="00BC081A">
              <w:t xml:space="preserve"> very easily. </w:t>
            </w:r>
          </w:p>
          <w:p w14:paraId="2C8EF723" w14:textId="77777777" w:rsidR="00E45FDB" w:rsidRPr="00BC081A" w:rsidRDefault="00E45FDB" w:rsidP="00536F6A">
            <w:pPr>
              <w:pStyle w:val="ListParagraph"/>
              <w:widowControl w:val="0"/>
              <w:numPr>
                <w:ilvl w:val="0"/>
                <w:numId w:val="16"/>
              </w:numPr>
              <w:spacing w:before="120" w:after="120" w:line="360" w:lineRule="auto"/>
            </w:pPr>
            <w:r w:rsidRPr="00BC081A">
              <w:t>While playing the game, my attention does not get diverted very easily.</w:t>
            </w:r>
          </w:p>
        </w:tc>
      </w:tr>
      <w:tr w:rsidR="00E45FDB" w:rsidRPr="00BC081A" w14:paraId="7E93BEF4" w14:textId="77777777" w:rsidTr="008C71FB">
        <w:trPr>
          <w:jc w:val="center"/>
        </w:trPr>
        <w:tc>
          <w:tcPr>
            <w:tcW w:w="1896" w:type="dxa"/>
            <w:shd w:val="clear" w:color="auto" w:fill="F2F2F2" w:themeFill="background1" w:themeFillShade="F2"/>
          </w:tcPr>
          <w:p w14:paraId="6F9B1A61" w14:textId="77777777" w:rsidR="00E45FDB" w:rsidRPr="00BC081A" w:rsidRDefault="00E45FDB" w:rsidP="00FC3905">
            <w:pPr>
              <w:pStyle w:val="TableContext"/>
              <w:rPr>
                <w:b/>
                <w:lang w:val="en-CA"/>
              </w:rPr>
            </w:pPr>
            <w:r w:rsidRPr="00BC081A">
              <w:rPr>
                <w:b/>
                <w:lang w:val="en-CA"/>
              </w:rPr>
              <w:t>Flow: Heightened Enjoyment</w:t>
            </w:r>
          </w:p>
        </w:tc>
        <w:tc>
          <w:tcPr>
            <w:tcW w:w="1689" w:type="dxa"/>
            <w:vMerge/>
            <w:vAlign w:val="center"/>
          </w:tcPr>
          <w:p w14:paraId="2C4FEF74" w14:textId="77777777" w:rsidR="00E45FDB" w:rsidRPr="00BC081A" w:rsidRDefault="00E45FDB" w:rsidP="00FC3905">
            <w:pPr>
              <w:pStyle w:val="TableContext"/>
              <w:rPr>
                <w:lang w:val="en-CA"/>
              </w:rPr>
            </w:pPr>
          </w:p>
        </w:tc>
        <w:tc>
          <w:tcPr>
            <w:tcW w:w="5991" w:type="dxa"/>
          </w:tcPr>
          <w:p w14:paraId="11A2047E" w14:textId="77777777" w:rsidR="00E45FDB" w:rsidRPr="00BC081A" w:rsidRDefault="00E45FDB" w:rsidP="00536F6A">
            <w:pPr>
              <w:pStyle w:val="ListParagraph"/>
              <w:widowControl w:val="0"/>
              <w:numPr>
                <w:ilvl w:val="0"/>
                <w:numId w:val="17"/>
              </w:numPr>
              <w:spacing w:before="120" w:after="120" w:line="360" w:lineRule="auto"/>
            </w:pPr>
            <w:r w:rsidRPr="00BC081A">
              <w:t>I have fun playing the game.</w:t>
            </w:r>
          </w:p>
          <w:p w14:paraId="0F9316F7" w14:textId="77777777" w:rsidR="00E45FDB" w:rsidRPr="00BC081A" w:rsidRDefault="00E45FDB" w:rsidP="00536F6A">
            <w:pPr>
              <w:pStyle w:val="ListParagraph"/>
              <w:widowControl w:val="0"/>
              <w:numPr>
                <w:ilvl w:val="0"/>
                <w:numId w:val="17"/>
              </w:numPr>
              <w:spacing w:before="120" w:after="120" w:line="360" w:lineRule="auto"/>
            </w:pPr>
            <w:r w:rsidRPr="00BC081A">
              <w:t>Playing the game provides me with a lot of enjoyment.</w:t>
            </w:r>
          </w:p>
          <w:p w14:paraId="18E4B642" w14:textId="77777777" w:rsidR="00E45FDB" w:rsidRPr="00BC081A" w:rsidRDefault="00E45FDB" w:rsidP="00536F6A">
            <w:pPr>
              <w:pStyle w:val="ListParagraph"/>
              <w:widowControl w:val="0"/>
              <w:numPr>
                <w:ilvl w:val="0"/>
                <w:numId w:val="17"/>
              </w:numPr>
              <w:spacing w:before="120" w:after="120" w:line="360" w:lineRule="auto"/>
            </w:pPr>
            <w:r w:rsidRPr="00BC081A">
              <w:t xml:space="preserve">I enjoy playing the game. </w:t>
            </w:r>
          </w:p>
          <w:p w14:paraId="1930C21E" w14:textId="77777777" w:rsidR="00E45FDB" w:rsidRPr="00BC081A" w:rsidRDefault="00E45FDB" w:rsidP="00536F6A">
            <w:pPr>
              <w:pStyle w:val="ListParagraph"/>
              <w:widowControl w:val="0"/>
              <w:numPr>
                <w:ilvl w:val="0"/>
                <w:numId w:val="17"/>
              </w:numPr>
              <w:spacing w:before="120" w:after="120" w:line="360" w:lineRule="auto"/>
            </w:pPr>
            <w:r w:rsidRPr="00BC081A">
              <w:t>Playing the game bores me. (R)</w:t>
            </w:r>
          </w:p>
        </w:tc>
      </w:tr>
      <w:tr w:rsidR="00E45FDB" w:rsidRPr="00BC081A" w14:paraId="432F9B2C" w14:textId="77777777" w:rsidTr="008C71FB">
        <w:trPr>
          <w:jc w:val="center"/>
        </w:trPr>
        <w:tc>
          <w:tcPr>
            <w:tcW w:w="1896" w:type="dxa"/>
            <w:shd w:val="clear" w:color="auto" w:fill="F2F2F2" w:themeFill="background1" w:themeFillShade="F2"/>
          </w:tcPr>
          <w:p w14:paraId="0511907A" w14:textId="77777777" w:rsidR="00E45FDB" w:rsidRPr="00BC081A" w:rsidRDefault="00E45FDB" w:rsidP="00FC3905">
            <w:pPr>
              <w:pStyle w:val="TableContext"/>
              <w:rPr>
                <w:b/>
                <w:lang w:val="en-CA"/>
              </w:rPr>
            </w:pPr>
            <w:r w:rsidRPr="00BC081A">
              <w:rPr>
                <w:b/>
                <w:lang w:val="en-CA"/>
              </w:rPr>
              <w:t>Flow: Temporal Dissociation</w:t>
            </w:r>
          </w:p>
        </w:tc>
        <w:tc>
          <w:tcPr>
            <w:tcW w:w="1689" w:type="dxa"/>
            <w:vMerge/>
            <w:vAlign w:val="center"/>
          </w:tcPr>
          <w:p w14:paraId="0DE05949" w14:textId="77777777" w:rsidR="00E45FDB" w:rsidRPr="00BC081A" w:rsidRDefault="00E45FDB" w:rsidP="00FC3905">
            <w:pPr>
              <w:pStyle w:val="TableContext"/>
              <w:rPr>
                <w:lang w:val="en-CA"/>
              </w:rPr>
            </w:pPr>
          </w:p>
        </w:tc>
        <w:tc>
          <w:tcPr>
            <w:tcW w:w="5991" w:type="dxa"/>
          </w:tcPr>
          <w:p w14:paraId="72CE0B80" w14:textId="77777777" w:rsidR="00E45FDB" w:rsidRPr="00BC081A" w:rsidRDefault="00E45FDB" w:rsidP="00536F6A">
            <w:pPr>
              <w:pStyle w:val="ListParagraph"/>
              <w:widowControl w:val="0"/>
              <w:numPr>
                <w:ilvl w:val="0"/>
                <w:numId w:val="13"/>
              </w:numPr>
              <w:spacing w:before="120" w:after="120" w:line="360" w:lineRule="auto"/>
            </w:pPr>
            <w:r w:rsidRPr="00BC081A">
              <w:t>Time appears to go by very quickly when I am playing the game.</w:t>
            </w:r>
          </w:p>
          <w:p w14:paraId="659C205D" w14:textId="77777777" w:rsidR="00E45FDB" w:rsidRPr="00BC081A" w:rsidRDefault="00E45FDB" w:rsidP="00536F6A">
            <w:pPr>
              <w:pStyle w:val="ListParagraph"/>
              <w:widowControl w:val="0"/>
              <w:numPr>
                <w:ilvl w:val="0"/>
                <w:numId w:val="13"/>
              </w:numPr>
              <w:spacing w:before="120" w:after="120" w:line="360" w:lineRule="auto"/>
            </w:pPr>
            <w:r w:rsidRPr="00BC081A">
              <w:t>Sometimes I lose track of time when I am playing the game.</w:t>
            </w:r>
          </w:p>
          <w:p w14:paraId="31927B29" w14:textId="77777777" w:rsidR="00E45FDB" w:rsidRPr="00BC081A" w:rsidRDefault="00E45FDB" w:rsidP="00536F6A">
            <w:pPr>
              <w:pStyle w:val="ListParagraph"/>
              <w:widowControl w:val="0"/>
              <w:numPr>
                <w:ilvl w:val="0"/>
                <w:numId w:val="13"/>
              </w:numPr>
              <w:spacing w:before="120" w:after="120" w:line="360" w:lineRule="auto"/>
            </w:pPr>
            <w:r w:rsidRPr="00BC081A">
              <w:t>Time flies when I am playing the game.</w:t>
            </w:r>
          </w:p>
          <w:p w14:paraId="5B8B9289" w14:textId="75544CDA" w:rsidR="00E45FDB" w:rsidRPr="00BC081A" w:rsidRDefault="00E45FDB" w:rsidP="00536F6A">
            <w:pPr>
              <w:pStyle w:val="ListParagraph"/>
              <w:widowControl w:val="0"/>
              <w:numPr>
                <w:ilvl w:val="0"/>
                <w:numId w:val="13"/>
              </w:numPr>
              <w:spacing w:before="120" w:after="120" w:line="360" w:lineRule="auto"/>
            </w:pPr>
            <w:r w:rsidRPr="00BC081A">
              <w:t xml:space="preserve">Most times when I play video games, I end up spending more </w:t>
            </w:r>
            <w:r w:rsidR="00002215">
              <w:t>t</w:t>
            </w:r>
            <w:r w:rsidRPr="00BC081A">
              <w:t>ime that I had planned.</w:t>
            </w:r>
          </w:p>
          <w:p w14:paraId="148165EB" w14:textId="77777777" w:rsidR="00E45FDB" w:rsidRPr="00BC081A" w:rsidRDefault="00E45FDB" w:rsidP="00536F6A">
            <w:pPr>
              <w:pStyle w:val="ListParagraph"/>
              <w:widowControl w:val="0"/>
              <w:numPr>
                <w:ilvl w:val="0"/>
                <w:numId w:val="13"/>
              </w:numPr>
              <w:spacing w:before="120" w:after="120" w:line="360" w:lineRule="auto"/>
            </w:pPr>
            <w:r w:rsidRPr="00BC081A">
              <w:t xml:space="preserve">I often spend more time playing video games than I </w:t>
            </w:r>
            <w:r w:rsidRPr="00BC081A">
              <w:lastRenderedPageBreak/>
              <w:t>had intended.</w:t>
            </w:r>
          </w:p>
        </w:tc>
      </w:tr>
      <w:tr w:rsidR="00E45FDB" w:rsidRPr="00BC081A" w14:paraId="01C83EBF" w14:textId="77777777" w:rsidTr="008C71FB">
        <w:trPr>
          <w:jc w:val="center"/>
        </w:trPr>
        <w:tc>
          <w:tcPr>
            <w:tcW w:w="1896" w:type="dxa"/>
            <w:shd w:val="clear" w:color="auto" w:fill="F2F2F2" w:themeFill="background1" w:themeFillShade="F2"/>
          </w:tcPr>
          <w:p w14:paraId="1460C6AC" w14:textId="77777777" w:rsidR="00E45FDB" w:rsidRPr="00BC081A" w:rsidRDefault="00E45FDB" w:rsidP="00FC3905">
            <w:pPr>
              <w:pStyle w:val="TableContext"/>
              <w:rPr>
                <w:b/>
                <w:lang w:val="en-CA"/>
              </w:rPr>
            </w:pPr>
            <w:r w:rsidRPr="00BC081A">
              <w:rPr>
                <w:b/>
                <w:lang w:val="en-CA"/>
              </w:rPr>
              <w:lastRenderedPageBreak/>
              <w:t>Satisfaction</w:t>
            </w:r>
          </w:p>
        </w:tc>
        <w:tc>
          <w:tcPr>
            <w:tcW w:w="1689" w:type="dxa"/>
            <w:vAlign w:val="center"/>
          </w:tcPr>
          <w:p w14:paraId="5FB2663C" w14:textId="0A8CDAE3" w:rsidR="00E45FDB" w:rsidRPr="00BC081A" w:rsidRDefault="00E45FDB" w:rsidP="00FC3905">
            <w:pPr>
              <w:pStyle w:val="TableContext"/>
              <w:rPr>
                <w:noProof/>
                <w:lang w:val="en-CA"/>
              </w:rPr>
            </w:pPr>
            <w:r w:rsidRPr="00BC081A">
              <w:rPr>
                <w:noProof/>
                <w:lang w:val="en-CA"/>
              </w:rPr>
              <w:fldChar w:fldCharType="begin" w:fldLock="1"/>
            </w:r>
            <w:r w:rsidR="00AC1F7D">
              <w:rPr>
                <w:noProof/>
                <w:lang w:val="en-CA"/>
              </w:rPr>
              <w:instrText>ADDIN CSL_CITATION { "citationItems" : [ { "id" : "ITEM-1", "itemData" : { "DOI" : "10.1287/isre.1050.0042", "ISSN" : "1047-7047", "author" : [ { "dropping-particle" : "", "family" : "Wixom", "given" : "Barbara H.", "non-dropping-particle" : "", "parse-names" : false, "suffix" : "" }, { "dropping-particle" : "", "family" : "Todd", "given" : "Peter a.", "non-dropping-particle" : "", "parse-names" : false, "suffix" : "" } ], "container-title" : "Information Systems Research", "id" : "ITEM-1", "issue" : "1", "issued" : { "date-parts" : [ [ "2005", "3" ] ] }, "page" : "85-102", "title" : "A Theoretical Integration of User Satisfaction and Technology Acceptance", "type" : "article-journal", "volume" : "16" }, "uris" : [ "http://www.mendeley.com/documents/?uuid=b27adbfb-281e-45c9-80a6-a465fe496543" ] } ], "mendeley" : { "previouslyFormattedCitation" : "(Wixom &amp; Todd, 2005)" }, "properties" : { "noteIndex" : 0 }, "schema" : "https://github.com/citation-style-language/schema/raw/master/csl-citation.json" }</w:instrText>
            </w:r>
            <w:r w:rsidRPr="00BC081A">
              <w:rPr>
                <w:noProof/>
                <w:lang w:val="en-CA"/>
              </w:rPr>
              <w:fldChar w:fldCharType="separate"/>
            </w:r>
            <w:r w:rsidRPr="00BC081A">
              <w:rPr>
                <w:noProof/>
                <w:lang w:val="en-CA"/>
              </w:rPr>
              <w:t>(Wixom &amp; Todd, 2005)</w:t>
            </w:r>
            <w:r w:rsidRPr="00BC081A">
              <w:rPr>
                <w:noProof/>
                <w:lang w:val="en-CA"/>
              </w:rPr>
              <w:fldChar w:fldCharType="end"/>
            </w:r>
          </w:p>
        </w:tc>
        <w:tc>
          <w:tcPr>
            <w:tcW w:w="5991" w:type="dxa"/>
          </w:tcPr>
          <w:p w14:paraId="5A08FD03" w14:textId="6FCAAE96" w:rsidR="00E45FDB" w:rsidRPr="00BC081A" w:rsidRDefault="00E45FDB" w:rsidP="00536F6A">
            <w:pPr>
              <w:pStyle w:val="ListParagraph"/>
              <w:widowControl w:val="0"/>
              <w:numPr>
                <w:ilvl w:val="0"/>
                <w:numId w:val="18"/>
              </w:numPr>
              <w:spacing w:before="120" w:after="120" w:line="360" w:lineRule="auto"/>
            </w:pPr>
            <w:r w:rsidRPr="00BC081A">
              <w:t xml:space="preserve">All things considered, I am very satisfied with the </w:t>
            </w:r>
            <w:proofErr w:type="spellStart"/>
            <w:r w:rsidRPr="00BC081A">
              <w:t>Type</w:t>
            </w:r>
            <w:r w:rsidR="008B79F0">
              <w:t>R</w:t>
            </w:r>
            <w:r w:rsidRPr="00BC081A">
              <w:t>acer</w:t>
            </w:r>
            <w:proofErr w:type="spellEnd"/>
            <w:r w:rsidRPr="00BC081A">
              <w:t xml:space="preserve"> Game. </w:t>
            </w:r>
          </w:p>
          <w:p w14:paraId="25DF478A" w14:textId="713EC258" w:rsidR="00E45FDB" w:rsidRPr="00BC081A" w:rsidRDefault="00E45FDB" w:rsidP="008B79F0">
            <w:pPr>
              <w:pStyle w:val="ListParagraph"/>
              <w:widowControl w:val="0"/>
              <w:numPr>
                <w:ilvl w:val="0"/>
                <w:numId w:val="18"/>
              </w:numPr>
              <w:spacing w:before="120" w:after="120" w:line="360" w:lineRule="auto"/>
            </w:pPr>
            <w:r w:rsidRPr="00BC081A">
              <w:t xml:space="preserve">Overall, my interaction with the </w:t>
            </w:r>
            <w:proofErr w:type="spellStart"/>
            <w:r w:rsidRPr="00BC081A">
              <w:t>Type</w:t>
            </w:r>
            <w:r w:rsidR="008B79F0">
              <w:t>R</w:t>
            </w:r>
            <w:r w:rsidRPr="00BC081A">
              <w:t>acer</w:t>
            </w:r>
            <w:proofErr w:type="spellEnd"/>
            <w:r w:rsidRPr="00BC081A">
              <w:t xml:space="preserve"> game is very satisfying.</w:t>
            </w:r>
          </w:p>
        </w:tc>
      </w:tr>
    </w:tbl>
    <w:p w14:paraId="7A1BCF0B" w14:textId="77777777" w:rsidR="00E45FDB" w:rsidRPr="00BC081A" w:rsidRDefault="00E45FDB" w:rsidP="00E45FDB">
      <w:pPr>
        <w:spacing w:line="240" w:lineRule="auto"/>
        <w:ind w:firstLine="0"/>
      </w:pPr>
    </w:p>
    <w:p w14:paraId="17E2D8E7" w14:textId="77777777" w:rsidR="00E45FDB" w:rsidRPr="00BC081A" w:rsidRDefault="00E45FDB" w:rsidP="003F20B6">
      <w:pPr>
        <w:pStyle w:val="Heading2"/>
      </w:pPr>
      <w:bookmarkStart w:id="62" w:name="_Toc275209830"/>
      <w:r w:rsidRPr="00BC081A">
        <w:t>Manipulation Check</w:t>
      </w:r>
      <w:bookmarkEnd w:id="62"/>
    </w:p>
    <w:p w14:paraId="74A7E2B7" w14:textId="325FD3A7" w:rsidR="00E45FDB" w:rsidRPr="00BC081A" w:rsidRDefault="00E45FDB" w:rsidP="00E45FDB">
      <w:r w:rsidRPr="00BC081A">
        <w:t xml:space="preserve">The manipulated treatment in </w:t>
      </w:r>
      <w:r w:rsidR="00E400F5">
        <w:t>the main</w:t>
      </w:r>
      <w:r w:rsidRPr="00BC081A">
        <w:t xml:space="preserve"> study is the competition mode of the gameplay (no competition; competing against a computer, against human strangers, and against acquaintances/friends). The participants answered </w:t>
      </w:r>
      <w:r w:rsidR="003F20B6" w:rsidRPr="00BC081A">
        <w:t xml:space="preserve">the following </w:t>
      </w:r>
      <w:r w:rsidRPr="00BC081A">
        <w:t xml:space="preserve">series of questions following the gameplay in order to assess their awareness of the competition mode for validation of the treatments </w:t>
      </w:r>
      <w:r w:rsidRPr="00BC081A">
        <w:rPr>
          <w:noProof/>
        </w:rPr>
        <w:fldChar w:fldCharType="begin" w:fldLock="1"/>
      </w:r>
      <w:r w:rsidR="00AC1F7D">
        <w:rPr>
          <w:noProof/>
        </w:rPr>
        <w:instrText>ADDIN CSL_CITATION { "citationItems" : [ { "id" : "ITEM-1", "itemData" : { "author" : [ { "dropping-particle" : "", "family" : "Boudreau", "given" : "M.C.", "non-dropping-particle" : "", "parse-names" : false, "suffix" : "" }, { "dropping-particle" : "", "family" : "Gefen", "given" : "David", "non-dropping-particle" : "", "parse-names" : false, "suffix" : "" }, { "dropping-particle" : "", "family" : "Straub", "given" : "Detmar W.", "non-dropping-particle" : "", "parse-names" : false, "suffix" : "" } ], "container-title" : "Mis Quarterly", "id" : "ITEM-1", "issue" : "1", "issued" : { "date-parts" : [ [ "2001" ] ] }, "page" : "1\u201316", "publisher" : "JSTOR", "title" : "Validation in information systems research: A state-of-the-art assessment", "type" : "article-journal", "volume" : "25" }, "uris" : [ "http://www.mendeley.com/documents/?uuid=c45b6ead-6be6-4835-a3d9-0d9190b6dd7c" ] } ], "mendeley" : { "previouslyFormattedCitation" : "(Boudreau, Gefen, &amp; Straub, 2001)" }, "properties" : { "noteIndex" : 0 }, "schema" : "https://github.com/citation-style-language/schema/raw/master/csl-citation.json" }</w:instrText>
      </w:r>
      <w:r w:rsidRPr="00BC081A">
        <w:rPr>
          <w:noProof/>
        </w:rPr>
        <w:fldChar w:fldCharType="separate"/>
      </w:r>
      <w:r w:rsidRPr="00BC081A">
        <w:rPr>
          <w:noProof/>
        </w:rPr>
        <w:t>(Boudreau, Gefen, &amp; Straub, 2001)</w:t>
      </w:r>
      <w:r w:rsidRPr="00BC081A">
        <w:rPr>
          <w:noProof/>
        </w:rPr>
        <w:fldChar w:fldCharType="end"/>
      </w:r>
      <w:r w:rsidR="008D4E08" w:rsidRPr="00BC081A">
        <w:t>:</w:t>
      </w:r>
      <w:r w:rsidRPr="00BC081A">
        <w:t xml:space="preserve"> </w:t>
      </w:r>
    </w:p>
    <w:p w14:paraId="67B18DA6" w14:textId="77777777" w:rsidR="00E45FDB" w:rsidRPr="00BC081A" w:rsidRDefault="00E45FDB" w:rsidP="00E45FDB">
      <w:pPr>
        <w:rPr>
          <w:szCs w:val="20"/>
        </w:rPr>
      </w:pPr>
      <w:r w:rsidRPr="00BC081A">
        <w:rPr>
          <w:szCs w:val="20"/>
        </w:rPr>
        <w:t xml:space="preserve">What was the gaming </w:t>
      </w:r>
      <w:r w:rsidRPr="00BC081A">
        <w:rPr>
          <w:b/>
          <w:szCs w:val="20"/>
        </w:rPr>
        <w:t>mode</w:t>
      </w:r>
      <w:r w:rsidRPr="00BC081A">
        <w:rPr>
          <w:szCs w:val="20"/>
        </w:rPr>
        <w:t xml:space="preserve"> you played in the </w:t>
      </w:r>
      <w:r w:rsidRPr="00BC081A">
        <w:rPr>
          <w:b/>
          <w:szCs w:val="20"/>
        </w:rPr>
        <w:t>last sets of game</w:t>
      </w:r>
      <w:r w:rsidRPr="00BC081A">
        <w:rPr>
          <w:szCs w:val="20"/>
        </w:rPr>
        <w:t>? (</w:t>
      </w:r>
      <w:proofErr w:type="gramStart"/>
      <w:r w:rsidRPr="00BC081A">
        <w:rPr>
          <w:szCs w:val="20"/>
        </w:rPr>
        <w:t>mark</w:t>
      </w:r>
      <w:proofErr w:type="gramEnd"/>
      <w:r w:rsidRPr="00BC081A">
        <w:rPr>
          <w:szCs w:val="20"/>
        </w:rPr>
        <w:t xml:space="preserve"> the proper answer)</w:t>
      </w:r>
    </w:p>
    <w:tbl>
      <w:tblPr>
        <w:tblW w:w="3194"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991"/>
      </w:tblGrid>
      <w:tr w:rsidR="00E45FDB" w:rsidRPr="00BC081A" w14:paraId="76D3B7DF" w14:textId="77777777" w:rsidTr="008C71FB">
        <w:trPr>
          <w:trHeight w:val="540"/>
          <w:jc w:val="center"/>
        </w:trPr>
        <w:tc>
          <w:tcPr>
            <w:tcW w:w="2203" w:type="dxa"/>
            <w:shd w:val="clear" w:color="000000" w:fill="F2F2F2" w:themeFill="background1" w:themeFillShade="F2"/>
            <w:vAlign w:val="center"/>
            <w:hideMark/>
          </w:tcPr>
          <w:p w14:paraId="21940D39" w14:textId="77777777" w:rsidR="00E45FDB" w:rsidRPr="00BC081A" w:rsidRDefault="00E45FDB" w:rsidP="00FC3905">
            <w:pPr>
              <w:spacing w:line="240" w:lineRule="auto"/>
              <w:ind w:firstLine="0"/>
              <w:rPr>
                <w:rFonts w:ascii="Calibri" w:eastAsia="Times New Roman" w:hAnsi="Calibri" w:cs="Times New Roman"/>
                <w:b/>
                <w:bCs/>
                <w:color w:val="000000"/>
                <w:sz w:val="20"/>
                <w:szCs w:val="20"/>
              </w:rPr>
            </w:pPr>
            <w:r w:rsidRPr="00BC081A">
              <w:rPr>
                <w:rFonts w:ascii="Calibri" w:eastAsia="Times New Roman" w:hAnsi="Calibri" w:cs="Times New Roman"/>
                <w:b/>
                <w:bCs/>
                <w:color w:val="000000"/>
                <w:sz w:val="20"/>
                <w:szCs w:val="20"/>
              </w:rPr>
              <w:t>No Competition / Against Myself</w:t>
            </w:r>
          </w:p>
        </w:tc>
        <w:tc>
          <w:tcPr>
            <w:tcW w:w="991" w:type="dxa"/>
            <w:shd w:val="clear" w:color="auto" w:fill="auto"/>
            <w:vAlign w:val="center"/>
            <w:hideMark/>
          </w:tcPr>
          <w:p w14:paraId="47CBF71C" w14:textId="77777777" w:rsidR="00E45FDB" w:rsidRPr="00BC081A" w:rsidRDefault="00E45FDB" w:rsidP="00FC3905">
            <w:pPr>
              <w:jc w:val="center"/>
              <w:rPr>
                <w:rFonts w:ascii="Calibri" w:eastAsia="Times New Roman" w:hAnsi="Calibri" w:cs="Times New Roman"/>
                <w:b/>
                <w:bCs/>
                <w:color w:val="000000"/>
                <w:sz w:val="20"/>
                <w:szCs w:val="20"/>
              </w:rPr>
            </w:pPr>
          </w:p>
        </w:tc>
      </w:tr>
      <w:tr w:rsidR="00E45FDB" w:rsidRPr="00BC081A" w14:paraId="2D0C2DB4" w14:textId="77777777" w:rsidTr="008C71FB">
        <w:trPr>
          <w:trHeight w:val="580"/>
          <w:jc w:val="center"/>
        </w:trPr>
        <w:tc>
          <w:tcPr>
            <w:tcW w:w="2203" w:type="dxa"/>
            <w:shd w:val="clear" w:color="000000" w:fill="F2F2F2" w:themeFill="background1" w:themeFillShade="F2"/>
            <w:vAlign w:val="center"/>
            <w:hideMark/>
          </w:tcPr>
          <w:p w14:paraId="3341E9E3" w14:textId="77777777" w:rsidR="00E45FDB" w:rsidRPr="00BC081A" w:rsidRDefault="00E45FDB" w:rsidP="00FC3905">
            <w:pPr>
              <w:spacing w:line="240" w:lineRule="auto"/>
              <w:ind w:firstLine="0"/>
              <w:rPr>
                <w:rFonts w:ascii="Calibri" w:eastAsia="Times New Roman" w:hAnsi="Calibri" w:cs="Times New Roman"/>
                <w:b/>
                <w:bCs/>
                <w:color w:val="000000"/>
                <w:sz w:val="20"/>
                <w:szCs w:val="20"/>
              </w:rPr>
            </w:pPr>
            <w:r w:rsidRPr="00BC081A">
              <w:rPr>
                <w:rFonts w:ascii="Calibri" w:eastAsia="Times New Roman" w:hAnsi="Calibri" w:cs="Times New Roman"/>
                <w:b/>
                <w:bCs/>
                <w:color w:val="000000"/>
                <w:sz w:val="20"/>
                <w:szCs w:val="20"/>
              </w:rPr>
              <w:t>Competing Against Computer</w:t>
            </w:r>
          </w:p>
        </w:tc>
        <w:tc>
          <w:tcPr>
            <w:tcW w:w="991" w:type="dxa"/>
            <w:shd w:val="clear" w:color="auto" w:fill="auto"/>
            <w:vAlign w:val="center"/>
            <w:hideMark/>
          </w:tcPr>
          <w:p w14:paraId="02B67752" w14:textId="77777777" w:rsidR="00E45FDB" w:rsidRPr="00BC081A" w:rsidRDefault="00E45FDB" w:rsidP="00FC3905">
            <w:pPr>
              <w:jc w:val="center"/>
              <w:rPr>
                <w:rFonts w:ascii="Calibri" w:eastAsia="Times New Roman" w:hAnsi="Calibri" w:cs="Times New Roman"/>
                <w:b/>
                <w:bCs/>
                <w:color w:val="000000"/>
                <w:sz w:val="20"/>
                <w:szCs w:val="20"/>
              </w:rPr>
            </w:pPr>
          </w:p>
        </w:tc>
      </w:tr>
      <w:tr w:rsidR="00E45FDB" w:rsidRPr="00BC081A" w14:paraId="05D5C0A4" w14:textId="77777777" w:rsidTr="008C71FB">
        <w:trPr>
          <w:trHeight w:val="529"/>
          <w:jc w:val="center"/>
        </w:trPr>
        <w:tc>
          <w:tcPr>
            <w:tcW w:w="2203" w:type="dxa"/>
            <w:shd w:val="clear" w:color="000000" w:fill="F2F2F2" w:themeFill="background1" w:themeFillShade="F2"/>
            <w:vAlign w:val="center"/>
            <w:hideMark/>
          </w:tcPr>
          <w:p w14:paraId="47420C9D" w14:textId="77777777" w:rsidR="00E45FDB" w:rsidRPr="00BC081A" w:rsidRDefault="00E45FDB" w:rsidP="00FC3905">
            <w:pPr>
              <w:spacing w:line="240" w:lineRule="auto"/>
              <w:ind w:firstLine="0"/>
              <w:rPr>
                <w:rFonts w:ascii="Calibri" w:eastAsia="Times New Roman" w:hAnsi="Calibri" w:cs="Times New Roman"/>
                <w:b/>
                <w:bCs/>
                <w:color w:val="000000"/>
                <w:sz w:val="20"/>
                <w:szCs w:val="20"/>
              </w:rPr>
            </w:pPr>
            <w:r w:rsidRPr="00BC081A">
              <w:rPr>
                <w:rFonts w:ascii="Calibri" w:eastAsia="Times New Roman" w:hAnsi="Calibri" w:cs="Times New Roman"/>
                <w:b/>
                <w:bCs/>
                <w:color w:val="000000"/>
                <w:sz w:val="20"/>
                <w:szCs w:val="20"/>
              </w:rPr>
              <w:t>Competing Against a Human</w:t>
            </w:r>
          </w:p>
        </w:tc>
        <w:tc>
          <w:tcPr>
            <w:tcW w:w="991" w:type="dxa"/>
            <w:shd w:val="clear" w:color="auto" w:fill="auto"/>
            <w:vAlign w:val="center"/>
            <w:hideMark/>
          </w:tcPr>
          <w:p w14:paraId="4BEAB2AF" w14:textId="77777777" w:rsidR="00E45FDB" w:rsidRPr="00BC081A" w:rsidRDefault="00E45FDB" w:rsidP="00FC3905">
            <w:pPr>
              <w:jc w:val="center"/>
              <w:rPr>
                <w:rFonts w:ascii="Calibri" w:eastAsia="Times New Roman" w:hAnsi="Calibri" w:cs="Times New Roman"/>
                <w:b/>
                <w:bCs/>
                <w:color w:val="000000"/>
                <w:sz w:val="20"/>
                <w:szCs w:val="20"/>
              </w:rPr>
            </w:pPr>
          </w:p>
        </w:tc>
      </w:tr>
    </w:tbl>
    <w:p w14:paraId="744BF79E" w14:textId="77777777" w:rsidR="00E45FDB" w:rsidRPr="00BC081A" w:rsidRDefault="00E45FDB" w:rsidP="00E45FDB">
      <w:pPr>
        <w:ind w:firstLine="0"/>
        <w:rPr>
          <w:szCs w:val="20"/>
        </w:rPr>
      </w:pPr>
    </w:p>
    <w:p w14:paraId="21675067" w14:textId="77777777" w:rsidR="00E45FDB" w:rsidRPr="00BC081A" w:rsidRDefault="00E45FDB" w:rsidP="00E45FDB">
      <w:pPr>
        <w:ind w:firstLine="0"/>
        <w:rPr>
          <w:szCs w:val="20"/>
        </w:rPr>
      </w:pPr>
      <w:r w:rsidRPr="00BC081A">
        <w:rPr>
          <w:szCs w:val="20"/>
        </w:rPr>
        <w:t xml:space="preserve">If you think the game’s mode was competing against a </w:t>
      </w:r>
      <w:r w:rsidRPr="00BC081A">
        <w:rPr>
          <w:b/>
          <w:szCs w:val="20"/>
        </w:rPr>
        <w:t>human</w:t>
      </w:r>
      <w:r w:rsidRPr="00BC081A">
        <w:rPr>
          <w:szCs w:val="20"/>
        </w:rPr>
        <w:t xml:space="preserve">, </w:t>
      </w:r>
      <w:r w:rsidRPr="00BC081A">
        <w:rPr>
          <w:b/>
          <w:szCs w:val="20"/>
        </w:rPr>
        <w:t>how close</w:t>
      </w:r>
      <w:r w:rsidRPr="00BC081A">
        <w:rPr>
          <w:szCs w:val="20"/>
        </w:rPr>
        <w:t xml:space="preserve"> do you evaluate your relationship with your opponent?</w:t>
      </w:r>
    </w:p>
    <w:tbl>
      <w:tblPr>
        <w:tblStyle w:val="TableGrid"/>
        <w:tblW w:w="6132" w:type="dxa"/>
        <w:jc w:val="center"/>
        <w:tblInd w:w="-84" w:type="dxa"/>
        <w:tblLayout w:type="fixed"/>
        <w:tblLook w:val="04A0" w:firstRow="1" w:lastRow="0" w:firstColumn="1" w:lastColumn="0" w:noHBand="0" w:noVBand="1"/>
      </w:tblPr>
      <w:tblGrid>
        <w:gridCol w:w="1218"/>
        <w:gridCol w:w="1150"/>
        <w:gridCol w:w="1417"/>
        <w:gridCol w:w="1276"/>
        <w:gridCol w:w="1071"/>
      </w:tblGrid>
      <w:tr w:rsidR="00E45FDB" w:rsidRPr="00BC081A" w14:paraId="38BCED78" w14:textId="77777777" w:rsidTr="008C71FB">
        <w:trPr>
          <w:jc w:val="center"/>
        </w:trPr>
        <w:tc>
          <w:tcPr>
            <w:tcW w:w="1218" w:type="dxa"/>
            <w:shd w:val="clear" w:color="auto" w:fill="F2F2F2" w:themeFill="background1" w:themeFillShade="F2"/>
          </w:tcPr>
          <w:p w14:paraId="13843764" w14:textId="77777777" w:rsidR="00E45FDB" w:rsidRPr="00BC081A" w:rsidRDefault="00E45FDB" w:rsidP="00FC3905">
            <w:pPr>
              <w:widowControl w:val="0"/>
              <w:spacing w:before="120" w:after="120" w:line="360" w:lineRule="auto"/>
              <w:ind w:firstLine="0"/>
              <w:rPr>
                <w:rFonts w:ascii="Calibri" w:hAnsi="Calibri"/>
                <w:b/>
                <w:sz w:val="20"/>
                <w:szCs w:val="20"/>
              </w:rPr>
            </w:pPr>
            <w:r w:rsidRPr="00BC081A">
              <w:rPr>
                <w:rFonts w:ascii="Calibri" w:hAnsi="Calibri"/>
                <w:b/>
                <w:sz w:val="20"/>
                <w:szCs w:val="20"/>
              </w:rPr>
              <w:t>Completely Unfamiliar</w:t>
            </w:r>
          </w:p>
        </w:tc>
        <w:tc>
          <w:tcPr>
            <w:tcW w:w="1150" w:type="dxa"/>
            <w:shd w:val="clear" w:color="auto" w:fill="F2F2F2" w:themeFill="background1" w:themeFillShade="F2"/>
          </w:tcPr>
          <w:p w14:paraId="524DC51A" w14:textId="77777777" w:rsidR="00E45FDB" w:rsidRPr="00BC081A" w:rsidRDefault="00E45FDB" w:rsidP="00FC3905">
            <w:pPr>
              <w:widowControl w:val="0"/>
              <w:spacing w:before="120" w:after="120" w:line="360" w:lineRule="auto"/>
              <w:ind w:firstLine="0"/>
              <w:rPr>
                <w:rFonts w:ascii="Calibri" w:hAnsi="Calibri"/>
                <w:b/>
                <w:sz w:val="20"/>
                <w:szCs w:val="20"/>
              </w:rPr>
            </w:pPr>
            <w:r w:rsidRPr="00BC081A">
              <w:rPr>
                <w:rFonts w:ascii="Calibri" w:hAnsi="Calibri"/>
                <w:b/>
                <w:sz w:val="20"/>
                <w:szCs w:val="20"/>
              </w:rPr>
              <w:t>Somewhat Unfamiliar</w:t>
            </w:r>
          </w:p>
        </w:tc>
        <w:tc>
          <w:tcPr>
            <w:tcW w:w="1417" w:type="dxa"/>
            <w:shd w:val="clear" w:color="auto" w:fill="F2F2F2" w:themeFill="background1" w:themeFillShade="F2"/>
          </w:tcPr>
          <w:p w14:paraId="0C8F651E" w14:textId="77777777" w:rsidR="00E45FDB" w:rsidRPr="00BC081A" w:rsidRDefault="00E45FDB" w:rsidP="00FC3905">
            <w:pPr>
              <w:widowControl w:val="0"/>
              <w:spacing w:before="120" w:after="120" w:line="360" w:lineRule="auto"/>
              <w:ind w:firstLine="0"/>
              <w:rPr>
                <w:rFonts w:ascii="Calibri" w:hAnsi="Calibri"/>
                <w:b/>
                <w:sz w:val="20"/>
                <w:szCs w:val="20"/>
              </w:rPr>
            </w:pPr>
            <w:r w:rsidRPr="00BC081A">
              <w:rPr>
                <w:rFonts w:ascii="Calibri" w:hAnsi="Calibri"/>
                <w:b/>
                <w:sz w:val="20"/>
                <w:szCs w:val="20"/>
              </w:rPr>
              <w:t>Acquaintance</w:t>
            </w:r>
          </w:p>
        </w:tc>
        <w:tc>
          <w:tcPr>
            <w:tcW w:w="1276" w:type="dxa"/>
            <w:shd w:val="clear" w:color="auto" w:fill="F2F2F2" w:themeFill="background1" w:themeFillShade="F2"/>
          </w:tcPr>
          <w:p w14:paraId="7426EE3C" w14:textId="77777777" w:rsidR="00E45FDB" w:rsidRPr="00BC081A" w:rsidRDefault="00E45FDB" w:rsidP="00FC3905">
            <w:pPr>
              <w:widowControl w:val="0"/>
              <w:spacing w:before="120" w:after="120" w:line="360" w:lineRule="auto"/>
              <w:ind w:firstLine="0"/>
              <w:rPr>
                <w:rFonts w:ascii="Calibri" w:hAnsi="Calibri"/>
                <w:b/>
                <w:sz w:val="20"/>
                <w:szCs w:val="20"/>
              </w:rPr>
            </w:pPr>
            <w:r w:rsidRPr="00BC081A">
              <w:rPr>
                <w:rFonts w:ascii="Calibri" w:hAnsi="Calibri"/>
                <w:b/>
                <w:sz w:val="20"/>
                <w:szCs w:val="20"/>
              </w:rPr>
              <w:t>Somewhat Close</w:t>
            </w:r>
          </w:p>
        </w:tc>
        <w:tc>
          <w:tcPr>
            <w:tcW w:w="1071" w:type="dxa"/>
            <w:shd w:val="clear" w:color="auto" w:fill="F2F2F2" w:themeFill="background1" w:themeFillShade="F2"/>
          </w:tcPr>
          <w:p w14:paraId="148E78CC" w14:textId="77777777" w:rsidR="00E45FDB" w:rsidRPr="00BC081A" w:rsidRDefault="00E45FDB" w:rsidP="00FC3905">
            <w:pPr>
              <w:widowControl w:val="0"/>
              <w:spacing w:before="120" w:after="120" w:line="360" w:lineRule="auto"/>
              <w:ind w:firstLine="0"/>
              <w:rPr>
                <w:rFonts w:ascii="Calibri" w:hAnsi="Calibri"/>
                <w:b/>
                <w:sz w:val="20"/>
                <w:szCs w:val="20"/>
              </w:rPr>
            </w:pPr>
            <w:r w:rsidRPr="00BC081A">
              <w:rPr>
                <w:rFonts w:ascii="Calibri" w:hAnsi="Calibri"/>
                <w:b/>
                <w:sz w:val="20"/>
                <w:szCs w:val="20"/>
              </w:rPr>
              <w:t>Very Close</w:t>
            </w:r>
          </w:p>
        </w:tc>
      </w:tr>
      <w:tr w:rsidR="00E45FDB" w:rsidRPr="00BC081A" w14:paraId="3E6BACCA" w14:textId="77777777" w:rsidTr="00FC3905">
        <w:trPr>
          <w:jc w:val="center"/>
        </w:trPr>
        <w:tc>
          <w:tcPr>
            <w:tcW w:w="1218" w:type="dxa"/>
            <w:vAlign w:val="center"/>
          </w:tcPr>
          <w:p w14:paraId="42EEF9BF" w14:textId="77777777" w:rsidR="00E45FDB" w:rsidRPr="00BC081A" w:rsidRDefault="00E45FDB" w:rsidP="00FC3905">
            <w:pPr>
              <w:widowControl w:val="0"/>
              <w:spacing w:before="120" w:after="120"/>
              <w:jc w:val="center"/>
              <w:rPr>
                <w:rFonts w:ascii="Calibri" w:hAnsi="Calibri"/>
                <w:sz w:val="20"/>
                <w:szCs w:val="20"/>
              </w:rPr>
            </w:pPr>
            <w:r w:rsidRPr="00BC081A">
              <w:rPr>
                <w:rFonts w:ascii="Calibri" w:hAnsi="Calibri"/>
                <w:b/>
                <w:sz w:val="20"/>
                <w:szCs w:val="20"/>
              </w:rPr>
              <w:t>1</w:t>
            </w:r>
          </w:p>
        </w:tc>
        <w:tc>
          <w:tcPr>
            <w:tcW w:w="1150" w:type="dxa"/>
            <w:vAlign w:val="center"/>
          </w:tcPr>
          <w:p w14:paraId="64EFF677" w14:textId="77777777" w:rsidR="00E45FDB" w:rsidRPr="00BC081A" w:rsidRDefault="00E45FDB" w:rsidP="00FC3905">
            <w:pPr>
              <w:widowControl w:val="0"/>
              <w:spacing w:before="120" w:after="120"/>
              <w:jc w:val="center"/>
              <w:rPr>
                <w:rFonts w:ascii="Calibri" w:hAnsi="Calibri"/>
                <w:sz w:val="20"/>
                <w:szCs w:val="20"/>
              </w:rPr>
            </w:pPr>
            <w:r w:rsidRPr="00BC081A">
              <w:rPr>
                <w:rFonts w:ascii="Calibri" w:hAnsi="Calibri"/>
                <w:b/>
                <w:sz w:val="20"/>
                <w:szCs w:val="20"/>
              </w:rPr>
              <w:t>2</w:t>
            </w:r>
          </w:p>
        </w:tc>
        <w:tc>
          <w:tcPr>
            <w:tcW w:w="1417" w:type="dxa"/>
            <w:vAlign w:val="center"/>
          </w:tcPr>
          <w:p w14:paraId="64CF2A84" w14:textId="77777777" w:rsidR="00E45FDB" w:rsidRPr="00BC081A" w:rsidRDefault="00E45FDB" w:rsidP="00FC3905">
            <w:pPr>
              <w:widowControl w:val="0"/>
              <w:spacing w:before="120" w:after="120"/>
              <w:jc w:val="center"/>
              <w:rPr>
                <w:rFonts w:ascii="Calibri" w:hAnsi="Calibri"/>
                <w:sz w:val="20"/>
                <w:szCs w:val="20"/>
              </w:rPr>
            </w:pPr>
            <w:r w:rsidRPr="00BC081A">
              <w:rPr>
                <w:rFonts w:ascii="Calibri" w:hAnsi="Calibri"/>
                <w:b/>
                <w:sz w:val="20"/>
                <w:szCs w:val="20"/>
              </w:rPr>
              <w:t>3</w:t>
            </w:r>
          </w:p>
        </w:tc>
        <w:tc>
          <w:tcPr>
            <w:tcW w:w="1276" w:type="dxa"/>
            <w:vAlign w:val="center"/>
          </w:tcPr>
          <w:p w14:paraId="7A9EEA62" w14:textId="77777777" w:rsidR="00E45FDB" w:rsidRPr="00BC081A" w:rsidRDefault="00E45FDB" w:rsidP="00FC3905">
            <w:pPr>
              <w:widowControl w:val="0"/>
              <w:spacing w:before="120" w:after="120"/>
              <w:jc w:val="center"/>
              <w:rPr>
                <w:rFonts w:ascii="Calibri" w:hAnsi="Calibri"/>
                <w:sz w:val="20"/>
                <w:szCs w:val="20"/>
              </w:rPr>
            </w:pPr>
            <w:r w:rsidRPr="00BC081A">
              <w:rPr>
                <w:rFonts w:ascii="Calibri" w:hAnsi="Calibri"/>
                <w:b/>
                <w:sz w:val="20"/>
                <w:szCs w:val="20"/>
              </w:rPr>
              <w:t>4</w:t>
            </w:r>
          </w:p>
        </w:tc>
        <w:tc>
          <w:tcPr>
            <w:tcW w:w="1071" w:type="dxa"/>
            <w:vAlign w:val="center"/>
          </w:tcPr>
          <w:p w14:paraId="3D92A90A" w14:textId="77777777" w:rsidR="00E45FDB" w:rsidRPr="00BC081A" w:rsidRDefault="00E45FDB" w:rsidP="00FC3905">
            <w:pPr>
              <w:widowControl w:val="0"/>
              <w:spacing w:before="120" w:after="120"/>
              <w:jc w:val="center"/>
              <w:rPr>
                <w:rFonts w:ascii="Calibri" w:hAnsi="Calibri"/>
                <w:sz w:val="20"/>
                <w:szCs w:val="20"/>
              </w:rPr>
            </w:pPr>
            <w:r w:rsidRPr="00BC081A">
              <w:rPr>
                <w:rFonts w:ascii="Calibri" w:hAnsi="Calibri"/>
                <w:b/>
                <w:sz w:val="20"/>
                <w:szCs w:val="20"/>
              </w:rPr>
              <w:t>5</w:t>
            </w:r>
          </w:p>
        </w:tc>
      </w:tr>
    </w:tbl>
    <w:p w14:paraId="43D09826" w14:textId="77777777" w:rsidR="00E45FDB" w:rsidRPr="00BC081A" w:rsidRDefault="00E45FDB" w:rsidP="00E45FDB">
      <w:pPr>
        <w:rPr>
          <w:highlight w:val="lightGray"/>
        </w:rPr>
      </w:pPr>
    </w:p>
    <w:p w14:paraId="3469D0AF" w14:textId="77777777" w:rsidR="00E45FDB" w:rsidRPr="00BC081A" w:rsidRDefault="00E45FDB" w:rsidP="00653A2D">
      <w:pPr>
        <w:ind w:firstLine="0"/>
      </w:pPr>
      <w:r w:rsidRPr="00BC081A">
        <w:lastRenderedPageBreak/>
        <w:t>During the last set of games, how many rounds of the game did you play? _______</w:t>
      </w:r>
    </w:p>
    <w:p w14:paraId="5B519549" w14:textId="5A778C1C" w:rsidR="009503F5" w:rsidRPr="00BC081A" w:rsidRDefault="00E45FDB" w:rsidP="00E45FDB">
      <w:pPr>
        <w:spacing w:line="240" w:lineRule="auto"/>
        <w:ind w:firstLine="0"/>
        <w:rPr>
          <w:rFonts w:asciiTheme="majorHAnsi" w:eastAsiaTheme="majorEastAsia" w:hAnsiTheme="majorHAnsi" w:cstheme="majorBidi"/>
          <w:b/>
          <w:bCs/>
          <w:caps/>
          <w:color w:val="345A8A" w:themeColor="accent1" w:themeShade="B5"/>
          <w:sz w:val="30"/>
          <w:szCs w:val="32"/>
        </w:rPr>
      </w:pPr>
      <w:r w:rsidRPr="00BC081A">
        <w:t>During the last set of games, how many rounds did you win? _______</w:t>
      </w:r>
      <w:r w:rsidR="009503F5" w:rsidRPr="00BC081A">
        <w:br w:type="page"/>
      </w:r>
    </w:p>
    <w:p w14:paraId="14056E46" w14:textId="21B28A4D" w:rsidR="00A0629A" w:rsidRPr="00BC081A" w:rsidRDefault="005E5920" w:rsidP="009A5E27">
      <w:pPr>
        <w:pStyle w:val="Heading1"/>
      </w:pPr>
      <w:bookmarkStart w:id="63" w:name="_Ref271831525"/>
      <w:bookmarkStart w:id="64" w:name="_Toc275209831"/>
      <w:r w:rsidRPr="00BC081A">
        <w:lastRenderedPageBreak/>
        <w:t>Data Analysis and Results</w:t>
      </w:r>
      <w:bookmarkEnd w:id="63"/>
      <w:bookmarkEnd w:id="64"/>
    </w:p>
    <w:p w14:paraId="0319B8E4" w14:textId="48CB42A8" w:rsidR="00301BFD" w:rsidRPr="00BC081A" w:rsidRDefault="00A0629A" w:rsidP="00D21A58">
      <w:r w:rsidRPr="00D21A58">
        <w:t xml:space="preserve">This chapter </w:t>
      </w:r>
      <w:r w:rsidR="00E16802" w:rsidRPr="00D21A58">
        <w:t xml:space="preserve">outlines the data analysis and results for </w:t>
      </w:r>
      <w:r w:rsidR="00D21A58" w:rsidRPr="00D21A58">
        <w:t>v</w:t>
      </w:r>
      <w:r w:rsidR="00E90692" w:rsidRPr="00D21A58">
        <w:t>alidating the proposed Research Model of Competitive Video Gameplay</w:t>
      </w:r>
      <w:r w:rsidR="002D37AA" w:rsidRPr="00D21A58">
        <w:t xml:space="preserve"> (which included a pilot study)</w:t>
      </w:r>
      <w:r w:rsidR="00E90692" w:rsidRPr="00D21A58">
        <w:t>.</w:t>
      </w:r>
      <w:r w:rsidR="00D21A58">
        <w:t xml:space="preserve"> </w:t>
      </w:r>
      <w:r w:rsidR="000D7DF3" w:rsidRPr="00BC081A">
        <w:t>As mentioned in the methodology chapter, prior to testing the research model that answers</w:t>
      </w:r>
      <w:r w:rsidR="007651B2" w:rsidRPr="00BC081A">
        <w:t xml:space="preserve"> </w:t>
      </w:r>
      <w:r w:rsidR="000D7DF3" w:rsidRPr="00BC081A">
        <w:t xml:space="preserve">the </w:t>
      </w:r>
      <w:r w:rsidR="007651B2" w:rsidRPr="00BC081A">
        <w:t>key research questions</w:t>
      </w:r>
      <w:r w:rsidR="000D7DF3" w:rsidRPr="00BC081A">
        <w:t>,</w:t>
      </w:r>
      <w:r w:rsidR="007651B2" w:rsidRPr="00BC081A">
        <w:t xml:space="preserve"> a pilot study </w:t>
      </w:r>
      <w:r w:rsidR="000D7DF3" w:rsidRPr="00BC081A">
        <w:t>was conducted to help</w:t>
      </w:r>
      <w:r w:rsidR="007651B2" w:rsidRPr="00BC081A">
        <w:t xml:space="preserve"> us finalize the design of </w:t>
      </w:r>
      <w:r w:rsidR="003D40C4">
        <w:t xml:space="preserve">the </w:t>
      </w:r>
      <w:r w:rsidR="007651B2" w:rsidRPr="00BC081A">
        <w:t>experiment</w:t>
      </w:r>
      <w:r w:rsidR="000D7DF3" w:rsidRPr="00BC081A">
        <w:t>’s procedure and content</w:t>
      </w:r>
      <w:r w:rsidR="003D40C4">
        <w:t xml:space="preserve"> of this research</w:t>
      </w:r>
      <w:r w:rsidR="007651B2" w:rsidRPr="00BC081A">
        <w:t xml:space="preserve">. </w:t>
      </w:r>
    </w:p>
    <w:p w14:paraId="280898B9" w14:textId="77777777" w:rsidR="000141C3" w:rsidRPr="00BC081A" w:rsidRDefault="000141C3" w:rsidP="00382258">
      <w:pPr>
        <w:pStyle w:val="Heading3"/>
      </w:pPr>
      <w:bookmarkStart w:id="65" w:name="_Toc275209832"/>
      <w:r w:rsidRPr="00BC081A">
        <w:t>Pilot Study</w:t>
      </w:r>
      <w:bookmarkEnd w:id="65"/>
    </w:p>
    <w:p w14:paraId="6B72732E" w14:textId="7645A1FD" w:rsidR="00290E9B" w:rsidRPr="00BC081A" w:rsidRDefault="00850077" w:rsidP="005F4CF9">
      <w:r w:rsidRPr="00BC081A">
        <w:t>A</w:t>
      </w:r>
      <w:r w:rsidR="005F4CF9" w:rsidRPr="00BC081A">
        <w:t xml:space="preserve"> pilot study was conducted with 19 students from </w:t>
      </w:r>
      <w:r w:rsidR="00745C0D">
        <w:t xml:space="preserve">the </w:t>
      </w:r>
      <w:r w:rsidR="005F4CF9" w:rsidRPr="00BC081A">
        <w:t>DeGroote School of Business in order to resolve technical and procedural issues</w:t>
      </w:r>
      <w:r w:rsidR="00E762B0" w:rsidRPr="00BC081A">
        <w:t xml:space="preserve"> and to identify any problem</w:t>
      </w:r>
      <w:r w:rsidR="00745C0D">
        <w:t>s</w:t>
      </w:r>
      <w:r w:rsidR="00E762B0" w:rsidRPr="00BC081A">
        <w:t xml:space="preserve"> with survey content</w:t>
      </w:r>
      <w:r w:rsidR="005F4CF9" w:rsidRPr="00BC081A">
        <w:t>.</w:t>
      </w:r>
      <w:r w:rsidR="00C6298B" w:rsidRPr="00BC081A">
        <w:t xml:space="preserve"> The survey included open-ended questions in order to receive feedback for resolving any issue with the design of the experiment as well as the survey questions. </w:t>
      </w:r>
      <w:r w:rsidR="00000F82" w:rsidRPr="00BC081A">
        <w:t>The p</w:t>
      </w:r>
      <w:r w:rsidR="005F4CF9" w:rsidRPr="00BC081A">
        <w:t xml:space="preserve">ilot study also helped </w:t>
      </w:r>
      <w:r w:rsidR="00047749" w:rsidRPr="00BC081A">
        <w:t xml:space="preserve">in </w:t>
      </w:r>
      <w:r w:rsidR="00000F82" w:rsidRPr="00BC081A">
        <w:t>designing</w:t>
      </w:r>
      <w:r w:rsidR="005F4CF9" w:rsidRPr="00BC081A">
        <w:t xml:space="preserve"> the main experiment by </w:t>
      </w:r>
      <w:r w:rsidR="00832D20" w:rsidRPr="00BC081A">
        <w:t xml:space="preserve">reaffirming </w:t>
      </w:r>
      <w:r w:rsidR="005F4CF9" w:rsidRPr="00BC081A">
        <w:t xml:space="preserve">the best point </w:t>
      </w:r>
      <w:r w:rsidR="00832D20" w:rsidRPr="00BC081A">
        <w:t xml:space="preserve">(midway) </w:t>
      </w:r>
      <w:r w:rsidR="005F4CF9" w:rsidRPr="00BC081A">
        <w:t>in the experiment to hand out the complete questionnaire</w:t>
      </w:r>
      <w:r w:rsidR="00832D20" w:rsidRPr="00BC081A">
        <w:t xml:space="preserve"> in the specific context of the </w:t>
      </w:r>
      <w:proofErr w:type="spellStart"/>
      <w:r w:rsidR="00832D20" w:rsidRPr="00BC081A">
        <w:t>TypeRacer</w:t>
      </w:r>
      <w:proofErr w:type="spellEnd"/>
      <w:r w:rsidR="00832D20" w:rsidRPr="00BC081A">
        <w:t xml:space="preserve"> game</w:t>
      </w:r>
      <w:r w:rsidR="005F4CF9" w:rsidRPr="00BC081A">
        <w:t xml:space="preserve">. </w:t>
      </w:r>
      <w:r w:rsidR="00983C78" w:rsidRPr="00BC081A">
        <w:t>The data collection procedure of the pilot study was slightly different than the main study’s procedure</w:t>
      </w:r>
      <w:r w:rsidR="00171A70">
        <w:t xml:space="preserve"> (please refer to Appendix 5</w:t>
      </w:r>
      <w:r w:rsidR="00E401AD" w:rsidRPr="00BC081A">
        <w:t xml:space="preserve"> for the </w:t>
      </w:r>
      <w:r w:rsidR="00000F82" w:rsidRPr="00BC081A">
        <w:t xml:space="preserve">explanation </w:t>
      </w:r>
      <w:r w:rsidR="00E401AD" w:rsidRPr="00BC081A">
        <w:t>of the experiment’s procedure)</w:t>
      </w:r>
      <w:r w:rsidR="00983C78" w:rsidRPr="00BC081A">
        <w:t>.</w:t>
      </w:r>
      <w:r w:rsidR="000F2A01" w:rsidRPr="00BC081A">
        <w:t xml:space="preserve"> The duration of the experiment was the main difference between the pilot study and the main study.</w:t>
      </w:r>
      <w:r w:rsidR="00983C78" w:rsidRPr="00BC081A">
        <w:t xml:space="preserve"> </w:t>
      </w:r>
      <w:r w:rsidR="000F2A01" w:rsidRPr="00BC081A">
        <w:t>In the pilot study a partially repeated measure</w:t>
      </w:r>
      <w:r w:rsidR="00290E9B" w:rsidRPr="00BC081A">
        <w:t xml:space="preserve">s design </w:t>
      </w:r>
      <w:r w:rsidR="00974AFB" w:rsidRPr="00BC081A">
        <w:t xml:space="preserve">was implemented </w:t>
      </w:r>
      <w:r w:rsidR="00290E9B" w:rsidRPr="00BC081A">
        <w:t>by assigning each participant to two out of four modes of the game. With the assig</w:t>
      </w:r>
      <w:r w:rsidR="006D0D4D" w:rsidRPr="00BC081A">
        <w:t>nment of two modes of the game</w:t>
      </w:r>
      <w:r w:rsidR="00290E9B" w:rsidRPr="00BC081A">
        <w:t xml:space="preserve">, each experiment </w:t>
      </w:r>
      <w:r w:rsidR="00EF10E4" w:rsidRPr="00BC081A">
        <w:t>took</w:t>
      </w:r>
      <w:r w:rsidR="00290E9B" w:rsidRPr="00BC081A">
        <w:t xml:space="preserve"> more than one</w:t>
      </w:r>
      <w:r w:rsidR="001277BB" w:rsidRPr="00BC081A">
        <w:t xml:space="preserve"> hour, resulting in </w:t>
      </w:r>
      <w:r w:rsidR="00E279CC" w:rsidRPr="00BC081A">
        <w:t xml:space="preserve">some participants’ </w:t>
      </w:r>
      <w:r w:rsidR="001277BB" w:rsidRPr="00BC081A">
        <w:t>frustration.</w:t>
      </w:r>
      <w:r w:rsidR="00E279CC" w:rsidRPr="00BC081A">
        <w:t xml:space="preserve"> As such, it was decided that participants in the main study should only be assigned one mode of gameplay.</w:t>
      </w:r>
    </w:p>
    <w:p w14:paraId="32A37D4F" w14:textId="383831C6" w:rsidR="007401AB" w:rsidRPr="00BC081A" w:rsidRDefault="00290E9B" w:rsidP="007401AB">
      <w:r w:rsidRPr="00BC081A">
        <w:t xml:space="preserve">The other take away of the pilot study </w:t>
      </w:r>
      <w:r w:rsidR="00000F82" w:rsidRPr="00BC081A">
        <w:t>relates to</w:t>
      </w:r>
      <w:r w:rsidRPr="00BC081A">
        <w:t xml:space="preserve"> the timing of the complete survey. In the pilot study, </w:t>
      </w:r>
      <w:r w:rsidR="00166860" w:rsidRPr="00BC081A">
        <w:t>each participant would play five round</w:t>
      </w:r>
      <w:r w:rsidR="00745C0D">
        <w:t>s</w:t>
      </w:r>
      <w:r w:rsidR="00166860" w:rsidRPr="00BC081A">
        <w:t xml:space="preserve"> of the game, similar to the main experiment. </w:t>
      </w:r>
      <w:r w:rsidR="00166860" w:rsidRPr="00BC081A">
        <w:lastRenderedPageBreak/>
        <w:t xml:space="preserve">However, the complete survey was given to the participants in a random fashion. Based on the mini-surveys that </w:t>
      </w:r>
      <w:r w:rsidR="00D4138A" w:rsidRPr="00BC081A">
        <w:t>were</w:t>
      </w:r>
      <w:r w:rsidR="00166860" w:rsidRPr="00BC081A">
        <w:t xml:space="preserve"> given to the participants</w:t>
      </w:r>
      <w:r w:rsidR="00031E0B" w:rsidRPr="00BC081A">
        <w:t xml:space="preserve"> during the pilot study</w:t>
      </w:r>
      <w:r w:rsidR="00166860" w:rsidRPr="00BC081A">
        <w:t xml:space="preserve">, the end of the third round of the game </w:t>
      </w:r>
      <w:r w:rsidR="00031E0B" w:rsidRPr="00BC081A">
        <w:t xml:space="preserve">to administer </w:t>
      </w:r>
      <w:r w:rsidR="00166860" w:rsidRPr="00BC081A">
        <w:t>the comp</w:t>
      </w:r>
      <w:r w:rsidR="00031E0B" w:rsidRPr="00BC081A">
        <w:t>l</w:t>
      </w:r>
      <w:r w:rsidR="00166860" w:rsidRPr="00BC081A">
        <w:t>ete survey</w:t>
      </w:r>
      <w:r w:rsidR="00D27F97">
        <w:t xml:space="preserve"> was selected</w:t>
      </w:r>
      <w:r w:rsidR="00166860" w:rsidRPr="00BC081A">
        <w:t xml:space="preserve">. This choice was based on changes in </w:t>
      </w:r>
      <w:r w:rsidR="004A56B0" w:rsidRPr="00BC081A">
        <w:t xml:space="preserve">perceived </w:t>
      </w:r>
      <w:r w:rsidR="00166860" w:rsidRPr="00BC081A">
        <w:t xml:space="preserve">engagement of participants (level of Flow experience) after each round of the game. The results of </w:t>
      </w:r>
      <w:r w:rsidR="003D40C4">
        <w:t>this study’s</w:t>
      </w:r>
      <w:r w:rsidR="00166860" w:rsidRPr="00BC081A">
        <w:t xml:space="preserve"> analyses showed that before the third round there is a learning curve that effects the engagement of participants and after the third round engagement flattens. Rounds four and five would not be appropriate since as </w:t>
      </w:r>
      <w:r w:rsidR="003D40C4">
        <w:t>the</w:t>
      </w:r>
      <w:r w:rsidR="00166860" w:rsidRPr="00BC081A">
        <w:t xml:space="preserve"> </w:t>
      </w:r>
      <w:r w:rsidR="003D40C4">
        <w:t>preliminary</w:t>
      </w:r>
      <w:r w:rsidR="00166860" w:rsidRPr="00BC081A">
        <w:t xml:space="preserve"> </w:t>
      </w:r>
      <w:r w:rsidR="004A56B0" w:rsidRPr="00BC081A">
        <w:t xml:space="preserve">study </w:t>
      </w:r>
      <w:r w:rsidR="003D40C4">
        <w:t xml:space="preserve">(Appendix 2) and pilot study </w:t>
      </w:r>
      <w:r w:rsidR="00166860" w:rsidRPr="00BC081A">
        <w:t xml:space="preserve">showed </w:t>
      </w:r>
      <w:r w:rsidR="004A56B0" w:rsidRPr="00BC081A">
        <w:t xml:space="preserve">that </w:t>
      </w:r>
      <w:r w:rsidR="00166860" w:rsidRPr="00BC081A">
        <w:t xml:space="preserve">getting closer to the end of the competition </w:t>
      </w:r>
      <w:r w:rsidR="004A56B0" w:rsidRPr="00BC081A">
        <w:t xml:space="preserve">might influence </w:t>
      </w:r>
      <w:r w:rsidR="00166860" w:rsidRPr="00BC081A">
        <w:t>participants</w:t>
      </w:r>
      <w:r w:rsidR="004A56B0" w:rsidRPr="00BC081A">
        <w:t>’ engagement and satisfaction</w:t>
      </w:r>
      <w:r w:rsidR="00166860" w:rsidRPr="00BC081A">
        <w:t xml:space="preserve"> if they are </w:t>
      </w:r>
      <w:r w:rsidR="004A56B0" w:rsidRPr="00BC081A">
        <w:t>certain to win or lose</w:t>
      </w:r>
      <w:r w:rsidR="00166860" w:rsidRPr="00BC081A">
        <w:t xml:space="preserve">. </w:t>
      </w:r>
    </w:p>
    <w:p w14:paraId="549BF6E4" w14:textId="3AC3BBB1" w:rsidR="007401AB" w:rsidRPr="00BC081A" w:rsidRDefault="00540B88" w:rsidP="007401AB">
      <w:r w:rsidRPr="00BC081A">
        <w:t>I</w:t>
      </w:r>
      <w:r w:rsidR="007401AB" w:rsidRPr="00BC081A">
        <w:t xml:space="preserve">n the pilot study participants were not given a chance to practice </w:t>
      </w:r>
      <w:r w:rsidRPr="00BC081A">
        <w:t>with the game before starting the experiment</w:t>
      </w:r>
      <w:r w:rsidR="007401AB" w:rsidRPr="00BC081A">
        <w:t xml:space="preserve">. </w:t>
      </w:r>
      <w:r w:rsidRPr="00BC081A">
        <w:t xml:space="preserve">Pilot participants expressed that this was frustrating and that they wished they could </w:t>
      </w:r>
      <w:r w:rsidR="007401AB" w:rsidRPr="00BC081A">
        <w:t xml:space="preserve">play the game for one or two rounds in order to get used to </w:t>
      </w:r>
      <w:r w:rsidRPr="00BC081A">
        <w:t xml:space="preserve">its </w:t>
      </w:r>
      <w:r w:rsidR="007401AB" w:rsidRPr="00BC081A">
        <w:t xml:space="preserve">environment </w:t>
      </w:r>
      <w:r w:rsidRPr="00BC081A">
        <w:t>before starting the competition</w:t>
      </w:r>
      <w:r w:rsidR="007401AB" w:rsidRPr="00BC081A">
        <w:t xml:space="preserve">. </w:t>
      </w:r>
      <w:r w:rsidR="001C6E00" w:rsidRPr="00BC081A">
        <w:t>As a result, for the main study</w:t>
      </w:r>
      <w:r w:rsidR="00D27F97">
        <w:t>,</w:t>
      </w:r>
      <w:r w:rsidR="001C6E00" w:rsidRPr="00BC081A">
        <w:t xml:space="preserve"> two rounds of practice prior to the main part of their experiment</w:t>
      </w:r>
      <w:r w:rsidR="00D27F97">
        <w:t xml:space="preserve"> were added</w:t>
      </w:r>
      <w:r w:rsidR="001C6E00" w:rsidRPr="00BC081A">
        <w:t xml:space="preserve"> (one of the four modes of the game). </w:t>
      </w:r>
    </w:p>
    <w:p w14:paraId="089BBC81" w14:textId="77777777" w:rsidR="00540B88" w:rsidRPr="00BC081A" w:rsidRDefault="00540B88" w:rsidP="000F308B">
      <w:pPr>
        <w:pStyle w:val="Heading3"/>
      </w:pPr>
      <w:bookmarkStart w:id="66" w:name="_Toc275209833"/>
      <w:r w:rsidRPr="00BC081A">
        <w:t>Full Study</w:t>
      </w:r>
      <w:bookmarkEnd w:id="66"/>
    </w:p>
    <w:p w14:paraId="3AC29D21" w14:textId="599B55B0" w:rsidR="00F049A1" w:rsidRPr="00BC081A" w:rsidRDefault="00F049A1" w:rsidP="00540B88">
      <w:pPr>
        <w:pStyle w:val="Heading4"/>
      </w:pPr>
      <w:r w:rsidRPr="00BC081A">
        <w:t>Data Screening</w:t>
      </w:r>
    </w:p>
    <w:p w14:paraId="086D3B56" w14:textId="41AD0AEF" w:rsidR="00F049A1" w:rsidRPr="00BC081A" w:rsidRDefault="004B69BE" w:rsidP="00F049A1">
      <w:r w:rsidRPr="00BC081A">
        <w:t xml:space="preserve">The collected data was screened for normality of distributions, missing data, and outliers. </w:t>
      </w:r>
      <w:r w:rsidR="00A21E65" w:rsidRPr="00BC081A">
        <w:t xml:space="preserve">The details of these analyses </w:t>
      </w:r>
      <w:r w:rsidR="00000F82" w:rsidRPr="00BC081A">
        <w:t>are examined below</w:t>
      </w:r>
      <w:r w:rsidR="00A21E65" w:rsidRPr="00BC081A">
        <w:t>.</w:t>
      </w:r>
    </w:p>
    <w:p w14:paraId="19134F87" w14:textId="1FA91A6A" w:rsidR="00A21E65" w:rsidRPr="00BC081A" w:rsidRDefault="00A21E65" w:rsidP="00540B88">
      <w:pPr>
        <w:pStyle w:val="Heading5"/>
      </w:pPr>
      <w:r w:rsidRPr="00BC081A">
        <w:t>Frequencies</w:t>
      </w:r>
      <w:r w:rsidR="00A63A91" w:rsidRPr="00BC081A">
        <w:t>, Distributions, and Missing Data</w:t>
      </w:r>
    </w:p>
    <w:p w14:paraId="3510578B" w14:textId="51E1549C" w:rsidR="00A21E65" w:rsidRPr="00BC081A" w:rsidRDefault="005D4B31" w:rsidP="00A21E65">
      <w:r w:rsidRPr="00BC081A">
        <w:t xml:space="preserve">Using SPSS v22 </w:t>
      </w:r>
      <w:r w:rsidR="00B207DE" w:rsidRPr="00BC081A">
        <w:t xml:space="preserve">various statistics such as mean, minimum, maximum, standard deviation, skewedness, kurtosis, and histogram charts were inspected for all the measured variables and composite variables. </w:t>
      </w:r>
      <w:r w:rsidR="00FF3116" w:rsidRPr="00BC081A">
        <w:t xml:space="preserve">All the variables </w:t>
      </w:r>
      <w:r w:rsidR="00605596" w:rsidRPr="00BC081A">
        <w:t>fell within</w:t>
      </w:r>
      <w:r w:rsidR="00FF3116" w:rsidRPr="00BC081A">
        <w:t xml:space="preserve"> acceptable </w:t>
      </w:r>
      <w:r w:rsidR="00605596" w:rsidRPr="00BC081A">
        <w:t>thresholds</w:t>
      </w:r>
      <w:r w:rsidR="00FF3116" w:rsidRPr="00BC081A">
        <w:t xml:space="preserve">. </w:t>
      </w:r>
      <w:r w:rsidR="00A63A91" w:rsidRPr="00BC081A">
        <w:t xml:space="preserve">The </w:t>
      </w:r>
      <w:r w:rsidR="00A63A91" w:rsidRPr="00BC081A">
        <w:lastRenderedPageBreak/>
        <w:t xml:space="preserve">histograms were also inspected to identify clear anomalies in the distributions. The distributions tend to follow the normal curve’s distribution and no clear anomaly was </w:t>
      </w:r>
      <w:r w:rsidR="004C6E97" w:rsidRPr="00BC081A">
        <w:t>identified</w:t>
      </w:r>
      <w:r w:rsidR="00A63A91" w:rsidRPr="00BC081A">
        <w:t xml:space="preserve">. </w:t>
      </w:r>
      <w:r w:rsidR="00E76981" w:rsidRPr="00BC081A">
        <w:t>There was however some bias towards higher or lower values for some variables</w:t>
      </w:r>
      <w:r w:rsidR="005C238C" w:rsidRPr="00BC081A">
        <w:t xml:space="preserve"> such as bias towards higher values for temporal dissociation dimension of Flow, which could be expected due to the </w:t>
      </w:r>
      <w:r w:rsidR="00D2664F" w:rsidRPr="00BC081A">
        <w:t xml:space="preserve">engaging </w:t>
      </w:r>
      <w:r w:rsidR="005C238C" w:rsidRPr="00BC081A">
        <w:t xml:space="preserve">nature of the </w:t>
      </w:r>
      <w:r w:rsidR="00D2664F" w:rsidRPr="00BC081A">
        <w:t xml:space="preserve">experiment due </w:t>
      </w:r>
      <w:r w:rsidR="00EB7E53">
        <w:t>its</w:t>
      </w:r>
      <w:r w:rsidR="00EB7E53" w:rsidRPr="00BC081A">
        <w:t xml:space="preserve"> </w:t>
      </w:r>
      <w:r w:rsidR="00D2664F" w:rsidRPr="00BC081A">
        <w:t>employing a video game</w:t>
      </w:r>
      <w:r w:rsidR="005C238C" w:rsidRPr="00BC081A">
        <w:t xml:space="preserve">. </w:t>
      </w:r>
      <w:r w:rsidR="00B74EB2" w:rsidRPr="00BC081A">
        <w:t>It is evident that using a video game made the experiment more exciting tha</w:t>
      </w:r>
      <w:r w:rsidR="00440C18" w:rsidRPr="00BC081A">
        <w:t>n</w:t>
      </w:r>
      <w:r w:rsidR="00B74EB2" w:rsidRPr="00BC081A">
        <w:t xml:space="preserve"> </w:t>
      </w:r>
      <w:r w:rsidR="00440C18" w:rsidRPr="00BC081A">
        <w:t xml:space="preserve">what participants </w:t>
      </w:r>
      <w:r w:rsidR="00B74EB2" w:rsidRPr="00BC081A">
        <w:t>w</w:t>
      </w:r>
      <w:r w:rsidR="004D0FCC" w:rsidRPr="00BC081A">
        <w:t xml:space="preserve">ould expect from an experiment. This </w:t>
      </w:r>
      <w:r w:rsidR="00B74EB2" w:rsidRPr="00BC081A">
        <w:t xml:space="preserve">was also expressed in the open-ended answers. </w:t>
      </w:r>
      <w:r w:rsidR="004C6E97" w:rsidRPr="00BC081A">
        <w:t>None of the construct variables had missing data, which may be attributed to the controlled laboratory design of this experiment.</w:t>
      </w:r>
    </w:p>
    <w:p w14:paraId="540B1431" w14:textId="5348F5FC" w:rsidR="00E76981" w:rsidRPr="00BC081A" w:rsidRDefault="005747CA" w:rsidP="005747CA">
      <w:pPr>
        <w:pStyle w:val="Heading4"/>
      </w:pPr>
      <w:r w:rsidRPr="00BC081A">
        <w:t>Outliers</w:t>
      </w:r>
    </w:p>
    <w:p w14:paraId="147EF03F" w14:textId="5E68BEB7" w:rsidR="00DA2474" w:rsidRPr="00BC081A" w:rsidRDefault="00FD58B7" w:rsidP="005747CA">
      <w:r w:rsidRPr="00BC081A">
        <w:t xml:space="preserve">To identify </w:t>
      </w:r>
      <w:r w:rsidR="003D6350" w:rsidRPr="00BC081A">
        <w:t xml:space="preserve">outliers, </w:t>
      </w:r>
      <w:r w:rsidRPr="00BC081A">
        <w:t xml:space="preserve">a </w:t>
      </w:r>
      <w:r w:rsidR="00E965E1" w:rsidRPr="00BC081A">
        <w:t xml:space="preserve">univariate outlier test was conducted by performing a z-test for extreme values of each variable. </w:t>
      </w:r>
      <w:r w:rsidR="009C0EC9">
        <w:t>A</w:t>
      </w:r>
      <w:r w:rsidR="00725542" w:rsidRPr="00BC081A">
        <w:t>ny variable that had a case with z-score of higher than the critical value of 3.29</w:t>
      </w:r>
      <w:r w:rsidR="009C0EC9">
        <w:t xml:space="preserve"> was investigated</w:t>
      </w:r>
      <w:r w:rsidR="00725542" w:rsidRPr="00BC081A">
        <w:t xml:space="preserve"> </w:t>
      </w:r>
      <w:r w:rsidR="00C447FE" w:rsidRPr="00BC081A">
        <w:fldChar w:fldCharType="begin" w:fldLock="1"/>
      </w:r>
      <w:r w:rsidR="00AC1F7D">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"publisher" : "Allyn and Bacon Boston", "title" : "Using multivariate statistics", "type" : "article-journal" }, "uris" : [ "http://www.mendeley.com/documents/?uuid=ce1007d7-68d9-4815-aab0-d6c228bc1587" ] } ], "mendeley" : { "previouslyFormattedCitation" : "(Tabachnick &amp; Fidell, 2001)" }, "properties" : { "noteIndex" : 0 }, "schema" : "https://github.com/citation-style-language/schema/raw/master/csl-citation.json" }</w:instrText>
      </w:r>
      <w:r w:rsidR="00C447FE" w:rsidRPr="00BC081A">
        <w:fldChar w:fldCharType="separate"/>
      </w:r>
      <w:r w:rsidR="00162C73" w:rsidRPr="00BC081A">
        <w:rPr>
          <w:noProof/>
        </w:rPr>
        <w:t>(Tabachnick &amp; Fidell, 2001)</w:t>
      </w:r>
      <w:r w:rsidR="00C447FE" w:rsidRPr="00BC081A">
        <w:fldChar w:fldCharType="end"/>
      </w:r>
      <w:r w:rsidR="00725542" w:rsidRPr="00BC081A">
        <w:t>.</w:t>
      </w:r>
      <w:r w:rsidR="007B4AF2" w:rsidRPr="00BC081A">
        <w:t xml:space="preserve"> From all the variables, only Arousal and Heightened Enjoyment (HE) had one outlier</w:t>
      </w:r>
      <w:r w:rsidRPr="00BC081A">
        <w:t xml:space="preserve"> case</w:t>
      </w:r>
      <w:r w:rsidR="007B4AF2" w:rsidRPr="00BC081A">
        <w:t>, namely case 32 with Arousal value of</w:t>
      </w:r>
      <w:r w:rsidR="00DA2474" w:rsidRPr="00BC081A">
        <w:t xml:space="preserve"> -3.9</w:t>
      </w:r>
      <w:r w:rsidR="00C447FE" w:rsidRPr="00BC081A">
        <w:t>1</w:t>
      </w:r>
      <w:r w:rsidR="007B4AF2" w:rsidRPr="00BC081A">
        <w:t xml:space="preserve"> and case 22 with HE value of</w:t>
      </w:r>
      <w:r w:rsidR="00DA2474" w:rsidRPr="00BC081A">
        <w:t xml:space="preserve"> -3.96</w:t>
      </w:r>
      <w:r w:rsidR="007B4AF2" w:rsidRPr="00BC081A">
        <w:t xml:space="preserve">. Both of these cases were </w:t>
      </w:r>
      <w:r w:rsidR="00FA3271">
        <w:t>further examined</w:t>
      </w:r>
      <w:r w:rsidR="00FA3271" w:rsidRPr="00BC081A">
        <w:t xml:space="preserve"> </w:t>
      </w:r>
      <w:r w:rsidR="007B4AF2" w:rsidRPr="00BC081A">
        <w:t>for any other problematic behaviour in their responses. No problem</w:t>
      </w:r>
      <w:r w:rsidR="00EA2205" w:rsidRPr="00BC081A">
        <w:t>atic behaviour</w:t>
      </w:r>
      <w:r w:rsidR="007B4AF2" w:rsidRPr="00BC081A">
        <w:t xml:space="preserve"> was observed with these cases and their results for Arousal and HE seem to be genuine </w:t>
      </w:r>
      <w:r w:rsidR="00467EC3" w:rsidRPr="00BC081A">
        <w:t>responses</w:t>
      </w:r>
      <w:r w:rsidR="007B4AF2" w:rsidRPr="00BC081A">
        <w:t>.</w:t>
      </w:r>
      <w:r w:rsidR="00F4018F" w:rsidRPr="00BC081A">
        <w:t xml:space="preserve"> Therefore, these cases </w:t>
      </w:r>
      <w:r w:rsidRPr="00BC081A">
        <w:t>were kept in the dataset</w:t>
      </w:r>
      <w:r w:rsidR="00F4018F" w:rsidRPr="00BC081A">
        <w:t>.</w:t>
      </w:r>
      <w:r w:rsidR="007B4AF2" w:rsidRPr="00BC081A">
        <w:t xml:space="preserve"> </w:t>
      </w:r>
    </w:p>
    <w:p w14:paraId="7F20DDD8" w14:textId="0375D4B7" w:rsidR="00C82F29" w:rsidRPr="00BC081A" w:rsidRDefault="00E96E79" w:rsidP="005747CA">
      <w:r w:rsidRPr="00BC081A">
        <w:t xml:space="preserve">In order to check multivariate outliers, </w:t>
      </w:r>
      <w:proofErr w:type="spellStart"/>
      <w:r w:rsidRPr="00BC081A">
        <w:t>Mahalanobis</w:t>
      </w:r>
      <w:proofErr w:type="spellEnd"/>
      <w:r w:rsidRPr="00BC081A">
        <w:t xml:space="preserve"> distance </w:t>
      </w:r>
      <w:r w:rsidRPr="00BC081A">
        <w:fldChar w:fldCharType="begin" w:fldLock="1"/>
      </w:r>
      <w:r w:rsidR="00AC1F7D">
        <w:instrText>ADDIN CSL_CITATION { "citationItems" : [ { "id" : "ITEM-1", "itemData" : { "author" : [ { "dropping-particle" : "", "family" : "Meyers", "given" : "L S", "non-dropping-particle" : "", "parse-names" : false, "suffix" : "" }, { "dropping-particle" : "", "family" : "Gamst", "given" : "G", "non-dropping-particle" : "", "parse-names" : false, "suffix" : "" }, { "dropping-particle" : "", "family" : "Guarino", "given" : "A J", "non-dropping-particle" : "", "parse-names" : false, "suffix" : "" } ], "id" : "ITEM-1", "issued" : { "date-parts" : [ [ "2006" ] ] }, "publisher" : "Sage Publications, Inc", "title" : "Applied multivariate research: Design and interpretation", "type" : "book" }, "uris" : [ "http://www.mendeley.com/documents/?uuid=9ed9231d-b46c-4c7f-8468-34fcced506cb" ] } ], "mendeley" : { "previouslyFormattedCitation" : "(Meyers, Gamst, &amp; Guarino, 2006)" }, "properties" : { "noteIndex" : 0 }, "schema" : "https://github.com/citation-style-language/schema/raw/master/csl-citation.json" }</w:instrText>
      </w:r>
      <w:r w:rsidRPr="00BC081A">
        <w:fldChar w:fldCharType="separate"/>
      </w:r>
      <w:r w:rsidRPr="00BC081A">
        <w:rPr>
          <w:noProof/>
        </w:rPr>
        <w:t>(Meyers, Gamst, &amp; Guarino, 2006)</w:t>
      </w:r>
      <w:r w:rsidRPr="00BC081A">
        <w:fldChar w:fldCharType="end"/>
      </w:r>
      <w:r w:rsidRPr="00BC081A">
        <w:t xml:space="preserve"> was </w:t>
      </w:r>
      <w:r w:rsidR="00612067" w:rsidRPr="00BC081A">
        <w:t xml:space="preserve">used. </w:t>
      </w:r>
      <w:proofErr w:type="spellStart"/>
      <w:r w:rsidR="00612067" w:rsidRPr="00BC081A">
        <w:t>Mahalanobis</w:t>
      </w:r>
      <w:proofErr w:type="spellEnd"/>
      <w:r w:rsidR="00612067" w:rsidRPr="00BC081A">
        <w:t xml:space="preserve"> distance “measures the multivariate "distance'' between each case and the group multivariate mean” </w:t>
      </w:r>
      <w:r w:rsidR="00612067" w:rsidRPr="00BC081A">
        <w:fldChar w:fldCharType="begin" w:fldLock="1"/>
      </w:r>
      <w:r w:rsidR="00AC1F7D">
        <w:instrText>ADDIN CSL_CITATION { "citationItems" : [ { "id" : "ITEM-1", "itemData" : { "author" : [ { "dropping-particle" : "", "family" : "Meyers", "given" : "L S", "non-dropping-particle" : "", "parse-names" : false, "suffix" : "" }, { "dropping-particle" : "", "family" : "Gamst", "given" : "G", "non-dropping-particle" : "", "parse-names" : false, "suffix" : "" }, { "dropping-particle" : "", "family" : "Guarino", "given" : "A J", "non-dropping-particle" : "", "parse-names" : false, "suffix" : "" } ], "id" : "ITEM-1", "issued" : { "date-parts" : [ [ "2006" ] ] }, "publisher" : "Sage Publications, Inc", "title" : "Applied multivariate research: Design and interpretation", "type" : "book" }, "uris" : [ "http://www.mendeley.com/documents/?uuid=9ed9231d-b46c-4c7f-8468-34fcced506cb" ] } ], "mendeley" : { "manualFormatting" : "(Meyers et al., 2006, p. 67)", "previouslyFormattedCitation" : "(Meyers et al., 2006)" }, "properties" : { "noteIndex" : 0 }, "schema" : "https://github.com/citation-style-language/schema/raw/master/csl-citation.json" }</w:instrText>
      </w:r>
      <w:r w:rsidR="00612067" w:rsidRPr="00BC081A">
        <w:fldChar w:fldCharType="separate"/>
      </w:r>
      <w:r w:rsidR="00612067" w:rsidRPr="00BC081A">
        <w:rPr>
          <w:noProof/>
        </w:rPr>
        <w:t>(Meyers et al., 2006, p. 67)</w:t>
      </w:r>
      <w:r w:rsidR="00612067" w:rsidRPr="00BC081A">
        <w:fldChar w:fldCharType="end"/>
      </w:r>
      <w:r w:rsidR="00612067" w:rsidRPr="00BC081A">
        <w:t xml:space="preserve">. </w:t>
      </w:r>
      <w:r w:rsidR="00FC1DC1" w:rsidRPr="00BC081A">
        <w:t xml:space="preserve">A case could be considered an outlier based on this analysis if its </w:t>
      </w:r>
      <w:proofErr w:type="spellStart"/>
      <w:r w:rsidR="00FC1DC1" w:rsidRPr="00BC081A">
        <w:t>Mahalanobis</w:t>
      </w:r>
      <w:proofErr w:type="spellEnd"/>
      <w:r w:rsidR="00FC1DC1" w:rsidRPr="00BC081A">
        <w:t xml:space="preserve"> distance was equal or above the critical threshold of 21.67. This threshold is calculated based on the Chi-square value for 9 degrees of freedom at alpha level of </w:t>
      </w:r>
      <w:r w:rsidR="00FC1DC1" w:rsidRPr="00BC081A">
        <w:rPr>
          <w:i/>
        </w:rPr>
        <w:t>p &lt;</w:t>
      </w:r>
      <w:proofErr w:type="gramStart"/>
      <w:r w:rsidR="00FC1DC1" w:rsidRPr="00BC081A">
        <w:rPr>
          <w:i/>
        </w:rPr>
        <w:t>.001</w:t>
      </w:r>
      <w:proofErr w:type="gramEnd"/>
      <w:r w:rsidR="00FC1DC1" w:rsidRPr="00BC081A">
        <w:t xml:space="preserve">. </w:t>
      </w:r>
      <w:r w:rsidR="00372338" w:rsidRPr="00BC081A">
        <w:t xml:space="preserve">Again, the two cases of 22 and 32 were </w:t>
      </w:r>
      <w:r w:rsidR="00FA3271">
        <w:t xml:space="preserve">identified </w:t>
      </w:r>
      <w:r w:rsidR="00FA3271">
        <w:lastRenderedPageBreak/>
        <w:t xml:space="preserve">as </w:t>
      </w:r>
      <w:r w:rsidR="00372338" w:rsidRPr="00BC081A">
        <w:t xml:space="preserve">outliers with </w:t>
      </w:r>
      <w:proofErr w:type="spellStart"/>
      <w:r w:rsidR="00372338" w:rsidRPr="00BC081A">
        <w:t>Mahalanobis</w:t>
      </w:r>
      <w:proofErr w:type="spellEnd"/>
      <w:r w:rsidR="00372338" w:rsidRPr="00BC081A">
        <w:t xml:space="preserve"> distance of 28.16 and 31.54 respectively. However, as mention</w:t>
      </w:r>
      <w:r w:rsidR="002851A7" w:rsidRPr="00BC081A">
        <w:t>ed before, after inspecting their responses</w:t>
      </w:r>
      <w:r w:rsidR="00372338" w:rsidRPr="00BC081A">
        <w:t xml:space="preserve">, no evidence </w:t>
      </w:r>
      <w:r w:rsidR="002851A7" w:rsidRPr="00BC081A">
        <w:t>of</w:t>
      </w:r>
      <w:r w:rsidR="00372338" w:rsidRPr="00BC081A">
        <w:t xml:space="preserve"> problematic </w:t>
      </w:r>
      <w:r w:rsidR="002851A7" w:rsidRPr="00BC081A">
        <w:t>behaviour</w:t>
      </w:r>
      <w:r w:rsidR="00372338" w:rsidRPr="00BC081A">
        <w:t xml:space="preserve"> was</w:t>
      </w:r>
      <w:r w:rsidR="00FA3271">
        <w:t xml:space="preserve"> found</w:t>
      </w:r>
      <w:r w:rsidR="002851A7" w:rsidRPr="00BC081A">
        <w:t>.</w:t>
      </w:r>
      <w:r w:rsidR="00372338" w:rsidRPr="00BC081A">
        <w:t xml:space="preserve"> </w:t>
      </w:r>
      <w:r w:rsidR="002851A7" w:rsidRPr="00BC081A">
        <w:t>T</w:t>
      </w:r>
      <w:r w:rsidR="00372338" w:rsidRPr="00BC081A">
        <w:t>he</w:t>
      </w:r>
      <w:r w:rsidR="00FA3271">
        <w:t>ir</w:t>
      </w:r>
      <w:r w:rsidR="00372338" w:rsidRPr="00BC081A">
        <w:t xml:space="preserve"> low score of enjoyment and arousal </w:t>
      </w:r>
      <w:r w:rsidR="002851A7" w:rsidRPr="00BC081A">
        <w:t xml:space="preserve">was </w:t>
      </w:r>
      <w:r w:rsidR="00372338" w:rsidRPr="00BC081A">
        <w:t xml:space="preserve">attributed to participating in </w:t>
      </w:r>
      <w:r w:rsidR="002851A7" w:rsidRPr="00BC081A">
        <w:t xml:space="preserve">the </w:t>
      </w:r>
      <w:r w:rsidR="00372338" w:rsidRPr="00BC081A">
        <w:t xml:space="preserve">no competition mode. These two participants </w:t>
      </w:r>
      <w:r w:rsidR="002851A7" w:rsidRPr="00BC081A">
        <w:t xml:space="preserve">were not </w:t>
      </w:r>
      <w:r w:rsidR="00372338" w:rsidRPr="00BC081A">
        <w:t xml:space="preserve">excited </w:t>
      </w:r>
      <w:r w:rsidR="002851A7" w:rsidRPr="00BC081A">
        <w:t xml:space="preserve">by </w:t>
      </w:r>
      <w:r w:rsidR="00372338" w:rsidRPr="00BC081A">
        <w:t xml:space="preserve">the game when no competition was involved. </w:t>
      </w:r>
    </w:p>
    <w:p w14:paraId="0F0A0B49" w14:textId="3A3EB7AA" w:rsidR="004A0450" w:rsidRPr="00BC081A" w:rsidRDefault="004A0450" w:rsidP="005747CA">
      <w:r w:rsidRPr="00BC081A">
        <w:t xml:space="preserve">In sum, the data was kept intact with no missing </w:t>
      </w:r>
      <w:r w:rsidR="002851A7" w:rsidRPr="00BC081A">
        <w:t xml:space="preserve">variable </w:t>
      </w:r>
      <w:r w:rsidRPr="00BC081A">
        <w:t xml:space="preserve">data. </w:t>
      </w:r>
    </w:p>
    <w:p w14:paraId="77315A4E" w14:textId="097DC9A4" w:rsidR="005E3CFD" w:rsidRPr="00BC081A" w:rsidRDefault="005E3CFD" w:rsidP="000F308B">
      <w:pPr>
        <w:pStyle w:val="Heading3"/>
      </w:pPr>
      <w:bookmarkStart w:id="67" w:name="_Toc275209834"/>
      <w:r w:rsidRPr="00BC081A">
        <w:t>Participant Demographics</w:t>
      </w:r>
      <w:r w:rsidR="00147E7B" w:rsidRPr="00BC081A">
        <w:t xml:space="preserve"> and Control Variables</w:t>
      </w:r>
      <w:bookmarkEnd w:id="67"/>
    </w:p>
    <w:p w14:paraId="32C23A11" w14:textId="2B2E53D6" w:rsidR="00B36670" w:rsidRPr="00BC081A" w:rsidRDefault="004A0450" w:rsidP="00B36670">
      <w:r w:rsidRPr="00BC081A">
        <w:t xml:space="preserve">In addition to the variables in the proposed model, general demographic information was gathered from participants. </w:t>
      </w:r>
      <w:r w:rsidR="00B36670" w:rsidRPr="00BC081A">
        <w:t xml:space="preserve">Out of the 114 participants, 65 (57%) were female and 49 (43%) were male. </w:t>
      </w:r>
      <w:r w:rsidR="005F2865" w:rsidRPr="00BC081A">
        <w:t xml:space="preserve">The </w:t>
      </w:r>
      <w:r w:rsidR="00400DD5" w:rsidRPr="00BC081A">
        <w:t>average a</w:t>
      </w:r>
      <w:r w:rsidR="00D9273E" w:rsidRPr="00BC081A">
        <w:t>ge of the participants was 20.66 (SD=4.74)</w:t>
      </w:r>
      <w:r w:rsidR="00400DD5" w:rsidRPr="00BC081A">
        <w:t xml:space="preserve"> with the distribution as shown in </w:t>
      </w:r>
      <w:r w:rsidR="00853AB9" w:rsidRPr="00BC081A">
        <w:fldChar w:fldCharType="begin"/>
      </w:r>
      <w:r w:rsidR="00853AB9" w:rsidRPr="00BC081A">
        <w:instrText xml:space="preserve"> REF _Ref267270055 \h </w:instrText>
      </w:r>
      <w:r w:rsidR="00853AB9" w:rsidRPr="00BC081A">
        <w:fldChar w:fldCharType="separate"/>
      </w:r>
      <w:r w:rsidR="008C71FB" w:rsidRPr="00BC081A">
        <w:t xml:space="preserve">Table </w:t>
      </w:r>
      <w:r w:rsidR="008C71FB">
        <w:rPr>
          <w:noProof/>
        </w:rPr>
        <w:t>1</w:t>
      </w:r>
      <w:r w:rsidR="00853AB9" w:rsidRPr="00BC081A">
        <w:fldChar w:fldCharType="end"/>
      </w:r>
      <w:r w:rsidR="00853AB9" w:rsidRPr="00BC081A">
        <w:t>. Minimum and maximum age</w:t>
      </w:r>
      <w:r w:rsidR="00FA3271">
        <w:t>s</w:t>
      </w:r>
      <w:r w:rsidR="00853AB9" w:rsidRPr="00BC081A">
        <w:t xml:space="preserve"> of participants in </w:t>
      </w:r>
      <w:r w:rsidR="003D40C4">
        <w:t>the</w:t>
      </w:r>
      <w:r w:rsidR="00853AB9" w:rsidRPr="00BC081A">
        <w:t xml:space="preserve"> sample were 17 and 46 respectively. </w:t>
      </w:r>
      <w:r w:rsidR="00FA3271">
        <w:t xml:space="preserve">The </w:t>
      </w:r>
      <w:r w:rsidR="003513CF" w:rsidRPr="00BC081A">
        <w:t>sample is skewed towards younger population</w:t>
      </w:r>
      <w:r w:rsidR="00CF55B2" w:rsidRPr="00BC081A">
        <w:t>,</w:t>
      </w:r>
      <w:r w:rsidR="003513CF" w:rsidRPr="00BC081A">
        <w:t xml:space="preserve"> </w:t>
      </w:r>
      <w:r w:rsidR="00CF55B2" w:rsidRPr="00BC081A">
        <w:t xml:space="preserve">which </w:t>
      </w:r>
      <w:r w:rsidR="003513CF" w:rsidRPr="00BC081A">
        <w:t>is the main target of this research.</w:t>
      </w:r>
    </w:p>
    <w:p w14:paraId="3625D1FE" w14:textId="3221BB1B" w:rsidR="00853AB9" w:rsidRPr="00BC081A" w:rsidRDefault="00853AB9" w:rsidP="00C92D78">
      <w:pPr>
        <w:pStyle w:val="Caption"/>
      </w:pPr>
      <w:bookmarkStart w:id="68" w:name="_Ref267270055"/>
      <w:bookmarkStart w:id="69" w:name="_Toc275209759"/>
      <w:r w:rsidRPr="00BC081A">
        <w:t xml:space="preserve">Table </w:t>
      </w:r>
      <w:r w:rsidR="007804FF">
        <w:fldChar w:fldCharType="begin"/>
      </w:r>
      <w:r w:rsidR="007804FF">
        <w:instrText xml:space="preserve"> SEQ Table \* ARABIC </w:instrText>
      </w:r>
      <w:r w:rsidR="007804FF">
        <w:fldChar w:fldCharType="separate"/>
      </w:r>
      <w:r w:rsidR="008C71FB">
        <w:rPr>
          <w:noProof/>
        </w:rPr>
        <w:t>1</w:t>
      </w:r>
      <w:r w:rsidR="007804FF">
        <w:rPr>
          <w:noProof/>
        </w:rPr>
        <w:fldChar w:fldCharType="end"/>
      </w:r>
      <w:bookmarkEnd w:id="68"/>
      <w:r w:rsidRPr="00BC081A">
        <w:t xml:space="preserve"> – Age Distribution of Participants</w:t>
      </w:r>
      <w:bookmarkEnd w:id="69"/>
    </w:p>
    <w:tbl>
      <w:tblPr>
        <w:tblStyle w:val="TableGrid"/>
        <w:tblW w:w="3999" w:type="dxa"/>
        <w:jc w:val="center"/>
        <w:tblLook w:val="04A0" w:firstRow="1" w:lastRow="0" w:firstColumn="1" w:lastColumn="0" w:noHBand="0" w:noVBand="1"/>
      </w:tblPr>
      <w:tblGrid>
        <w:gridCol w:w="1333"/>
        <w:gridCol w:w="1333"/>
        <w:gridCol w:w="1333"/>
      </w:tblGrid>
      <w:tr w:rsidR="00400DD5" w:rsidRPr="00BC081A" w14:paraId="3BE4D2B6" w14:textId="77777777" w:rsidTr="00853AB9">
        <w:trPr>
          <w:trHeight w:val="534"/>
          <w:jc w:val="center"/>
        </w:trPr>
        <w:tc>
          <w:tcPr>
            <w:tcW w:w="1333" w:type="dxa"/>
            <w:shd w:val="clear" w:color="auto" w:fill="F2F2F2" w:themeFill="background1" w:themeFillShade="F2"/>
          </w:tcPr>
          <w:p w14:paraId="3E66B0B3" w14:textId="4AD3A8D3" w:rsidR="00400DD5" w:rsidRPr="00BC081A" w:rsidRDefault="00400DD5" w:rsidP="00620542">
            <w:pPr>
              <w:pStyle w:val="TableContext"/>
              <w:rPr>
                <w:lang w:val="en-CA"/>
              </w:rPr>
            </w:pPr>
            <w:r w:rsidRPr="00BC081A">
              <w:rPr>
                <w:lang w:val="en-CA"/>
              </w:rPr>
              <w:t>Age Group</w:t>
            </w:r>
          </w:p>
        </w:tc>
        <w:tc>
          <w:tcPr>
            <w:tcW w:w="1333" w:type="dxa"/>
            <w:shd w:val="clear" w:color="auto" w:fill="F2F2F2" w:themeFill="background1" w:themeFillShade="F2"/>
          </w:tcPr>
          <w:p w14:paraId="04959BD2" w14:textId="350083DD" w:rsidR="00400DD5" w:rsidRPr="00BC081A" w:rsidRDefault="00400DD5" w:rsidP="00620542">
            <w:pPr>
              <w:pStyle w:val="TableContext"/>
              <w:rPr>
                <w:lang w:val="en-CA"/>
              </w:rPr>
            </w:pPr>
            <w:r w:rsidRPr="00BC081A">
              <w:rPr>
                <w:lang w:val="en-CA"/>
              </w:rPr>
              <w:t>Frequency</w:t>
            </w:r>
          </w:p>
        </w:tc>
        <w:tc>
          <w:tcPr>
            <w:tcW w:w="1333" w:type="dxa"/>
            <w:shd w:val="clear" w:color="auto" w:fill="F2F2F2" w:themeFill="background1" w:themeFillShade="F2"/>
          </w:tcPr>
          <w:p w14:paraId="7A878421" w14:textId="6FCF8D9F" w:rsidR="00400DD5" w:rsidRPr="00BC081A" w:rsidRDefault="00400DD5" w:rsidP="00620542">
            <w:pPr>
              <w:pStyle w:val="TableContext"/>
              <w:rPr>
                <w:lang w:val="en-CA"/>
              </w:rPr>
            </w:pPr>
            <w:r w:rsidRPr="00BC081A">
              <w:rPr>
                <w:lang w:val="en-CA"/>
              </w:rPr>
              <w:t>Percent</w:t>
            </w:r>
          </w:p>
        </w:tc>
      </w:tr>
      <w:tr w:rsidR="00400DD5" w:rsidRPr="00BC081A" w14:paraId="5D6387F7" w14:textId="77777777" w:rsidTr="008C71FB">
        <w:trPr>
          <w:trHeight w:val="534"/>
          <w:jc w:val="center"/>
        </w:trPr>
        <w:tc>
          <w:tcPr>
            <w:tcW w:w="1333" w:type="dxa"/>
            <w:shd w:val="clear" w:color="auto" w:fill="F2F2F2" w:themeFill="background1" w:themeFillShade="F2"/>
          </w:tcPr>
          <w:p w14:paraId="5474592C" w14:textId="142C59EA" w:rsidR="00400DD5" w:rsidRPr="00BC081A" w:rsidRDefault="00620542" w:rsidP="00620542">
            <w:pPr>
              <w:pStyle w:val="TableContext"/>
              <w:rPr>
                <w:lang w:val="en-CA"/>
              </w:rPr>
            </w:pPr>
            <w:r w:rsidRPr="00BC081A">
              <w:rPr>
                <w:lang w:val="en-CA"/>
              </w:rPr>
              <w:t>17</w:t>
            </w:r>
            <w:r w:rsidR="00400DD5" w:rsidRPr="00BC081A">
              <w:rPr>
                <w:lang w:val="en-CA"/>
              </w:rPr>
              <w:t>-22</w:t>
            </w:r>
          </w:p>
        </w:tc>
        <w:tc>
          <w:tcPr>
            <w:tcW w:w="1333" w:type="dxa"/>
            <w:vAlign w:val="center"/>
          </w:tcPr>
          <w:p w14:paraId="0E8DCAA6" w14:textId="3E9020FA" w:rsidR="00400DD5" w:rsidRPr="00BC081A" w:rsidRDefault="00620542" w:rsidP="00620542">
            <w:pPr>
              <w:pStyle w:val="TableContext"/>
              <w:rPr>
                <w:lang w:val="en-CA"/>
              </w:rPr>
            </w:pPr>
            <w:r w:rsidRPr="00BC081A">
              <w:rPr>
                <w:lang w:val="en-CA"/>
              </w:rPr>
              <w:t>9</w:t>
            </w:r>
            <w:r w:rsidR="00A94129" w:rsidRPr="00BC081A">
              <w:rPr>
                <w:lang w:val="en-CA"/>
              </w:rPr>
              <w:t>3</w:t>
            </w:r>
          </w:p>
        </w:tc>
        <w:tc>
          <w:tcPr>
            <w:tcW w:w="1333" w:type="dxa"/>
            <w:vAlign w:val="center"/>
          </w:tcPr>
          <w:p w14:paraId="70A3F7BA" w14:textId="3A4DEF03" w:rsidR="00400DD5" w:rsidRPr="00BC081A" w:rsidRDefault="00A94129" w:rsidP="00620542">
            <w:pPr>
              <w:pStyle w:val="TableContext"/>
              <w:rPr>
                <w:lang w:val="en-CA"/>
              </w:rPr>
            </w:pPr>
            <w:r w:rsidRPr="00BC081A">
              <w:rPr>
                <w:lang w:val="en-CA"/>
              </w:rPr>
              <w:t>82%</w:t>
            </w:r>
          </w:p>
        </w:tc>
      </w:tr>
      <w:tr w:rsidR="00400DD5" w:rsidRPr="00BC081A" w14:paraId="3DF82ACE" w14:textId="77777777" w:rsidTr="008C71FB">
        <w:trPr>
          <w:trHeight w:val="518"/>
          <w:jc w:val="center"/>
        </w:trPr>
        <w:tc>
          <w:tcPr>
            <w:tcW w:w="1333" w:type="dxa"/>
            <w:shd w:val="clear" w:color="auto" w:fill="F2F2F2" w:themeFill="background1" w:themeFillShade="F2"/>
          </w:tcPr>
          <w:p w14:paraId="4E63F010" w14:textId="04821DFC" w:rsidR="00400DD5" w:rsidRPr="00BC081A" w:rsidRDefault="00620542" w:rsidP="00620542">
            <w:pPr>
              <w:pStyle w:val="TableContext"/>
              <w:rPr>
                <w:lang w:val="en-CA"/>
              </w:rPr>
            </w:pPr>
            <w:r w:rsidRPr="00BC081A">
              <w:rPr>
                <w:lang w:val="en-CA"/>
              </w:rPr>
              <w:t>23-29</w:t>
            </w:r>
          </w:p>
        </w:tc>
        <w:tc>
          <w:tcPr>
            <w:tcW w:w="1333" w:type="dxa"/>
            <w:vAlign w:val="center"/>
          </w:tcPr>
          <w:p w14:paraId="6AFD6DC7" w14:textId="5B946C05" w:rsidR="00400DD5" w:rsidRPr="00BC081A" w:rsidRDefault="00620542" w:rsidP="00620542">
            <w:pPr>
              <w:pStyle w:val="TableContext"/>
              <w:rPr>
                <w:lang w:val="en-CA"/>
              </w:rPr>
            </w:pPr>
            <w:r w:rsidRPr="00BC081A">
              <w:rPr>
                <w:lang w:val="en-CA"/>
              </w:rPr>
              <w:t>14</w:t>
            </w:r>
          </w:p>
        </w:tc>
        <w:tc>
          <w:tcPr>
            <w:tcW w:w="1333" w:type="dxa"/>
            <w:vAlign w:val="center"/>
          </w:tcPr>
          <w:p w14:paraId="17694E93" w14:textId="65E2F728" w:rsidR="00400DD5" w:rsidRPr="00BC081A" w:rsidRDefault="005350FC" w:rsidP="00620542">
            <w:pPr>
              <w:pStyle w:val="TableContext"/>
              <w:rPr>
                <w:lang w:val="en-CA"/>
              </w:rPr>
            </w:pPr>
            <w:r w:rsidRPr="00BC081A">
              <w:rPr>
                <w:lang w:val="en-CA"/>
              </w:rPr>
              <w:t>12</w:t>
            </w:r>
            <w:r w:rsidR="00A94129" w:rsidRPr="00BC081A">
              <w:rPr>
                <w:lang w:val="en-CA"/>
              </w:rPr>
              <w:t>%</w:t>
            </w:r>
          </w:p>
        </w:tc>
      </w:tr>
      <w:tr w:rsidR="00400DD5" w:rsidRPr="00BC081A" w14:paraId="20AA92EF" w14:textId="77777777" w:rsidTr="008C71FB">
        <w:trPr>
          <w:trHeight w:val="549"/>
          <w:jc w:val="center"/>
        </w:trPr>
        <w:tc>
          <w:tcPr>
            <w:tcW w:w="1333" w:type="dxa"/>
            <w:shd w:val="clear" w:color="auto" w:fill="F2F2F2" w:themeFill="background1" w:themeFillShade="F2"/>
          </w:tcPr>
          <w:p w14:paraId="748EECA9" w14:textId="0EC4F3F6" w:rsidR="00400DD5" w:rsidRPr="00BC081A" w:rsidRDefault="00620542" w:rsidP="00620542">
            <w:pPr>
              <w:pStyle w:val="TableContext"/>
              <w:rPr>
                <w:lang w:val="en-CA"/>
              </w:rPr>
            </w:pPr>
            <w:r w:rsidRPr="00BC081A">
              <w:rPr>
                <w:lang w:val="en-CA"/>
              </w:rPr>
              <w:t>30+</w:t>
            </w:r>
          </w:p>
        </w:tc>
        <w:tc>
          <w:tcPr>
            <w:tcW w:w="1333" w:type="dxa"/>
            <w:vAlign w:val="center"/>
          </w:tcPr>
          <w:p w14:paraId="2A1A08B5" w14:textId="52CD8760" w:rsidR="00400DD5" w:rsidRPr="00BC081A" w:rsidRDefault="00620542" w:rsidP="00620542">
            <w:pPr>
              <w:pStyle w:val="TableContext"/>
              <w:rPr>
                <w:lang w:val="en-CA"/>
              </w:rPr>
            </w:pPr>
            <w:r w:rsidRPr="00BC081A">
              <w:rPr>
                <w:lang w:val="en-CA"/>
              </w:rPr>
              <w:t>7</w:t>
            </w:r>
          </w:p>
        </w:tc>
        <w:tc>
          <w:tcPr>
            <w:tcW w:w="1333" w:type="dxa"/>
            <w:vAlign w:val="center"/>
          </w:tcPr>
          <w:p w14:paraId="43CCBE3A" w14:textId="7D0ED341" w:rsidR="00400DD5" w:rsidRPr="00BC081A" w:rsidRDefault="00085CD1" w:rsidP="00620542">
            <w:pPr>
              <w:pStyle w:val="TableContext"/>
              <w:rPr>
                <w:lang w:val="en-CA"/>
              </w:rPr>
            </w:pPr>
            <w:r w:rsidRPr="00BC081A">
              <w:rPr>
                <w:lang w:val="en-CA"/>
              </w:rPr>
              <w:t>6</w:t>
            </w:r>
            <w:r w:rsidR="00A94129" w:rsidRPr="00BC081A">
              <w:rPr>
                <w:lang w:val="en-CA"/>
              </w:rPr>
              <w:t>%</w:t>
            </w:r>
          </w:p>
        </w:tc>
      </w:tr>
    </w:tbl>
    <w:p w14:paraId="7F88FA16" w14:textId="77777777" w:rsidR="00400DD5" w:rsidRPr="00BC081A" w:rsidRDefault="00400DD5" w:rsidP="00B36670"/>
    <w:p w14:paraId="1C57F425" w14:textId="4C859509" w:rsidR="00277883" w:rsidRPr="00BC081A" w:rsidRDefault="00BF3C8A" w:rsidP="00B36670">
      <w:r w:rsidRPr="00BC081A">
        <w:t>Some other questions</w:t>
      </w:r>
      <w:r w:rsidR="002655F8" w:rsidRPr="00BC081A">
        <w:t xml:space="preserve"> </w:t>
      </w:r>
      <w:r w:rsidR="00147E7B" w:rsidRPr="00BC081A">
        <w:t xml:space="preserve">regarding control variables </w:t>
      </w:r>
      <w:r w:rsidR="002655F8" w:rsidRPr="00BC081A">
        <w:t xml:space="preserve">(education, ethnicity, and </w:t>
      </w:r>
      <w:r w:rsidR="00FA3271">
        <w:t xml:space="preserve">first </w:t>
      </w:r>
      <w:r w:rsidR="002655F8" w:rsidRPr="00BC081A">
        <w:t>language)</w:t>
      </w:r>
      <w:r w:rsidRPr="00BC081A">
        <w:t xml:space="preserve"> were asked from </w:t>
      </w:r>
      <w:r w:rsidR="00CF55B2" w:rsidRPr="00BC081A">
        <w:t xml:space="preserve">the </w:t>
      </w:r>
      <w:r w:rsidRPr="00BC081A">
        <w:t xml:space="preserve">participants, the results of which are </w:t>
      </w:r>
      <w:r w:rsidR="00FE555E" w:rsidRPr="00BC081A">
        <w:t xml:space="preserve">shows in </w:t>
      </w:r>
      <w:r w:rsidR="00FE555E" w:rsidRPr="00BC081A">
        <w:fldChar w:fldCharType="begin"/>
      </w:r>
      <w:r w:rsidR="00FE555E" w:rsidRPr="00BC081A">
        <w:instrText xml:space="preserve"> REF _Ref267300126 \h </w:instrText>
      </w:r>
      <w:r w:rsidR="00FE555E" w:rsidRPr="00BC081A">
        <w:fldChar w:fldCharType="separate"/>
      </w:r>
      <w:r w:rsidR="008C71FB" w:rsidRPr="00BC081A">
        <w:t xml:space="preserve">Table </w:t>
      </w:r>
      <w:r w:rsidR="008C71FB">
        <w:rPr>
          <w:noProof/>
        </w:rPr>
        <w:t>2</w:t>
      </w:r>
      <w:r w:rsidR="00FE555E" w:rsidRPr="00BC081A">
        <w:fldChar w:fldCharType="end"/>
      </w:r>
      <w:r w:rsidR="00FE555E" w:rsidRPr="00BC081A">
        <w:t xml:space="preserve">. </w:t>
      </w:r>
      <w:r w:rsidR="005423C5" w:rsidRPr="00BC081A">
        <w:t>T</w:t>
      </w:r>
      <w:r w:rsidR="00EA2205" w:rsidRPr="00BC081A">
        <w:t>he</w:t>
      </w:r>
      <w:r w:rsidR="00373EEC" w:rsidRPr="00BC081A">
        <w:t xml:space="preserve"> majority of the participants finished high school since </w:t>
      </w:r>
      <w:r w:rsidR="005423C5" w:rsidRPr="00BC081A">
        <w:t>most were recruited from undergraduate classes at a large Canadian university. M</w:t>
      </w:r>
      <w:r w:rsidR="00EA2205" w:rsidRPr="00BC081A">
        <w:t>ost of the</w:t>
      </w:r>
      <w:r w:rsidR="00373EEC" w:rsidRPr="00BC081A">
        <w:t xml:space="preserve"> participants were white or Asian/Pacific Islander</w:t>
      </w:r>
      <w:r w:rsidR="005423C5" w:rsidRPr="00BC081A">
        <w:t>s</w:t>
      </w:r>
      <w:r w:rsidR="00373EEC" w:rsidRPr="00BC081A">
        <w:t xml:space="preserve">. </w:t>
      </w:r>
      <w:r w:rsidR="005423C5" w:rsidRPr="00BC081A">
        <w:t xml:space="preserve">With respect to </w:t>
      </w:r>
      <w:r w:rsidR="00373EEC" w:rsidRPr="00BC081A">
        <w:t>the first language of participants, even though</w:t>
      </w:r>
      <w:r w:rsidR="00CF55B2" w:rsidRPr="00BC081A">
        <w:t xml:space="preserve"> the</w:t>
      </w:r>
      <w:r w:rsidR="00373EEC" w:rsidRPr="00BC081A">
        <w:t xml:space="preserve"> majority spoke </w:t>
      </w:r>
      <w:r w:rsidR="00373EEC" w:rsidRPr="00BC081A">
        <w:lastRenderedPageBreak/>
        <w:t xml:space="preserve">English as their first language, 37% of participants spoke English as their second language. </w:t>
      </w:r>
      <w:r w:rsidR="005423C5" w:rsidRPr="00BC081A">
        <w:t xml:space="preserve">These demographic variables </w:t>
      </w:r>
      <w:r w:rsidR="00002215">
        <w:t xml:space="preserve">were </w:t>
      </w:r>
      <w:r w:rsidR="005423C5" w:rsidRPr="00BC081A">
        <w:t xml:space="preserve">examined for any potential influence on the proposed </w:t>
      </w:r>
      <w:proofErr w:type="gramStart"/>
      <w:r w:rsidR="005423C5" w:rsidRPr="00BC081A">
        <w:t>research</w:t>
      </w:r>
      <w:proofErr w:type="gramEnd"/>
      <w:r w:rsidR="005423C5" w:rsidRPr="00BC081A">
        <w:t xml:space="preserve"> model.</w:t>
      </w:r>
    </w:p>
    <w:p w14:paraId="170F91A7" w14:textId="48E6FB49" w:rsidR="00BF3C8A" w:rsidRPr="00BC081A" w:rsidRDefault="00BF3C8A" w:rsidP="00C92D78">
      <w:pPr>
        <w:pStyle w:val="Caption"/>
      </w:pPr>
      <w:bookmarkStart w:id="70" w:name="_Ref267300126"/>
      <w:bookmarkStart w:id="71" w:name="_Toc275209760"/>
      <w:r w:rsidRPr="00BC081A">
        <w:t xml:space="preserve">Table </w:t>
      </w:r>
      <w:r w:rsidR="007804FF">
        <w:fldChar w:fldCharType="begin"/>
      </w:r>
      <w:r w:rsidR="007804FF">
        <w:instrText xml:space="preserve"> SEQ Table \* ARABIC </w:instrText>
      </w:r>
      <w:r w:rsidR="007804FF">
        <w:fldChar w:fldCharType="separate"/>
      </w:r>
      <w:r w:rsidR="008C71FB">
        <w:rPr>
          <w:noProof/>
        </w:rPr>
        <w:t>2</w:t>
      </w:r>
      <w:r w:rsidR="007804FF">
        <w:rPr>
          <w:noProof/>
        </w:rPr>
        <w:fldChar w:fldCharType="end"/>
      </w:r>
      <w:bookmarkEnd w:id="70"/>
      <w:r w:rsidRPr="00BC081A">
        <w:t xml:space="preserve"> – Frequencies of Demographic Variables</w:t>
      </w:r>
      <w:bookmarkEnd w:id="71"/>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871"/>
        <w:gridCol w:w="1871"/>
        <w:gridCol w:w="1871"/>
        <w:gridCol w:w="1871"/>
      </w:tblGrid>
      <w:tr w:rsidR="00BF3C8A" w:rsidRPr="00BC081A" w14:paraId="142E53DE" w14:textId="77777777" w:rsidTr="00BF3C8A">
        <w:trPr>
          <w:trHeight w:val="423"/>
        </w:trPr>
        <w:tc>
          <w:tcPr>
            <w:tcW w:w="1871" w:type="dxa"/>
            <w:shd w:val="clear" w:color="auto" w:fill="F2F2F2" w:themeFill="background1" w:themeFillShade="F2"/>
          </w:tcPr>
          <w:p w14:paraId="45784932" w14:textId="6C2E1B94" w:rsidR="00067DEC" w:rsidRPr="00BC081A" w:rsidRDefault="006703DE" w:rsidP="00BF3C8A">
            <w:pPr>
              <w:pStyle w:val="TableContext"/>
              <w:rPr>
                <w:lang w:val="en-CA"/>
              </w:rPr>
            </w:pPr>
            <w:r w:rsidRPr="00BC081A">
              <w:rPr>
                <w:lang w:val="en-CA"/>
              </w:rPr>
              <w:t>Variable</w:t>
            </w:r>
          </w:p>
        </w:tc>
        <w:tc>
          <w:tcPr>
            <w:tcW w:w="1871" w:type="dxa"/>
            <w:shd w:val="clear" w:color="auto" w:fill="F2F2F2" w:themeFill="background1" w:themeFillShade="F2"/>
          </w:tcPr>
          <w:p w14:paraId="329CEE76" w14:textId="3FE4EECF" w:rsidR="00067DEC" w:rsidRPr="00BC081A" w:rsidRDefault="006703DE" w:rsidP="00BF3C8A">
            <w:pPr>
              <w:pStyle w:val="TableContext"/>
              <w:rPr>
                <w:lang w:val="en-CA"/>
              </w:rPr>
            </w:pPr>
            <w:r w:rsidRPr="00BC081A">
              <w:rPr>
                <w:lang w:val="en-CA"/>
              </w:rPr>
              <w:t>Category</w:t>
            </w:r>
          </w:p>
        </w:tc>
        <w:tc>
          <w:tcPr>
            <w:tcW w:w="1871" w:type="dxa"/>
            <w:shd w:val="clear" w:color="auto" w:fill="F2F2F2" w:themeFill="background1" w:themeFillShade="F2"/>
          </w:tcPr>
          <w:p w14:paraId="497502E7" w14:textId="1715CC78" w:rsidR="00067DEC" w:rsidRPr="00BC081A" w:rsidRDefault="006703DE" w:rsidP="00BF3C8A">
            <w:pPr>
              <w:pStyle w:val="TableContext"/>
              <w:rPr>
                <w:lang w:val="en-CA"/>
              </w:rPr>
            </w:pPr>
            <w:r w:rsidRPr="00BC081A">
              <w:rPr>
                <w:lang w:val="en-CA"/>
              </w:rPr>
              <w:t>Frequency</w:t>
            </w:r>
          </w:p>
        </w:tc>
        <w:tc>
          <w:tcPr>
            <w:tcW w:w="1871" w:type="dxa"/>
            <w:shd w:val="clear" w:color="auto" w:fill="F2F2F2" w:themeFill="background1" w:themeFillShade="F2"/>
          </w:tcPr>
          <w:p w14:paraId="28FD302F" w14:textId="3A51DBB4" w:rsidR="00067DEC" w:rsidRPr="00BC081A" w:rsidRDefault="006703DE" w:rsidP="00BF3C8A">
            <w:pPr>
              <w:pStyle w:val="TableContext"/>
              <w:rPr>
                <w:lang w:val="en-CA"/>
              </w:rPr>
            </w:pPr>
            <w:r w:rsidRPr="00BC081A">
              <w:rPr>
                <w:lang w:val="en-CA"/>
              </w:rPr>
              <w:t>Percentage</w:t>
            </w:r>
          </w:p>
        </w:tc>
      </w:tr>
      <w:tr w:rsidR="006703DE" w:rsidRPr="00BC081A" w14:paraId="3E10C0F3" w14:textId="77777777" w:rsidTr="008C71FB">
        <w:trPr>
          <w:trHeight w:val="423"/>
        </w:trPr>
        <w:tc>
          <w:tcPr>
            <w:tcW w:w="1871" w:type="dxa"/>
            <w:vMerge w:val="restart"/>
            <w:shd w:val="clear" w:color="auto" w:fill="F2F2F2" w:themeFill="background1" w:themeFillShade="F2"/>
          </w:tcPr>
          <w:p w14:paraId="5054287D" w14:textId="3B66A754" w:rsidR="006703DE" w:rsidRPr="00BC081A" w:rsidRDefault="006703DE" w:rsidP="00BF3C8A">
            <w:pPr>
              <w:pStyle w:val="TableContext"/>
              <w:jc w:val="left"/>
              <w:rPr>
                <w:lang w:val="en-CA"/>
              </w:rPr>
            </w:pPr>
            <w:r w:rsidRPr="00BC081A">
              <w:rPr>
                <w:lang w:val="en-CA"/>
              </w:rPr>
              <w:t>Education</w:t>
            </w:r>
          </w:p>
        </w:tc>
        <w:tc>
          <w:tcPr>
            <w:tcW w:w="1871" w:type="dxa"/>
          </w:tcPr>
          <w:p w14:paraId="47A23022" w14:textId="24EFBA56" w:rsidR="006703DE" w:rsidRPr="00BC081A" w:rsidRDefault="006703DE" w:rsidP="00BF3C8A">
            <w:pPr>
              <w:pStyle w:val="TableContext"/>
              <w:rPr>
                <w:lang w:val="en-CA"/>
              </w:rPr>
            </w:pPr>
            <w:r w:rsidRPr="00BC081A">
              <w:rPr>
                <w:lang w:val="en-CA"/>
              </w:rPr>
              <w:t>High School</w:t>
            </w:r>
          </w:p>
        </w:tc>
        <w:tc>
          <w:tcPr>
            <w:tcW w:w="1871" w:type="dxa"/>
          </w:tcPr>
          <w:p w14:paraId="341D5155" w14:textId="240A0FF8" w:rsidR="006703DE" w:rsidRPr="00BC081A" w:rsidRDefault="006703DE" w:rsidP="00BF3C8A">
            <w:pPr>
              <w:pStyle w:val="TableContext"/>
              <w:rPr>
                <w:lang w:val="en-CA"/>
              </w:rPr>
            </w:pPr>
            <w:r w:rsidRPr="00BC081A">
              <w:rPr>
                <w:lang w:val="en-CA"/>
              </w:rPr>
              <w:t>89</w:t>
            </w:r>
          </w:p>
        </w:tc>
        <w:tc>
          <w:tcPr>
            <w:tcW w:w="1871" w:type="dxa"/>
          </w:tcPr>
          <w:p w14:paraId="63C60092" w14:textId="2A80FCC7" w:rsidR="006703DE" w:rsidRPr="00BC081A" w:rsidRDefault="006703DE" w:rsidP="00BF3C8A">
            <w:pPr>
              <w:pStyle w:val="TableContext"/>
              <w:rPr>
                <w:lang w:val="en-CA"/>
              </w:rPr>
            </w:pPr>
            <w:r w:rsidRPr="00BC081A">
              <w:rPr>
                <w:lang w:val="en-CA"/>
              </w:rPr>
              <w:t>78%</w:t>
            </w:r>
          </w:p>
        </w:tc>
      </w:tr>
      <w:tr w:rsidR="006703DE" w:rsidRPr="00BC081A" w14:paraId="2A5F5EBB" w14:textId="77777777" w:rsidTr="008C71FB">
        <w:trPr>
          <w:trHeight w:val="125"/>
        </w:trPr>
        <w:tc>
          <w:tcPr>
            <w:tcW w:w="1871" w:type="dxa"/>
            <w:vMerge/>
            <w:shd w:val="clear" w:color="auto" w:fill="F2F2F2" w:themeFill="background1" w:themeFillShade="F2"/>
          </w:tcPr>
          <w:p w14:paraId="23C6F0F0" w14:textId="77777777" w:rsidR="006703DE" w:rsidRPr="00BC081A" w:rsidRDefault="006703DE" w:rsidP="00BF3C8A">
            <w:pPr>
              <w:pStyle w:val="TableContext"/>
              <w:jc w:val="left"/>
              <w:rPr>
                <w:lang w:val="en-CA"/>
              </w:rPr>
            </w:pPr>
          </w:p>
        </w:tc>
        <w:tc>
          <w:tcPr>
            <w:tcW w:w="1871" w:type="dxa"/>
          </w:tcPr>
          <w:p w14:paraId="2215E5AE" w14:textId="648CF232" w:rsidR="006703DE" w:rsidRPr="00BC081A" w:rsidRDefault="006703DE" w:rsidP="00BF3C8A">
            <w:pPr>
              <w:pStyle w:val="TableContext"/>
              <w:rPr>
                <w:lang w:val="en-CA"/>
              </w:rPr>
            </w:pPr>
            <w:r w:rsidRPr="00BC081A">
              <w:rPr>
                <w:lang w:val="en-CA"/>
              </w:rPr>
              <w:t>Bachelor’s or College Degree</w:t>
            </w:r>
          </w:p>
        </w:tc>
        <w:tc>
          <w:tcPr>
            <w:tcW w:w="1871" w:type="dxa"/>
          </w:tcPr>
          <w:p w14:paraId="3D190A6B" w14:textId="787F1987" w:rsidR="006703DE" w:rsidRPr="00BC081A" w:rsidRDefault="006703DE" w:rsidP="00BF3C8A">
            <w:pPr>
              <w:pStyle w:val="TableContext"/>
              <w:rPr>
                <w:lang w:val="en-CA"/>
              </w:rPr>
            </w:pPr>
            <w:r w:rsidRPr="00BC081A">
              <w:rPr>
                <w:lang w:val="en-CA"/>
              </w:rPr>
              <w:t>12</w:t>
            </w:r>
          </w:p>
        </w:tc>
        <w:tc>
          <w:tcPr>
            <w:tcW w:w="1871" w:type="dxa"/>
          </w:tcPr>
          <w:p w14:paraId="04B18C48" w14:textId="2A44F82E" w:rsidR="006703DE" w:rsidRPr="00BC081A" w:rsidRDefault="006703DE" w:rsidP="00BF3C8A">
            <w:pPr>
              <w:pStyle w:val="TableContext"/>
              <w:rPr>
                <w:lang w:val="en-CA"/>
              </w:rPr>
            </w:pPr>
            <w:r w:rsidRPr="00BC081A">
              <w:rPr>
                <w:lang w:val="en-CA"/>
              </w:rPr>
              <w:t>11%</w:t>
            </w:r>
          </w:p>
        </w:tc>
      </w:tr>
      <w:tr w:rsidR="006703DE" w:rsidRPr="00BC081A" w14:paraId="66BAAD9E" w14:textId="77777777" w:rsidTr="008C71FB">
        <w:trPr>
          <w:trHeight w:val="125"/>
        </w:trPr>
        <w:tc>
          <w:tcPr>
            <w:tcW w:w="1871" w:type="dxa"/>
            <w:vMerge/>
            <w:shd w:val="clear" w:color="auto" w:fill="F2F2F2" w:themeFill="background1" w:themeFillShade="F2"/>
          </w:tcPr>
          <w:p w14:paraId="27C1E4BB" w14:textId="77777777" w:rsidR="006703DE" w:rsidRPr="00BC081A" w:rsidRDefault="006703DE" w:rsidP="00BF3C8A">
            <w:pPr>
              <w:pStyle w:val="TableContext"/>
              <w:jc w:val="left"/>
              <w:rPr>
                <w:lang w:val="en-CA"/>
              </w:rPr>
            </w:pPr>
          </w:p>
        </w:tc>
        <w:tc>
          <w:tcPr>
            <w:tcW w:w="1871" w:type="dxa"/>
          </w:tcPr>
          <w:p w14:paraId="5470A7A2" w14:textId="7D022601" w:rsidR="006703DE" w:rsidRPr="00BC081A" w:rsidRDefault="006703DE" w:rsidP="00BF3C8A">
            <w:pPr>
              <w:pStyle w:val="TableContext"/>
              <w:rPr>
                <w:lang w:val="en-CA"/>
              </w:rPr>
            </w:pPr>
            <w:r w:rsidRPr="00BC081A">
              <w:rPr>
                <w:lang w:val="en-CA"/>
              </w:rPr>
              <w:t>Master’s Degree</w:t>
            </w:r>
          </w:p>
        </w:tc>
        <w:tc>
          <w:tcPr>
            <w:tcW w:w="1871" w:type="dxa"/>
          </w:tcPr>
          <w:p w14:paraId="00DBD98E" w14:textId="7F84549E" w:rsidR="006703DE" w:rsidRPr="00BC081A" w:rsidRDefault="006703DE" w:rsidP="00BF3C8A">
            <w:pPr>
              <w:pStyle w:val="TableContext"/>
              <w:rPr>
                <w:lang w:val="en-CA"/>
              </w:rPr>
            </w:pPr>
            <w:r w:rsidRPr="00BC081A">
              <w:rPr>
                <w:lang w:val="en-CA"/>
              </w:rPr>
              <w:t>12</w:t>
            </w:r>
          </w:p>
        </w:tc>
        <w:tc>
          <w:tcPr>
            <w:tcW w:w="1871" w:type="dxa"/>
          </w:tcPr>
          <w:p w14:paraId="0D35DF0D" w14:textId="32F1BC1A" w:rsidR="006703DE" w:rsidRPr="00BC081A" w:rsidRDefault="006703DE" w:rsidP="00BF3C8A">
            <w:pPr>
              <w:pStyle w:val="TableContext"/>
              <w:rPr>
                <w:lang w:val="en-CA"/>
              </w:rPr>
            </w:pPr>
            <w:r w:rsidRPr="00BC081A">
              <w:rPr>
                <w:lang w:val="en-CA"/>
              </w:rPr>
              <w:t>11%</w:t>
            </w:r>
          </w:p>
        </w:tc>
      </w:tr>
      <w:tr w:rsidR="00F11CB2" w:rsidRPr="00BC081A" w14:paraId="2C362810" w14:textId="77777777" w:rsidTr="008C71FB">
        <w:trPr>
          <w:trHeight w:val="423"/>
        </w:trPr>
        <w:tc>
          <w:tcPr>
            <w:tcW w:w="1871" w:type="dxa"/>
            <w:vMerge w:val="restart"/>
            <w:shd w:val="clear" w:color="auto" w:fill="F2F2F2" w:themeFill="background1" w:themeFillShade="F2"/>
          </w:tcPr>
          <w:p w14:paraId="675DC910" w14:textId="77777777" w:rsidR="009E74B4" w:rsidRPr="00BC081A" w:rsidRDefault="009E74B4" w:rsidP="00BF3C8A">
            <w:pPr>
              <w:pStyle w:val="TableContext"/>
              <w:jc w:val="left"/>
              <w:rPr>
                <w:lang w:val="en-CA"/>
              </w:rPr>
            </w:pPr>
            <w:r w:rsidRPr="00BC081A">
              <w:rPr>
                <w:lang w:val="en-CA"/>
              </w:rPr>
              <w:t>Ethnicity</w:t>
            </w:r>
          </w:p>
        </w:tc>
        <w:tc>
          <w:tcPr>
            <w:tcW w:w="1871" w:type="dxa"/>
          </w:tcPr>
          <w:p w14:paraId="13F74F72" w14:textId="77777777" w:rsidR="009E74B4" w:rsidRPr="00BC081A" w:rsidRDefault="009E74B4" w:rsidP="00BF3C8A">
            <w:pPr>
              <w:pStyle w:val="TableContext"/>
              <w:rPr>
                <w:lang w:val="en-CA"/>
              </w:rPr>
            </w:pPr>
            <w:r w:rsidRPr="00BC081A">
              <w:rPr>
                <w:lang w:val="en-CA"/>
              </w:rPr>
              <w:t>White</w:t>
            </w:r>
          </w:p>
        </w:tc>
        <w:tc>
          <w:tcPr>
            <w:tcW w:w="1871" w:type="dxa"/>
          </w:tcPr>
          <w:p w14:paraId="11AF79B8" w14:textId="77777777" w:rsidR="009E74B4" w:rsidRPr="00BC081A" w:rsidRDefault="009E74B4" w:rsidP="00BF3C8A">
            <w:pPr>
              <w:pStyle w:val="TableContext"/>
              <w:rPr>
                <w:lang w:val="en-CA"/>
              </w:rPr>
            </w:pPr>
            <w:r w:rsidRPr="00BC081A">
              <w:rPr>
                <w:lang w:val="en-CA"/>
              </w:rPr>
              <w:t>40</w:t>
            </w:r>
          </w:p>
        </w:tc>
        <w:tc>
          <w:tcPr>
            <w:tcW w:w="1871" w:type="dxa"/>
          </w:tcPr>
          <w:p w14:paraId="13DD4F41" w14:textId="77777777" w:rsidR="009E74B4" w:rsidRPr="00BC081A" w:rsidRDefault="009E74B4" w:rsidP="00BF3C8A">
            <w:pPr>
              <w:pStyle w:val="TableContext"/>
              <w:rPr>
                <w:lang w:val="en-CA"/>
              </w:rPr>
            </w:pPr>
            <w:r w:rsidRPr="00BC081A">
              <w:rPr>
                <w:lang w:val="en-CA"/>
              </w:rPr>
              <w:t>36%</w:t>
            </w:r>
          </w:p>
        </w:tc>
      </w:tr>
      <w:tr w:rsidR="00F11CB2" w:rsidRPr="00BC081A" w14:paraId="69CA1C57" w14:textId="77777777" w:rsidTr="008C71FB">
        <w:trPr>
          <w:trHeight w:val="125"/>
        </w:trPr>
        <w:tc>
          <w:tcPr>
            <w:tcW w:w="1871" w:type="dxa"/>
            <w:vMerge/>
            <w:shd w:val="clear" w:color="auto" w:fill="F2F2F2" w:themeFill="background1" w:themeFillShade="F2"/>
          </w:tcPr>
          <w:p w14:paraId="34ABB12D" w14:textId="77777777" w:rsidR="009E74B4" w:rsidRPr="00BC081A" w:rsidRDefault="009E74B4" w:rsidP="00BF3C8A">
            <w:pPr>
              <w:pStyle w:val="TableContext"/>
              <w:jc w:val="left"/>
              <w:rPr>
                <w:lang w:val="en-CA"/>
              </w:rPr>
            </w:pPr>
          </w:p>
        </w:tc>
        <w:tc>
          <w:tcPr>
            <w:tcW w:w="1871" w:type="dxa"/>
          </w:tcPr>
          <w:p w14:paraId="39B8CA23" w14:textId="77777777" w:rsidR="009E74B4" w:rsidRPr="00BC081A" w:rsidRDefault="009E74B4" w:rsidP="00BF3C8A">
            <w:pPr>
              <w:pStyle w:val="TableContext"/>
              <w:rPr>
                <w:lang w:val="en-CA"/>
              </w:rPr>
            </w:pPr>
            <w:r w:rsidRPr="00BC081A">
              <w:rPr>
                <w:lang w:val="en-CA"/>
              </w:rPr>
              <w:t>Hispanic or Latino</w:t>
            </w:r>
          </w:p>
        </w:tc>
        <w:tc>
          <w:tcPr>
            <w:tcW w:w="1871" w:type="dxa"/>
          </w:tcPr>
          <w:p w14:paraId="012F82CD" w14:textId="77777777" w:rsidR="009E74B4" w:rsidRPr="00BC081A" w:rsidRDefault="009E74B4" w:rsidP="00BF3C8A">
            <w:pPr>
              <w:pStyle w:val="TableContext"/>
              <w:rPr>
                <w:lang w:val="en-CA"/>
              </w:rPr>
            </w:pPr>
            <w:r w:rsidRPr="00BC081A">
              <w:rPr>
                <w:lang w:val="en-CA"/>
              </w:rPr>
              <w:t>1</w:t>
            </w:r>
          </w:p>
        </w:tc>
        <w:tc>
          <w:tcPr>
            <w:tcW w:w="1871" w:type="dxa"/>
          </w:tcPr>
          <w:p w14:paraId="16B99D09" w14:textId="77777777" w:rsidR="009E74B4" w:rsidRPr="00BC081A" w:rsidRDefault="009E74B4" w:rsidP="00BF3C8A">
            <w:pPr>
              <w:pStyle w:val="TableContext"/>
              <w:rPr>
                <w:lang w:val="en-CA"/>
              </w:rPr>
            </w:pPr>
            <w:r w:rsidRPr="00BC081A">
              <w:rPr>
                <w:lang w:val="en-CA"/>
              </w:rPr>
              <w:t>1%</w:t>
            </w:r>
          </w:p>
        </w:tc>
      </w:tr>
      <w:tr w:rsidR="00F11CB2" w:rsidRPr="00BC081A" w14:paraId="17313582" w14:textId="77777777" w:rsidTr="008C71FB">
        <w:trPr>
          <w:trHeight w:val="125"/>
        </w:trPr>
        <w:tc>
          <w:tcPr>
            <w:tcW w:w="1871" w:type="dxa"/>
            <w:vMerge/>
            <w:shd w:val="clear" w:color="auto" w:fill="F2F2F2" w:themeFill="background1" w:themeFillShade="F2"/>
          </w:tcPr>
          <w:p w14:paraId="09AE122F" w14:textId="77777777" w:rsidR="009E74B4" w:rsidRPr="00BC081A" w:rsidRDefault="009E74B4" w:rsidP="00BF3C8A">
            <w:pPr>
              <w:pStyle w:val="TableContext"/>
              <w:jc w:val="left"/>
              <w:rPr>
                <w:lang w:val="en-CA"/>
              </w:rPr>
            </w:pPr>
          </w:p>
        </w:tc>
        <w:tc>
          <w:tcPr>
            <w:tcW w:w="1871" w:type="dxa"/>
          </w:tcPr>
          <w:p w14:paraId="75FC4553" w14:textId="77777777" w:rsidR="009E74B4" w:rsidRPr="00BC081A" w:rsidRDefault="009E74B4" w:rsidP="00BF3C8A">
            <w:pPr>
              <w:pStyle w:val="TableContext"/>
              <w:rPr>
                <w:lang w:val="en-CA"/>
              </w:rPr>
            </w:pPr>
            <w:r w:rsidRPr="00BC081A">
              <w:rPr>
                <w:lang w:val="en-CA"/>
              </w:rPr>
              <w:t>Black or African American</w:t>
            </w:r>
          </w:p>
        </w:tc>
        <w:tc>
          <w:tcPr>
            <w:tcW w:w="1871" w:type="dxa"/>
          </w:tcPr>
          <w:p w14:paraId="69FC8074" w14:textId="77777777" w:rsidR="009E74B4" w:rsidRPr="00BC081A" w:rsidRDefault="009E74B4" w:rsidP="00BF3C8A">
            <w:pPr>
              <w:pStyle w:val="TableContext"/>
              <w:rPr>
                <w:lang w:val="en-CA"/>
              </w:rPr>
            </w:pPr>
            <w:r w:rsidRPr="00BC081A">
              <w:rPr>
                <w:lang w:val="en-CA"/>
              </w:rPr>
              <w:t>2</w:t>
            </w:r>
          </w:p>
        </w:tc>
        <w:tc>
          <w:tcPr>
            <w:tcW w:w="1871" w:type="dxa"/>
          </w:tcPr>
          <w:p w14:paraId="16D8D35C" w14:textId="77777777" w:rsidR="009E74B4" w:rsidRPr="00BC081A" w:rsidRDefault="009E74B4" w:rsidP="00BF3C8A">
            <w:pPr>
              <w:pStyle w:val="TableContext"/>
              <w:rPr>
                <w:lang w:val="en-CA"/>
              </w:rPr>
            </w:pPr>
            <w:r w:rsidRPr="00BC081A">
              <w:rPr>
                <w:lang w:val="en-CA"/>
              </w:rPr>
              <w:t>2%</w:t>
            </w:r>
          </w:p>
        </w:tc>
      </w:tr>
      <w:tr w:rsidR="00F11CB2" w:rsidRPr="00BC081A" w14:paraId="2E6A83F3" w14:textId="77777777" w:rsidTr="008C71FB">
        <w:trPr>
          <w:trHeight w:val="125"/>
        </w:trPr>
        <w:tc>
          <w:tcPr>
            <w:tcW w:w="1871" w:type="dxa"/>
            <w:vMerge/>
            <w:shd w:val="clear" w:color="auto" w:fill="F2F2F2" w:themeFill="background1" w:themeFillShade="F2"/>
          </w:tcPr>
          <w:p w14:paraId="55DE81D5" w14:textId="77777777" w:rsidR="009E74B4" w:rsidRPr="00BC081A" w:rsidRDefault="009E74B4" w:rsidP="00BF3C8A">
            <w:pPr>
              <w:pStyle w:val="TableContext"/>
              <w:jc w:val="left"/>
              <w:rPr>
                <w:lang w:val="en-CA"/>
              </w:rPr>
            </w:pPr>
          </w:p>
        </w:tc>
        <w:tc>
          <w:tcPr>
            <w:tcW w:w="1871" w:type="dxa"/>
          </w:tcPr>
          <w:p w14:paraId="5427BEC4" w14:textId="77777777" w:rsidR="009E74B4" w:rsidRPr="00BC081A" w:rsidRDefault="009E74B4" w:rsidP="00BF3C8A">
            <w:pPr>
              <w:pStyle w:val="TableContext"/>
              <w:rPr>
                <w:lang w:val="en-CA"/>
              </w:rPr>
            </w:pPr>
            <w:r w:rsidRPr="00BC081A">
              <w:rPr>
                <w:lang w:val="en-CA"/>
              </w:rPr>
              <w:t>Asian/Pacific Islander</w:t>
            </w:r>
          </w:p>
        </w:tc>
        <w:tc>
          <w:tcPr>
            <w:tcW w:w="1871" w:type="dxa"/>
          </w:tcPr>
          <w:p w14:paraId="13CE3EBF" w14:textId="77777777" w:rsidR="009E74B4" w:rsidRPr="00BC081A" w:rsidRDefault="009E74B4" w:rsidP="00BF3C8A">
            <w:pPr>
              <w:pStyle w:val="TableContext"/>
              <w:rPr>
                <w:lang w:val="en-CA"/>
              </w:rPr>
            </w:pPr>
            <w:r w:rsidRPr="00BC081A">
              <w:rPr>
                <w:lang w:val="en-CA"/>
              </w:rPr>
              <w:t>54</w:t>
            </w:r>
          </w:p>
        </w:tc>
        <w:tc>
          <w:tcPr>
            <w:tcW w:w="1871" w:type="dxa"/>
          </w:tcPr>
          <w:p w14:paraId="6A49DB2F" w14:textId="1E3F9420" w:rsidR="009E74B4" w:rsidRPr="00BC081A" w:rsidRDefault="009E74B4" w:rsidP="00BF3C8A">
            <w:pPr>
              <w:pStyle w:val="TableContext"/>
              <w:rPr>
                <w:lang w:val="en-CA"/>
              </w:rPr>
            </w:pPr>
            <w:r w:rsidRPr="00BC081A">
              <w:rPr>
                <w:lang w:val="en-CA"/>
              </w:rPr>
              <w:t>49</w:t>
            </w:r>
            <w:r w:rsidR="00E7183D" w:rsidRPr="00BC081A">
              <w:rPr>
                <w:lang w:val="en-CA"/>
              </w:rPr>
              <w:t>%</w:t>
            </w:r>
          </w:p>
        </w:tc>
      </w:tr>
      <w:tr w:rsidR="00F11CB2" w:rsidRPr="00BC081A" w14:paraId="3B910A9E" w14:textId="77777777" w:rsidTr="008C71FB">
        <w:trPr>
          <w:trHeight w:val="125"/>
        </w:trPr>
        <w:tc>
          <w:tcPr>
            <w:tcW w:w="1871" w:type="dxa"/>
            <w:vMerge/>
            <w:shd w:val="clear" w:color="auto" w:fill="F2F2F2" w:themeFill="background1" w:themeFillShade="F2"/>
          </w:tcPr>
          <w:p w14:paraId="4754CE01" w14:textId="77777777" w:rsidR="009E74B4" w:rsidRPr="00BC081A" w:rsidRDefault="009E74B4" w:rsidP="00BF3C8A">
            <w:pPr>
              <w:pStyle w:val="TableContext"/>
              <w:jc w:val="left"/>
              <w:rPr>
                <w:lang w:val="en-CA"/>
              </w:rPr>
            </w:pPr>
          </w:p>
        </w:tc>
        <w:tc>
          <w:tcPr>
            <w:tcW w:w="1871" w:type="dxa"/>
          </w:tcPr>
          <w:p w14:paraId="1B6FD634" w14:textId="77777777" w:rsidR="009E74B4" w:rsidRPr="00BC081A" w:rsidRDefault="009E74B4" w:rsidP="00BF3C8A">
            <w:pPr>
              <w:pStyle w:val="TableContext"/>
              <w:rPr>
                <w:lang w:val="en-CA"/>
              </w:rPr>
            </w:pPr>
            <w:r w:rsidRPr="00BC081A">
              <w:rPr>
                <w:lang w:val="en-CA"/>
              </w:rPr>
              <w:t>Middle Eastern</w:t>
            </w:r>
          </w:p>
        </w:tc>
        <w:tc>
          <w:tcPr>
            <w:tcW w:w="1871" w:type="dxa"/>
          </w:tcPr>
          <w:p w14:paraId="2C795A90" w14:textId="77777777" w:rsidR="009E74B4" w:rsidRPr="00BC081A" w:rsidRDefault="009E74B4" w:rsidP="00BF3C8A">
            <w:pPr>
              <w:pStyle w:val="TableContext"/>
              <w:rPr>
                <w:lang w:val="en-CA"/>
              </w:rPr>
            </w:pPr>
            <w:r w:rsidRPr="00BC081A">
              <w:rPr>
                <w:lang w:val="en-CA"/>
              </w:rPr>
              <w:t>11</w:t>
            </w:r>
          </w:p>
        </w:tc>
        <w:tc>
          <w:tcPr>
            <w:tcW w:w="1871" w:type="dxa"/>
          </w:tcPr>
          <w:p w14:paraId="46941FB4" w14:textId="77777777" w:rsidR="009E74B4" w:rsidRPr="00BC081A" w:rsidRDefault="009E74B4" w:rsidP="00BF3C8A">
            <w:pPr>
              <w:pStyle w:val="TableContext"/>
              <w:rPr>
                <w:lang w:val="en-CA"/>
              </w:rPr>
            </w:pPr>
            <w:r w:rsidRPr="00BC081A">
              <w:rPr>
                <w:lang w:val="en-CA"/>
              </w:rPr>
              <w:t>10%</w:t>
            </w:r>
          </w:p>
        </w:tc>
      </w:tr>
      <w:tr w:rsidR="00F11CB2" w:rsidRPr="00BC081A" w14:paraId="50305B20" w14:textId="77777777" w:rsidTr="008C71FB">
        <w:trPr>
          <w:trHeight w:val="125"/>
        </w:trPr>
        <w:tc>
          <w:tcPr>
            <w:tcW w:w="1871" w:type="dxa"/>
            <w:vMerge/>
            <w:shd w:val="clear" w:color="auto" w:fill="F2F2F2" w:themeFill="background1" w:themeFillShade="F2"/>
          </w:tcPr>
          <w:p w14:paraId="46511B27" w14:textId="77777777" w:rsidR="009E74B4" w:rsidRPr="00BC081A" w:rsidRDefault="009E74B4" w:rsidP="00BF3C8A">
            <w:pPr>
              <w:pStyle w:val="TableContext"/>
              <w:jc w:val="left"/>
              <w:rPr>
                <w:lang w:val="en-CA"/>
              </w:rPr>
            </w:pPr>
          </w:p>
        </w:tc>
        <w:tc>
          <w:tcPr>
            <w:tcW w:w="1871" w:type="dxa"/>
          </w:tcPr>
          <w:p w14:paraId="308B7326" w14:textId="77777777" w:rsidR="009E74B4" w:rsidRPr="00BC081A" w:rsidRDefault="009E74B4" w:rsidP="00BF3C8A">
            <w:pPr>
              <w:pStyle w:val="TableContext"/>
              <w:rPr>
                <w:lang w:val="en-CA"/>
              </w:rPr>
            </w:pPr>
            <w:r w:rsidRPr="00BC081A">
              <w:rPr>
                <w:lang w:val="en-CA"/>
              </w:rPr>
              <w:t>Aboriginal</w:t>
            </w:r>
          </w:p>
        </w:tc>
        <w:tc>
          <w:tcPr>
            <w:tcW w:w="1871" w:type="dxa"/>
          </w:tcPr>
          <w:p w14:paraId="70CD3352" w14:textId="77777777" w:rsidR="009E74B4" w:rsidRPr="00BC081A" w:rsidRDefault="009E74B4" w:rsidP="00BF3C8A">
            <w:pPr>
              <w:pStyle w:val="TableContext"/>
              <w:rPr>
                <w:lang w:val="en-CA"/>
              </w:rPr>
            </w:pPr>
            <w:r w:rsidRPr="00BC081A">
              <w:rPr>
                <w:lang w:val="en-CA"/>
              </w:rPr>
              <w:t>1</w:t>
            </w:r>
          </w:p>
        </w:tc>
        <w:tc>
          <w:tcPr>
            <w:tcW w:w="1871" w:type="dxa"/>
          </w:tcPr>
          <w:p w14:paraId="0B36CBAD" w14:textId="77777777" w:rsidR="009E74B4" w:rsidRPr="00BC081A" w:rsidRDefault="009E74B4" w:rsidP="00BF3C8A">
            <w:pPr>
              <w:pStyle w:val="TableContext"/>
              <w:rPr>
                <w:lang w:val="en-CA"/>
              </w:rPr>
            </w:pPr>
            <w:r w:rsidRPr="00BC081A">
              <w:rPr>
                <w:lang w:val="en-CA"/>
              </w:rPr>
              <w:t>1%</w:t>
            </w:r>
          </w:p>
        </w:tc>
      </w:tr>
      <w:tr w:rsidR="00F11CB2" w:rsidRPr="00BC081A" w14:paraId="27308629" w14:textId="77777777" w:rsidTr="008C71FB">
        <w:trPr>
          <w:trHeight w:val="125"/>
        </w:trPr>
        <w:tc>
          <w:tcPr>
            <w:tcW w:w="1871" w:type="dxa"/>
            <w:vMerge/>
            <w:shd w:val="clear" w:color="auto" w:fill="F2F2F2" w:themeFill="background1" w:themeFillShade="F2"/>
          </w:tcPr>
          <w:p w14:paraId="6A24CC10" w14:textId="77777777" w:rsidR="009E74B4" w:rsidRPr="00BC081A" w:rsidRDefault="009E74B4" w:rsidP="00BF3C8A">
            <w:pPr>
              <w:pStyle w:val="TableContext"/>
              <w:jc w:val="left"/>
              <w:rPr>
                <w:lang w:val="en-CA"/>
              </w:rPr>
            </w:pPr>
          </w:p>
        </w:tc>
        <w:tc>
          <w:tcPr>
            <w:tcW w:w="1871" w:type="dxa"/>
          </w:tcPr>
          <w:p w14:paraId="20B5822B" w14:textId="77777777" w:rsidR="009E74B4" w:rsidRPr="00BC081A" w:rsidRDefault="009E74B4" w:rsidP="00BF3C8A">
            <w:pPr>
              <w:pStyle w:val="TableContext"/>
              <w:rPr>
                <w:lang w:val="en-CA"/>
              </w:rPr>
            </w:pPr>
            <w:r w:rsidRPr="00BC081A">
              <w:rPr>
                <w:lang w:val="en-CA"/>
              </w:rPr>
              <w:t>South Asian</w:t>
            </w:r>
          </w:p>
        </w:tc>
        <w:tc>
          <w:tcPr>
            <w:tcW w:w="1871" w:type="dxa"/>
          </w:tcPr>
          <w:p w14:paraId="6E4F64DD" w14:textId="77777777" w:rsidR="009E74B4" w:rsidRPr="00BC081A" w:rsidRDefault="009E74B4" w:rsidP="00BF3C8A">
            <w:pPr>
              <w:pStyle w:val="TableContext"/>
              <w:rPr>
                <w:lang w:val="en-CA"/>
              </w:rPr>
            </w:pPr>
            <w:r w:rsidRPr="00BC081A">
              <w:rPr>
                <w:lang w:val="en-CA"/>
              </w:rPr>
              <w:t>2</w:t>
            </w:r>
          </w:p>
        </w:tc>
        <w:tc>
          <w:tcPr>
            <w:tcW w:w="1871" w:type="dxa"/>
          </w:tcPr>
          <w:p w14:paraId="76DD69CB" w14:textId="77777777" w:rsidR="009E74B4" w:rsidRPr="00BC081A" w:rsidRDefault="009E74B4" w:rsidP="00BF3C8A">
            <w:pPr>
              <w:pStyle w:val="TableContext"/>
              <w:rPr>
                <w:lang w:val="en-CA"/>
              </w:rPr>
            </w:pPr>
            <w:r w:rsidRPr="00BC081A">
              <w:rPr>
                <w:lang w:val="en-CA"/>
              </w:rPr>
              <w:t>2%</w:t>
            </w:r>
          </w:p>
        </w:tc>
      </w:tr>
      <w:tr w:rsidR="002E3E15" w:rsidRPr="00BC081A" w14:paraId="1F53248A" w14:textId="77777777" w:rsidTr="008C71FB">
        <w:trPr>
          <w:trHeight w:val="423"/>
        </w:trPr>
        <w:tc>
          <w:tcPr>
            <w:tcW w:w="1871" w:type="dxa"/>
            <w:vMerge w:val="restart"/>
            <w:shd w:val="clear" w:color="auto" w:fill="F2F2F2" w:themeFill="background1" w:themeFillShade="F2"/>
          </w:tcPr>
          <w:p w14:paraId="5509CECF" w14:textId="53AD8CFC" w:rsidR="002E3E15" w:rsidRPr="00BC081A" w:rsidRDefault="002E3E15" w:rsidP="00BF3C8A">
            <w:pPr>
              <w:pStyle w:val="TableContext"/>
              <w:jc w:val="left"/>
              <w:rPr>
                <w:lang w:val="en-CA"/>
              </w:rPr>
            </w:pPr>
            <w:r w:rsidRPr="00BC081A">
              <w:rPr>
                <w:lang w:val="en-CA"/>
              </w:rPr>
              <w:t>Language</w:t>
            </w:r>
          </w:p>
        </w:tc>
        <w:tc>
          <w:tcPr>
            <w:tcW w:w="1871" w:type="dxa"/>
          </w:tcPr>
          <w:p w14:paraId="744FCCA3" w14:textId="410826E9" w:rsidR="002E3E15" w:rsidRPr="00BC081A" w:rsidRDefault="002E3E15" w:rsidP="00BF3C8A">
            <w:pPr>
              <w:pStyle w:val="TableContext"/>
              <w:rPr>
                <w:lang w:val="en-CA"/>
              </w:rPr>
            </w:pPr>
            <w:r w:rsidRPr="00BC081A">
              <w:rPr>
                <w:lang w:val="en-CA"/>
              </w:rPr>
              <w:t>English as First Language</w:t>
            </w:r>
          </w:p>
        </w:tc>
        <w:tc>
          <w:tcPr>
            <w:tcW w:w="1871" w:type="dxa"/>
          </w:tcPr>
          <w:p w14:paraId="346A8991" w14:textId="71F82830" w:rsidR="002E3E15" w:rsidRPr="00BC081A" w:rsidRDefault="002E3E15" w:rsidP="00BF3C8A">
            <w:pPr>
              <w:pStyle w:val="TableContext"/>
              <w:rPr>
                <w:lang w:val="en-CA"/>
              </w:rPr>
            </w:pPr>
            <w:r w:rsidRPr="00BC081A">
              <w:rPr>
                <w:lang w:val="en-CA"/>
              </w:rPr>
              <w:t>72</w:t>
            </w:r>
          </w:p>
        </w:tc>
        <w:tc>
          <w:tcPr>
            <w:tcW w:w="1871" w:type="dxa"/>
          </w:tcPr>
          <w:p w14:paraId="762C5F5B" w14:textId="78323091" w:rsidR="002E3E15" w:rsidRPr="00BC081A" w:rsidRDefault="002E3E15" w:rsidP="00BF3C8A">
            <w:pPr>
              <w:pStyle w:val="TableContext"/>
              <w:rPr>
                <w:lang w:val="en-CA"/>
              </w:rPr>
            </w:pPr>
            <w:r w:rsidRPr="00BC081A">
              <w:rPr>
                <w:lang w:val="en-CA"/>
              </w:rPr>
              <w:t>63%</w:t>
            </w:r>
          </w:p>
        </w:tc>
      </w:tr>
      <w:tr w:rsidR="002E3E15" w:rsidRPr="00BC081A" w14:paraId="3EA0B06F" w14:textId="77777777" w:rsidTr="008C71FB">
        <w:trPr>
          <w:trHeight w:val="125"/>
        </w:trPr>
        <w:tc>
          <w:tcPr>
            <w:tcW w:w="1871" w:type="dxa"/>
            <w:vMerge/>
            <w:shd w:val="clear" w:color="auto" w:fill="F2F2F2" w:themeFill="background1" w:themeFillShade="F2"/>
          </w:tcPr>
          <w:p w14:paraId="3E61201C" w14:textId="77777777" w:rsidR="002E3E15" w:rsidRPr="00BC081A" w:rsidRDefault="002E3E15" w:rsidP="00BF3C8A">
            <w:pPr>
              <w:pStyle w:val="TableContext"/>
              <w:jc w:val="left"/>
              <w:rPr>
                <w:lang w:val="en-CA"/>
              </w:rPr>
            </w:pPr>
          </w:p>
        </w:tc>
        <w:tc>
          <w:tcPr>
            <w:tcW w:w="1871" w:type="dxa"/>
          </w:tcPr>
          <w:p w14:paraId="2F19A079" w14:textId="359D6353" w:rsidR="002E3E15" w:rsidRPr="00BC081A" w:rsidRDefault="002E3E15" w:rsidP="00BF3C8A">
            <w:pPr>
              <w:pStyle w:val="TableContext"/>
              <w:rPr>
                <w:lang w:val="en-CA"/>
              </w:rPr>
            </w:pPr>
            <w:r w:rsidRPr="00BC081A">
              <w:rPr>
                <w:lang w:val="en-CA"/>
              </w:rPr>
              <w:t>English as Second Language</w:t>
            </w:r>
          </w:p>
        </w:tc>
        <w:tc>
          <w:tcPr>
            <w:tcW w:w="1871" w:type="dxa"/>
          </w:tcPr>
          <w:p w14:paraId="052E14AF" w14:textId="582AACC0" w:rsidR="002E3E15" w:rsidRPr="00BC081A" w:rsidRDefault="002E3E15" w:rsidP="00BF3C8A">
            <w:pPr>
              <w:pStyle w:val="TableContext"/>
              <w:rPr>
                <w:lang w:val="en-CA"/>
              </w:rPr>
            </w:pPr>
            <w:r w:rsidRPr="00BC081A">
              <w:rPr>
                <w:lang w:val="en-CA"/>
              </w:rPr>
              <w:t>42</w:t>
            </w:r>
          </w:p>
        </w:tc>
        <w:tc>
          <w:tcPr>
            <w:tcW w:w="1871" w:type="dxa"/>
          </w:tcPr>
          <w:p w14:paraId="53DC1F11" w14:textId="387E1D51" w:rsidR="002E3E15" w:rsidRPr="00BC081A" w:rsidRDefault="002E3E15" w:rsidP="00BF3C8A">
            <w:pPr>
              <w:pStyle w:val="TableContext"/>
              <w:rPr>
                <w:lang w:val="en-CA"/>
              </w:rPr>
            </w:pPr>
            <w:r w:rsidRPr="00BC081A">
              <w:rPr>
                <w:lang w:val="en-CA"/>
              </w:rPr>
              <w:t>37%</w:t>
            </w:r>
          </w:p>
        </w:tc>
      </w:tr>
    </w:tbl>
    <w:p w14:paraId="0BA4FD09" w14:textId="3207656F" w:rsidR="00067DEC" w:rsidRPr="00BC081A" w:rsidRDefault="00BF3C8A" w:rsidP="00B36670">
      <w:r w:rsidRPr="00BC081A">
        <w:br w:type="textWrapping" w:clear="all"/>
      </w:r>
    </w:p>
    <w:p w14:paraId="5EFD01F1" w14:textId="35A2724E" w:rsidR="00282BA0" w:rsidRPr="00BC081A" w:rsidRDefault="005F431E" w:rsidP="00B36670">
      <w:r w:rsidRPr="00BC081A">
        <w:t>A</w:t>
      </w:r>
      <w:r w:rsidR="00CB7992" w:rsidRPr="00BC081A">
        <w:t>ddition</w:t>
      </w:r>
      <w:r w:rsidRPr="00BC081A">
        <w:t>ally</w:t>
      </w:r>
      <w:r w:rsidR="00CB7992" w:rsidRPr="00BC081A">
        <w:t xml:space="preserve">, participants </w:t>
      </w:r>
      <w:r w:rsidR="009C0EC9">
        <w:t xml:space="preserve">were asked </w:t>
      </w:r>
      <w:r w:rsidR="00CB7992" w:rsidRPr="00BC081A">
        <w:t>about their previous experience</w:t>
      </w:r>
      <w:r w:rsidRPr="00BC081A">
        <w:t>s</w:t>
      </w:r>
      <w:r w:rsidR="00CB7992" w:rsidRPr="00BC081A">
        <w:t xml:space="preserve"> with computer</w:t>
      </w:r>
      <w:r w:rsidRPr="00BC081A">
        <w:t>s</w:t>
      </w:r>
      <w:r w:rsidR="00CB7992" w:rsidRPr="00BC081A">
        <w:t xml:space="preserve">, </w:t>
      </w:r>
      <w:r w:rsidRPr="00BC081A">
        <w:t xml:space="preserve">the </w:t>
      </w:r>
      <w:r w:rsidR="00CB7992" w:rsidRPr="00BC081A">
        <w:t xml:space="preserve">Internet, and video games. As </w:t>
      </w:r>
      <w:r w:rsidR="00CB7992" w:rsidRPr="00BC081A">
        <w:fldChar w:fldCharType="begin"/>
      </w:r>
      <w:r w:rsidR="00CB7992" w:rsidRPr="00BC081A">
        <w:instrText xml:space="preserve"> REF _Ref267302261 \h </w:instrText>
      </w:r>
      <w:r w:rsidR="00CB7992" w:rsidRPr="00BC081A">
        <w:fldChar w:fldCharType="separate"/>
      </w:r>
      <w:r w:rsidR="008C71FB" w:rsidRPr="00BC081A">
        <w:t xml:space="preserve">Table </w:t>
      </w:r>
      <w:r w:rsidR="008C71FB">
        <w:rPr>
          <w:noProof/>
        </w:rPr>
        <w:t>3</w:t>
      </w:r>
      <w:r w:rsidR="00CB7992" w:rsidRPr="00BC081A">
        <w:fldChar w:fldCharType="end"/>
      </w:r>
      <w:r w:rsidR="00CB7992" w:rsidRPr="00BC081A">
        <w:t xml:space="preserve"> shows, participants </w:t>
      </w:r>
      <w:r w:rsidR="007D2B66" w:rsidRPr="00BC081A">
        <w:t xml:space="preserve">were </w:t>
      </w:r>
      <w:r w:rsidR="00CB7992" w:rsidRPr="00BC081A">
        <w:t>comfortable with using computer</w:t>
      </w:r>
      <w:r w:rsidR="007D2B66" w:rsidRPr="00BC081A">
        <w:t>s</w:t>
      </w:r>
      <w:r w:rsidR="00CB7992" w:rsidRPr="00BC081A">
        <w:t xml:space="preserve"> and </w:t>
      </w:r>
      <w:r w:rsidRPr="00BC081A">
        <w:t xml:space="preserve">the </w:t>
      </w:r>
      <w:r w:rsidR="00CB7992" w:rsidRPr="00BC081A">
        <w:t>Internet</w:t>
      </w:r>
      <w:r w:rsidR="00666CBF" w:rsidRPr="00BC081A">
        <w:t xml:space="preserve">. Moreover, video gaming experience was normally distributed around average levels. The </w:t>
      </w:r>
      <w:r w:rsidR="00872AF7">
        <w:t xml:space="preserve">majority of </w:t>
      </w:r>
      <w:r w:rsidR="00666CBF" w:rsidRPr="00BC081A">
        <w:t xml:space="preserve">participants were not serious video </w:t>
      </w:r>
      <w:proofErr w:type="spellStart"/>
      <w:r w:rsidR="00547B98">
        <w:t>gameplay</w:t>
      </w:r>
      <w:r w:rsidR="00666CBF" w:rsidRPr="00BC081A">
        <w:t>ers</w:t>
      </w:r>
      <w:proofErr w:type="spellEnd"/>
      <w:r w:rsidRPr="00BC081A">
        <w:t xml:space="preserve"> or competitors</w:t>
      </w:r>
      <w:r w:rsidR="00713BAB" w:rsidRPr="00BC081A">
        <w:t xml:space="preserve">. </w:t>
      </w:r>
      <w:r w:rsidR="00713BAB" w:rsidRPr="00BC081A">
        <w:lastRenderedPageBreak/>
        <w:t xml:space="preserve">Thus, it can be concluded that </w:t>
      </w:r>
      <w:r w:rsidR="00A97E2C">
        <w:t xml:space="preserve">the </w:t>
      </w:r>
      <w:r w:rsidR="00713BAB" w:rsidRPr="00BC081A">
        <w:t xml:space="preserve">majority of the participants would not have an advantage due to their gaming experience. </w:t>
      </w:r>
    </w:p>
    <w:p w14:paraId="5B36C0CB" w14:textId="3AFC5401" w:rsidR="00CB7992" w:rsidRPr="00BC081A" w:rsidRDefault="00CB7992" w:rsidP="00C92D78">
      <w:pPr>
        <w:pStyle w:val="Caption"/>
      </w:pPr>
      <w:bookmarkStart w:id="72" w:name="_Ref267302261"/>
      <w:bookmarkStart w:id="73" w:name="_Toc275209761"/>
      <w:r w:rsidRPr="00BC081A">
        <w:t xml:space="preserve">Table </w:t>
      </w:r>
      <w:r w:rsidR="007804FF">
        <w:fldChar w:fldCharType="begin"/>
      </w:r>
      <w:r w:rsidR="007804FF">
        <w:instrText xml:space="preserve"> SEQ Table \* ARABIC </w:instrText>
      </w:r>
      <w:r w:rsidR="007804FF">
        <w:fldChar w:fldCharType="separate"/>
      </w:r>
      <w:r w:rsidR="008C71FB">
        <w:rPr>
          <w:noProof/>
        </w:rPr>
        <w:t>3</w:t>
      </w:r>
      <w:r w:rsidR="007804FF">
        <w:rPr>
          <w:noProof/>
        </w:rPr>
        <w:fldChar w:fldCharType="end"/>
      </w:r>
      <w:bookmarkEnd w:id="72"/>
      <w:r w:rsidRPr="00BC081A">
        <w:t xml:space="preserve"> – Participants' Previous Experience Statistics</w:t>
      </w:r>
      <w:bookmarkEnd w:id="73"/>
    </w:p>
    <w:tbl>
      <w:tblPr>
        <w:tblStyle w:val="TableGrid"/>
        <w:tblW w:w="0" w:type="auto"/>
        <w:jc w:val="center"/>
        <w:tblLook w:val="04A0" w:firstRow="1" w:lastRow="0" w:firstColumn="1" w:lastColumn="0" w:noHBand="0" w:noVBand="1"/>
      </w:tblPr>
      <w:tblGrid>
        <w:gridCol w:w="1780"/>
        <w:gridCol w:w="1780"/>
        <w:gridCol w:w="1780"/>
        <w:gridCol w:w="1780"/>
      </w:tblGrid>
      <w:tr w:rsidR="00DA0A16" w:rsidRPr="00BC081A" w14:paraId="41402AB6" w14:textId="77777777" w:rsidTr="00DA0A16">
        <w:trPr>
          <w:trHeight w:val="416"/>
          <w:jc w:val="center"/>
        </w:trPr>
        <w:tc>
          <w:tcPr>
            <w:tcW w:w="1780" w:type="dxa"/>
            <w:shd w:val="clear" w:color="auto" w:fill="F2F2F2" w:themeFill="background1" w:themeFillShade="F2"/>
          </w:tcPr>
          <w:p w14:paraId="62D93E03" w14:textId="4A81F5B4" w:rsidR="00123F66" w:rsidRPr="00BC081A" w:rsidRDefault="00123F66" w:rsidP="00123F66">
            <w:pPr>
              <w:pStyle w:val="TableContext"/>
              <w:rPr>
                <w:lang w:val="en-CA"/>
              </w:rPr>
            </w:pPr>
            <w:r w:rsidRPr="00BC081A">
              <w:rPr>
                <w:lang w:val="en-CA"/>
              </w:rPr>
              <w:t>Variable</w:t>
            </w:r>
          </w:p>
        </w:tc>
        <w:tc>
          <w:tcPr>
            <w:tcW w:w="1780" w:type="dxa"/>
            <w:shd w:val="clear" w:color="auto" w:fill="F2F2F2" w:themeFill="background1" w:themeFillShade="F2"/>
          </w:tcPr>
          <w:p w14:paraId="432CE4D6" w14:textId="76BBD354" w:rsidR="00123F66" w:rsidRPr="00BC081A" w:rsidRDefault="00123F66" w:rsidP="00123F66">
            <w:pPr>
              <w:pStyle w:val="TableContext"/>
              <w:rPr>
                <w:lang w:val="en-CA"/>
              </w:rPr>
            </w:pPr>
            <w:r w:rsidRPr="00BC081A">
              <w:rPr>
                <w:lang w:val="en-CA"/>
              </w:rPr>
              <w:t>Category</w:t>
            </w:r>
          </w:p>
        </w:tc>
        <w:tc>
          <w:tcPr>
            <w:tcW w:w="1780" w:type="dxa"/>
            <w:shd w:val="clear" w:color="auto" w:fill="F2F2F2" w:themeFill="background1" w:themeFillShade="F2"/>
          </w:tcPr>
          <w:p w14:paraId="2C53C73A" w14:textId="1EA72EA9" w:rsidR="00123F66" w:rsidRPr="00BC081A" w:rsidRDefault="00123F66" w:rsidP="00123F66">
            <w:pPr>
              <w:pStyle w:val="TableContext"/>
              <w:rPr>
                <w:lang w:val="en-CA"/>
              </w:rPr>
            </w:pPr>
            <w:r w:rsidRPr="00BC081A">
              <w:rPr>
                <w:lang w:val="en-CA"/>
              </w:rPr>
              <w:t>Frequency</w:t>
            </w:r>
          </w:p>
        </w:tc>
        <w:tc>
          <w:tcPr>
            <w:tcW w:w="1780" w:type="dxa"/>
            <w:shd w:val="clear" w:color="auto" w:fill="F2F2F2" w:themeFill="background1" w:themeFillShade="F2"/>
          </w:tcPr>
          <w:p w14:paraId="250EBB9D" w14:textId="0EB5C7AA" w:rsidR="00123F66" w:rsidRPr="00BC081A" w:rsidRDefault="00123F66" w:rsidP="00123F66">
            <w:pPr>
              <w:pStyle w:val="TableContext"/>
              <w:rPr>
                <w:lang w:val="en-CA"/>
              </w:rPr>
            </w:pPr>
            <w:r w:rsidRPr="00BC081A">
              <w:rPr>
                <w:lang w:val="en-CA"/>
              </w:rPr>
              <w:t>Category</w:t>
            </w:r>
          </w:p>
        </w:tc>
      </w:tr>
      <w:tr w:rsidR="00DA0A16" w:rsidRPr="00BC081A" w14:paraId="64ACC5C8" w14:textId="77777777" w:rsidTr="008C71FB">
        <w:trPr>
          <w:trHeight w:val="400"/>
          <w:jc w:val="center"/>
        </w:trPr>
        <w:tc>
          <w:tcPr>
            <w:tcW w:w="1780" w:type="dxa"/>
            <w:vMerge w:val="restart"/>
            <w:shd w:val="clear" w:color="auto" w:fill="F2F2F2" w:themeFill="background1" w:themeFillShade="F2"/>
            <w:vAlign w:val="center"/>
          </w:tcPr>
          <w:p w14:paraId="55B35631" w14:textId="434311DD" w:rsidR="00DA0A16" w:rsidRPr="00BC081A" w:rsidRDefault="00DA0A16" w:rsidP="00123F66">
            <w:pPr>
              <w:pStyle w:val="TableContext"/>
              <w:rPr>
                <w:lang w:val="en-CA"/>
              </w:rPr>
            </w:pPr>
            <w:r w:rsidRPr="00BC081A">
              <w:rPr>
                <w:lang w:val="en-CA"/>
              </w:rPr>
              <w:t>Computer Experience</w:t>
            </w:r>
          </w:p>
        </w:tc>
        <w:tc>
          <w:tcPr>
            <w:tcW w:w="1780" w:type="dxa"/>
          </w:tcPr>
          <w:p w14:paraId="5BFE79FB" w14:textId="303C9F3B" w:rsidR="00DA0A16" w:rsidRPr="00BC081A" w:rsidRDefault="00DA0A16" w:rsidP="00123F66">
            <w:pPr>
              <w:pStyle w:val="TableContext"/>
              <w:rPr>
                <w:lang w:val="en-CA"/>
              </w:rPr>
            </w:pPr>
            <w:r w:rsidRPr="00BC081A">
              <w:rPr>
                <w:lang w:val="en-CA"/>
              </w:rPr>
              <w:t>Not at all</w:t>
            </w:r>
          </w:p>
        </w:tc>
        <w:tc>
          <w:tcPr>
            <w:tcW w:w="1780" w:type="dxa"/>
          </w:tcPr>
          <w:p w14:paraId="4C9A6667" w14:textId="69F95629" w:rsidR="00DA0A16" w:rsidRPr="00BC081A" w:rsidRDefault="009E4BCC" w:rsidP="00123F66">
            <w:pPr>
              <w:pStyle w:val="TableContext"/>
              <w:rPr>
                <w:lang w:val="en-CA"/>
              </w:rPr>
            </w:pPr>
            <w:r w:rsidRPr="00BC081A">
              <w:rPr>
                <w:lang w:val="en-CA"/>
              </w:rPr>
              <w:t>0</w:t>
            </w:r>
          </w:p>
        </w:tc>
        <w:tc>
          <w:tcPr>
            <w:tcW w:w="1780" w:type="dxa"/>
          </w:tcPr>
          <w:p w14:paraId="5A575D8D" w14:textId="1D6B58FC" w:rsidR="00DA0A16" w:rsidRPr="00BC081A" w:rsidRDefault="009E4BCC" w:rsidP="00123F66">
            <w:pPr>
              <w:pStyle w:val="TableContext"/>
              <w:rPr>
                <w:lang w:val="en-CA"/>
              </w:rPr>
            </w:pPr>
            <w:r w:rsidRPr="00BC081A">
              <w:rPr>
                <w:lang w:val="en-CA"/>
              </w:rPr>
              <w:t>0%</w:t>
            </w:r>
          </w:p>
        </w:tc>
      </w:tr>
      <w:tr w:rsidR="00DA0A16" w:rsidRPr="00BC081A" w14:paraId="455C1A9C" w14:textId="77777777" w:rsidTr="008C71FB">
        <w:trPr>
          <w:trHeight w:val="120"/>
          <w:jc w:val="center"/>
        </w:trPr>
        <w:tc>
          <w:tcPr>
            <w:tcW w:w="1780" w:type="dxa"/>
            <w:vMerge/>
            <w:shd w:val="clear" w:color="auto" w:fill="F2F2F2" w:themeFill="background1" w:themeFillShade="F2"/>
          </w:tcPr>
          <w:p w14:paraId="532C8882" w14:textId="77777777" w:rsidR="00DA0A16" w:rsidRPr="00BC081A" w:rsidRDefault="00DA0A16" w:rsidP="00123F66">
            <w:pPr>
              <w:pStyle w:val="TableContext"/>
              <w:rPr>
                <w:lang w:val="en-CA"/>
              </w:rPr>
            </w:pPr>
          </w:p>
        </w:tc>
        <w:tc>
          <w:tcPr>
            <w:tcW w:w="1780" w:type="dxa"/>
          </w:tcPr>
          <w:p w14:paraId="6E7DD0EB" w14:textId="20B57A58" w:rsidR="00DA0A16" w:rsidRPr="00BC081A" w:rsidRDefault="00DA0A16" w:rsidP="00123F66">
            <w:pPr>
              <w:pStyle w:val="TableContext"/>
              <w:rPr>
                <w:lang w:val="en-CA"/>
              </w:rPr>
            </w:pPr>
            <w:r w:rsidRPr="00BC081A">
              <w:rPr>
                <w:lang w:val="en-CA"/>
              </w:rPr>
              <w:t>To a little extent</w:t>
            </w:r>
          </w:p>
        </w:tc>
        <w:tc>
          <w:tcPr>
            <w:tcW w:w="1780" w:type="dxa"/>
          </w:tcPr>
          <w:p w14:paraId="6BC4C493" w14:textId="3A417937" w:rsidR="00DA0A16" w:rsidRPr="00BC081A" w:rsidRDefault="009E4BCC" w:rsidP="00123F66">
            <w:pPr>
              <w:pStyle w:val="TableContext"/>
              <w:rPr>
                <w:lang w:val="en-CA"/>
              </w:rPr>
            </w:pPr>
            <w:r w:rsidRPr="00BC081A">
              <w:rPr>
                <w:lang w:val="en-CA"/>
              </w:rPr>
              <w:t>1</w:t>
            </w:r>
          </w:p>
        </w:tc>
        <w:tc>
          <w:tcPr>
            <w:tcW w:w="1780" w:type="dxa"/>
          </w:tcPr>
          <w:p w14:paraId="76B62952" w14:textId="5F7AAB72" w:rsidR="00DA0A16" w:rsidRPr="00BC081A" w:rsidRDefault="00CC13D4" w:rsidP="00123F66">
            <w:pPr>
              <w:pStyle w:val="TableContext"/>
              <w:rPr>
                <w:lang w:val="en-CA"/>
              </w:rPr>
            </w:pPr>
            <w:r w:rsidRPr="00BC081A">
              <w:rPr>
                <w:lang w:val="en-CA"/>
              </w:rPr>
              <w:t>1%</w:t>
            </w:r>
          </w:p>
        </w:tc>
      </w:tr>
      <w:tr w:rsidR="00DA0A16" w:rsidRPr="00BC081A" w14:paraId="2B6092C1" w14:textId="77777777" w:rsidTr="008C71FB">
        <w:trPr>
          <w:trHeight w:val="120"/>
          <w:jc w:val="center"/>
        </w:trPr>
        <w:tc>
          <w:tcPr>
            <w:tcW w:w="1780" w:type="dxa"/>
            <w:vMerge/>
            <w:shd w:val="clear" w:color="auto" w:fill="F2F2F2" w:themeFill="background1" w:themeFillShade="F2"/>
          </w:tcPr>
          <w:p w14:paraId="7975BB32" w14:textId="77777777" w:rsidR="00DA0A16" w:rsidRPr="00BC081A" w:rsidRDefault="00DA0A16" w:rsidP="00123F66">
            <w:pPr>
              <w:pStyle w:val="TableContext"/>
              <w:rPr>
                <w:lang w:val="en-CA"/>
              </w:rPr>
            </w:pPr>
          </w:p>
        </w:tc>
        <w:tc>
          <w:tcPr>
            <w:tcW w:w="1780" w:type="dxa"/>
          </w:tcPr>
          <w:p w14:paraId="349B55EA" w14:textId="6D2348A0" w:rsidR="00DA0A16" w:rsidRPr="00BC081A" w:rsidRDefault="00DA0A16" w:rsidP="00123F66">
            <w:pPr>
              <w:pStyle w:val="TableContext"/>
              <w:rPr>
                <w:lang w:val="en-CA"/>
              </w:rPr>
            </w:pPr>
            <w:r w:rsidRPr="00BC081A">
              <w:rPr>
                <w:lang w:val="en-CA"/>
              </w:rPr>
              <w:t>To some extent</w:t>
            </w:r>
          </w:p>
        </w:tc>
        <w:tc>
          <w:tcPr>
            <w:tcW w:w="1780" w:type="dxa"/>
          </w:tcPr>
          <w:p w14:paraId="463BC973" w14:textId="7CD3F943" w:rsidR="00DA0A16" w:rsidRPr="00BC081A" w:rsidRDefault="009E4BCC" w:rsidP="00123F66">
            <w:pPr>
              <w:pStyle w:val="TableContext"/>
              <w:rPr>
                <w:lang w:val="en-CA"/>
              </w:rPr>
            </w:pPr>
            <w:r w:rsidRPr="00BC081A">
              <w:rPr>
                <w:lang w:val="en-CA"/>
              </w:rPr>
              <w:t>4</w:t>
            </w:r>
          </w:p>
        </w:tc>
        <w:tc>
          <w:tcPr>
            <w:tcW w:w="1780" w:type="dxa"/>
          </w:tcPr>
          <w:p w14:paraId="7EAC19A4" w14:textId="00101659" w:rsidR="00DA0A16" w:rsidRPr="00BC081A" w:rsidRDefault="00CC13D4" w:rsidP="00123F66">
            <w:pPr>
              <w:pStyle w:val="TableContext"/>
              <w:rPr>
                <w:lang w:val="en-CA"/>
              </w:rPr>
            </w:pPr>
            <w:r w:rsidRPr="00BC081A">
              <w:rPr>
                <w:lang w:val="en-CA"/>
              </w:rPr>
              <w:t>4%</w:t>
            </w:r>
          </w:p>
        </w:tc>
      </w:tr>
      <w:tr w:rsidR="00DA0A16" w:rsidRPr="00BC081A" w14:paraId="62EDF6E8" w14:textId="77777777" w:rsidTr="008C71FB">
        <w:trPr>
          <w:trHeight w:val="120"/>
          <w:jc w:val="center"/>
        </w:trPr>
        <w:tc>
          <w:tcPr>
            <w:tcW w:w="1780" w:type="dxa"/>
            <w:vMerge/>
            <w:shd w:val="clear" w:color="auto" w:fill="F2F2F2" w:themeFill="background1" w:themeFillShade="F2"/>
          </w:tcPr>
          <w:p w14:paraId="32EAB86D" w14:textId="77777777" w:rsidR="00DA0A16" w:rsidRPr="00BC081A" w:rsidRDefault="00DA0A16" w:rsidP="00123F66">
            <w:pPr>
              <w:pStyle w:val="TableContext"/>
              <w:rPr>
                <w:lang w:val="en-CA"/>
              </w:rPr>
            </w:pPr>
          </w:p>
        </w:tc>
        <w:tc>
          <w:tcPr>
            <w:tcW w:w="1780" w:type="dxa"/>
          </w:tcPr>
          <w:p w14:paraId="71B1FDEB" w14:textId="62D219E3" w:rsidR="00DA0A16" w:rsidRPr="00BC081A" w:rsidRDefault="00DA0A16" w:rsidP="00123F66">
            <w:pPr>
              <w:pStyle w:val="TableContext"/>
              <w:rPr>
                <w:lang w:val="en-CA"/>
              </w:rPr>
            </w:pPr>
            <w:r w:rsidRPr="00BC081A">
              <w:rPr>
                <w:lang w:val="en-CA"/>
              </w:rPr>
              <w:t>To a great extent</w:t>
            </w:r>
          </w:p>
        </w:tc>
        <w:tc>
          <w:tcPr>
            <w:tcW w:w="1780" w:type="dxa"/>
          </w:tcPr>
          <w:p w14:paraId="546715C8" w14:textId="6B0E67B6" w:rsidR="00DA0A16" w:rsidRPr="00BC081A" w:rsidRDefault="009E4BCC" w:rsidP="00123F66">
            <w:pPr>
              <w:pStyle w:val="TableContext"/>
              <w:rPr>
                <w:lang w:val="en-CA"/>
              </w:rPr>
            </w:pPr>
            <w:r w:rsidRPr="00BC081A">
              <w:rPr>
                <w:lang w:val="en-CA"/>
              </w:rPr>
              <w:t>41</w:t>
            </w:r>
          </w:p>
        </w:tc>
        <w:tc>
          <w:tcPr>
            <w:tcW w:w="1780" w:type="dxa"/>
          </w:tcPr>
          <w:p w14:paraId="11BB8BC6" w14:textId="04361752" w:rsidR="00DA0A16" w:rsidRPr="00BC081A" w:rsidRDefault="00CC13D4" w:rsidP="00123F66">
            <w:pPr>
              <w:pStyle w:val="TableContext"/>
              <w:rPr>
                <w:lang w:val="en-CA"/>
              </w:rPr>
            </w:pPr>
            <w:r w:rsidRPr="00BC081A">
              <w:rPr>
                <w:lang w:val="en-CA"/>
              </w:rPr>
              <w:t>36%</w:t>
            </w:r>
          </w:p>
        </w:tc>
      </w:tr>
      <w:tr w:rsidR="00DA0A16" w:rsidRPr="00BC081A" w14:paraId="30399191" w14:textId="77777777" w:rsidTr="008C71FB">
        <w:trPr>
          <w:trHeight w:val="120"/>
          <w:jc w:val="center"/>
        </w:trPr>
        <w:tc>
          <w:tcPr>
            <w:tcW w:w="1780" w:type="dxa"/>
            <w:vMerge/>
            <w:shd w:val="clear" w:color="auto" w:fill="F2F2F2" w:themeFill="background1" w:themeFillShade="F2"/>
          </w:tcPr>
          <w:p w14:paraId="5E260329" w14:textId="77777777" w:rsidR="00DA0A16" w:rsidRPr="00BC081A" w:rsidRDefault="00DA0A16" w:rsidP="00123F66">
            <w:pPr>
              <w:pStyle w:val="TableContext"/>
              <w:rPr>
                <w:lang w:val="en-CA"/>
              </w:rPr>
            </w:pPr>
          </w:p>
        </w:tc>
        <w:tc>
          <w:tcPr>
            <w:tcW w:w="1780" w:type="dxa"/>
          </w:tcPr>
          <w:p w14:paraId="735436C6" w14:textId="313806F0" w:rsidR="00DA0A16" w:rsidRPr="00BC081A" w:rsidRDefault="00DA0A16" w:rsidP="00123F66">
            <w:pPr>
              <w:pStyle w:val="TableContext"/>
              <w:rPr>
                <w:lang w:val="en-CA"/>
              </w:rPr>
            </w:pPr>
            <w:r w:rsidRPr="00BC081A">
              <w:rPr>
                <w:lang w:val="en-CA"/>
              </w:rPr>
              <w:t>To a very great extent</w:t>
            </w:r>
          </w:p>
        </w:tc>
        <w:tc>
          <w:tcPr>
            <w:tcW w:w="1780" w:type="dxa"/>
          </w:tcPr>
          <w:p w14:paraId="00C645F1" w14:textId="22ADB25F" w:rsidR="00DA0A16" w:rsidRPr="00BC081A" w:rsidRDefault="009E4BCC" w:rsidP="00123F66">
            <w:pPr>
              <w:pStyle w:val="TableContext"/>
              <w:rPr>
                <w:lang w:val="en-CA"/>
              </w:rPr>
            </w:pPr>
            <w:r w:rsidRPr="00BC081A">
              <w:rPr>
                <w:lang w:val="en-CA"/>
              </w:rPr>
              <w:t>68</w:t>
            </w:r>
          </w:p>
        </w:tc>
        <w:tc>
          <w:tcPr>
            <w:tcW w:w="1780" w:type="dxa"/>
          </w:tcPr>
          <w:p w14:paraId="5175D357" w14:textId="71B2D506" w:rsidR="00DA0A16" w:rsidRPr="00BC081A" w:rsidRDefault="00CC13D4" w:rsidP="00123F66">
            <w:pPr>
              <w:pStyle w:val="TableContext"/>
              <w:rPr>
                <w:lang w:val="en-CA"/>
              </w:rPr>
            </w:pPr>
            <w:r w:rsidRPr="00BC081A">
              <w:rPr>
                <w:lang w:val="en-CA"/>
              </w:rPr>
              <w:t>59%</w:t>
            </w:r>
          </w:p>
        </w:tc>
      </w:tr>
      <w:tr w:rsidR="00DA0A16" w:rsidRPr="00BC081A" w14:paraId="4D6D57DA" w14:textId="77777777" w:rsidTr="008C71FB">
        <w:trPr>
          <w:trHeight w:val="400"/>
          <w:jc w:val="center"/>
        </w:trPr>
        <w:tc>
          <w:tcPr>
            <w:tcW w:w="1780" w:type="dxa"/>
            <w:vMerge/>
            <w:shd w:val="clear" w:color="auto" w:fill="F2F2F2" w:themeFill="background1" w:themeFillShade="F2"/>
            <w:vAlign w:val="center"/>
          </w:tcPr>
          <w:p w14:paraId="25B6D184" w14:textId="77777777" w:rsidR="00DA0A16" w:rsidRPr="00BC081A" w:rsidRDefault="00DA0A16" w:rsidP="00F41662">
            <w:pPr>
              <w:pStyle w:val="TableContext"/>
              <w:rPr>
                <w:lang w:val="en-CA"/>
              </w:rPr>
            </w:pPr>
          </w:p>
        </w:tc>
        <w:tc>
          <w:tcPr>
            <w:tcW w:w="1780" w:type="dxa"/>
          </w:tcPr>
          <w:p w14:paraId="719080DA" w14:textId="76D014CB" w:rsidR="00DA0A16" w:rsidRPr="00BC081A" w:rsidRDefault="00DA0A16" w:rsidP="00F41662">
            <w:pPr>
              <w:pStyle w:val="TableContext"/>
              <w:rPr>
                <w:lang w:val="en-CA"/>
              </w:rPr>
            </w:pPr>
            <w:r w:rsidRPr="00BC081A">
              <w:rPr>
                <w:lang w:val="en-CA"/>
              </w:rPr>
              <w:t>Mean</w:t>
            </w:r>
          </w:p>
        </w:tc>
        <w:tc>
          <w:tcPr>
            <w:tcW w:w="3560" w:type="dxa"/>
            <w:gridSpan w:val="2"/>
          </w:tcPr>
          <w:p w14:paraId="1B0C999A" w14:textId="78E16837" w:rsidR="00DA0A16" w:rsidRPr="00BC081A" w:rsidRDefault="00DA0A16" w:rsidP="00F41662">
            <w:pPr>
              <w:pStyle w:val="TableContext"/>
              <w:rPr>
                <w:lang w:val="en-CA"/>
              </w:rPr>
            </w:pPr>
            <w:r w:rsidRPr="00BC081A">
              <w:rPr>
                <w:lang w:val="en-CA"/>
              </w:rPr>
              <w:t>4.54</w:t>
            </w:r>
          </w:p>
        </w:tc>
      </w:tr>
      <w:tr w:rsidR="00DA0A16" w:rsidRPr="00BC081A" w14:paraId="2A1C81C3" w14:textId="77777777" w:rsidTr="008C71FB">
        <w:trPr>
          <w:trHeight w:val="400"/>
          <w:jc w:val="center"/>
        </w:trPr>
        <w:tc>
          <w:tcPr>
            <w:tcW w:w="1780" w:type="dxa"/>
            <w:vMerge/>
            <w:shd w:val="clear" w:color="auto" w:fill="F2F2F2" w:themeFill="background1" w:themeFillShade="F2"/>
            <w:vAlign w:val="center"/>
          </w:tcPr>
          <w:p w14:paraId="56C3055F" w14:textId="77777777" w:rsidR="00DA0A16" w:rsidRPr="00BC081A" w:rsidRDefault="00DA0A16" w:rsidP="00F41662">
            <w:pPr>
              <w:pStyle w:val="TableContext"/>
              <w:rPr>
                <w:lang w:val="en-CA"/>
              </w:rPr>
            </w:pPr>
          </w:p>
        </w:tc>
        <w:tc>
          <w:tcPr>
            <w:tcW w:w="1780" w:type="dxa"/>
          </w:tcPr>
          <w:p w14:paraId="12B1E1F6" w14:textId="6E78074B" w:rsidR="00DA0A16" w:rsidRPr="00BC081A" w:rsidRDefault="00DA0A16" w:rsidP="00F41662">
            <w:pPr>
              <w:pStyle w:val="TableContext"/>
              <w:rPr>
                <w:lang w:val="en-CA"/>
              </w:rPr>
            </w:pPr>
            <w:r w:rsidRPr="00BC081A">
              <w:rPr>
                <w:lang w:val="en-CA"/>
              </w:rPr>
              <w:t>Standard Deviation</w:t>
            </w:r>
          </w:p>
        </w:tc>
        <w:tc>
          <w:tcPr>
            <w:tcW w:w="3560" w:type="dxa"/>
            <w:gridSpan w:val="2"/>
          </w:tcPr>
          <w:p w14:paraId="35A8DC69" w14:textId="35EE1CAB" w:rsidR="00DA0A16" w:rsidRPr="00BC081A" w:rsidRDefault="00C14041" w:rsidP="00F41662">
            <w:pPr>
              <w:pStyle w:val="TableContext"/>
              <w:rPr>
                <w:lang w:val="en-CA"/>
              </w:rPr>
            </w:pPr>
            <w:r w:rsidRPr="00BC081A">
              <w:rPr>
                <w:lang w:val="en-CA"/>
              </w:rPr>
              <w:t>0.61</w:t>
            </w:r>
          </w:p>
        </w:tc>
      </w:tr>
      <w:tr w:rsidR="00DA0A16" w:rsidRPr="00BC081A" w14:paraId="668E901E" w14:textId="77777777" w:rsidTr="008C71FB">
        <w:trPr>
          <w:trHeight w:val="400"/>
          <w:jc w:val="center"/>
        </w:trPr>
        <w:tc>
          <w:tcPr>
            <w:tcW w:w="1780" w:type="dxa"/>
            <w:vMerge w:val="restart"/>
            <w:shd w:val="clear" w:color="auto" w:fill="F2F2F2" w:themeFill="background1" w:themeFillShade="F2"/>
            <w:vAlign w:val="center"/>
          </w:tcPr>
          <w:p w14:paraId="4793EE8A" w14:textId="0B4D7180" w:rsidR="00DA0A16" w:rsidRPr="00BC081A" w:rsidRDefault="00DA0A16" w:rsidP="00F41662">
            <w:pPr>
              <w:pStyle w:val="TableContext"/>
              <w:rPr>
                <w:lang w:val="en-CA"/>
              </w:rPr>
            </w:pPr>
            <w:r w:rsidRPr="00BC081A">
              <w:rPr>
                <w:lang w:val="en-CA"/>
              </w:rPr>
              <w:t>Internet Experience</w:t>
            </w:r>
          </w:p>
        </w:tc>
        <w:tc>
          <w:tcPr>
            <w:tcW w:w="1780" w:type="dxa"/>
          </w:tcPr>
          <w:p w14:paraId="1132F49C" w14:textId="77777777" w:rsidR="00DA0A16" w:rsidRPr="00BC081A" w:rsidRDefault="00DA0A16" w:rsidP="00F41662">
            <w:pPr>
              <w:pStyle w:val="TableContext"/>
              <w:rPr>
                <w:lang w:val="en-CA"/>
              </w:rPr>
            </w:pPr>
            <w:r w:rsidRPr="00BC081A">
              <w:rPr>
                <w:lang w:val="en-CA"/>
              </w:rPr>
              <w:t>Not at all</w:t>
            </w:r>
          </w:p>
        </w:tc>
        <w:tc>
          <w:tcPr>
            <w:tcW w:w="1780" w:type="dxa"/>
          </w:tcPr>
          <w:p w14:paraId="6ADEBB4B" w14:textId="7CA0A6B9" w:rsidR="00DA0A16" w:rsidRPr="00BC081A" w:rsidRDefault="009E4BCC" w:rsidP="00F41662">
            <w:pPr>
              <w:pStyle w:val="TableContext"/>
              <w:rPr>
                <w:lang w:val="en-CA"/>
              </w:rPr>
            </w:pPr>
            <w:r w:rsidRPr="00BC081A">
              <w:rPr>
                <w:lang w:val="en-CA"/>
              </w:rPr>
              <w:t>0</w:t>
            </w:r>
          </w:p>
        </w:tc>
        <w:tc>
          <w:tcPr>
            <w:tcW w:w="1780" w:type="dxa"/>
          </w:tcPr>
          <w:p w14:paraId="7DC4160B" w14:textId="64B01B46" w:rsidR="00DA0A16" w:rsidRPr="00BC081A" w:rsidRDefault="00F41662" w:rsidP="00F41662">
            <w:pPr>
              <w:pStyle w:val="TableContext"/>
              <w:rPr>
                <w:lang w:val="en-CA"/>
              </w:rPr>
            </w:pPr>
            <w:r w:rsidRPr="00BC081A">
              <w:rPr>
                <w:lang w:val="en-CA"/>
              </w:rPr>
              <w:t>0%</w:t>
            </w:r>
          </w:p>
        </w:tc>
      </w:tr>
      <w:tr w:rsidR="00DA0A16" w:rsidRPr="00BC081A" w14:paraId="593C38A9" w14:textId="77777777" w:rsidTr="008C71FB">
        <w:trPr>
          <w:trHeight w:val="120"/>
          <w:jc w:val="center"/>
        </w:trPr>
        <w:tc>
          <w:tcPr>
            <w:tcW w:w="1780" w:type="dxa"/>
            <w:vMerge/>
            <w:shd w:val="clear" w:color="auto" w:fill="F2F2F2" w:themeFill="background1" w:themeFillShade="F2"/>
          </w:tcPr>
          <w:p w14:paraId="063BACF0" w14:textId="77777777" w:rsidR="00DA0A16" w:rsidRPr="00BC081A" w:rsidRDefault="00DA0A16" w:rsidP="00F41662">
            <w:pPr>
              <w:pStyle w:val="TableContext"/>
              <w:rPr>
                <w:lang w:val="en-CA"/>
              </w:rPr>
            </w:pPr>
          </w:p>
        </w:tc>
        <w:tc>
          <w:tcPr>
            <w:tcW w:w="1780" w:type="dxa"/>
          </w:tcPr>
          <w:p w14:paraId="3A662517" w14:textId="77777777" w:rsidR="00DA0A16" w:rsidRPr="00BC081A" w:rsidRDefault="00DA0A16" w:rsidP="00F41662">
            <w:pPr>
              <w:pStyle w:val="TableContext"/>
              <w:rPr>
                <w:lang w:val="en-CA"/>
              </w:rPr>
            </w:pPr>
            <w:r w:rsidRPr="00BC081A">
              <w:rPr>
                <w:lang w:val="en-CA"/>
              </w:rPr>
              <w:t>To a little extent</w:t>
            </w:r>
          </w:p>
        </w:tc>
        <w:tc>
          <w:tcPr>
            <w:tcW w:w="1780" w:type="dxa"/>
          </w:tcPr>
          <w:p w14:paraId="7BA9BC24" w14:textId="3A28FA99" w:rsidR="00DA0A16" w:rsidRPr="00BC081A" w:rsidRDefault="009E4BCC" w:rsidP="00F41662">
            <w:pPr>
              <w:pStyle w:val="TableContext"/>
              <w:rPr>
                <w:lang w:val="en-CA"/>
              </w:rPr>
            </w:pPr>
            <w:r w:rsidRPr="00BC081A">
              <w:rPr>
                <w:lang w:val="en-CA"/>
              </w:rPr>
              <w:t>0</w:t>
            </w:r>
          </w:p>
        </w:tc>
        <w:tc>
          <w:tcPr>
            <w:tcW w:w="1780" w:type="dxa"/>
          </w:tcPr>
          <w:p w14:paraId="39A3BAA6" w14:textId="531335EE" w:rsidR="00DA0A16" w:rsidRPr="00BC081A" w:rsidRDefault="00F41662" w:rsidP="00F41662">
            <w:pPr>
              <w:pStyle w:val="TableContext"/>
              <w:rPr>
                <w:lang w:val="en-CA"/>
              </w:rPr>
            </w:pPr>
            <w:r w:rsidRPr="00BC081A">
              <w:rPr>
                <w:lang w:val="en-CA"/>
              </w:rPr>
              <w:t>0%</w:t>
            </w:r>
          </w:p>
        </w:tc>
      </w:tr>
      <w:tr w:rsidR="00DA0A16" w:rsidRPr="00BC081A" w14:paraId="4EACF558" w14:textId="77777777" w:rsidTr="008C71FB">
        <w:trPr>
          <w:trHeight w:val="120"/>
          <w:jc w:val="center"/>
        </w:trPr>
        <w:tc>
          <w:tcPr>
            <w:tcW w:w="1780" w:type="dxa"/>
            <w:vMerge/>
            <w:shd w:val="clear" w:color="auto" w:fill="F2F2F2" w:themeFill="background1" w:themeFillShade="F2"/>
          </w:tcPr>
          <w:p w14:paraId="76569ABC" w14:textId="77777777" w:rsidR="00DA0A16" w:rsidRPr="00BC081A" w:rsidRDefault="00DA0A16" w:rsidP="00F41662">
            <w:pPr>
              <w:pStyle w:val="TableContext"/>
              <w:rPr>
                <w:lang w:val="en-CA"/>
              </w:rPr>
            </w:pPr>
          </w:p>
        </w:tc>
        <w:tc>
          <w:tcPr>
            <w:tcW w:w="1780" w:type="dxa"/>
          </w:tcPr>
          <w:p w14:paraId="737B1B59" w14:textId="77777777" w:rsidR="00DA0A16" w:rsidRPr="00BC081A" w:rsidRDefault="00DA0A16" w:rsidP="00F41662">
            <w:pPr>
              <w:pStyle w:val="TableContext"/>
              <w:rPr>
                <w:lang w:val="en-CA"/>
              </w:rPr>
            </w:pPr>
            <w:r w:rsidRPr="00BC081A">
              <w:rPr>
                <w:lang w:val="en-CA"/>
              </w:rPr>
              <w:t>To some extent</w:t>
            </w:r>
          </w:p>
        </w:tc>
        <w:tc>
          <w:tcPr>
            <w:tcW w:w="1780" w:type="dxa"/>
          </w:tcPr>
          <w:p w14:paraId="54D52BAD" w14:textId="51228EEE" w:rsidR="00DA0A16" w:rsidRPr="00BC081A" w:rsidRDefault="009E4BCC" w:rsidP="00F41662">
            <w:pPr>
              <w:pStyle w:val="TableContext"/>
              <w:rPr>
                <w:lang w:val="en-CA"/>
              </w:rPr>
            </w:pPr>
            <w:r w:rsidRPr="00BC081A">
              <w:rPr>
                <w:lang w:val="en-CA"/>
              </w:rPr>
              <w:t>2</w:t>
            </w:r>
          </w:p>
        </w:tc>
        <w:tc>
          <w:tcPr>
            <w:tcW w:w="1780" w:type="dxa"/>
          </w:tcPr>
          <w:p w14:paraId="10F97FEA" w14:textId="2308BBB6" w:rsidR="00DA0A16" w:rsidRPr="00BC081A" w:rsidRDefault="00F41662" w:rsidP="00F41662">
            <w:pPr>
              <w:pStyle w:val="TableContext"/>
              <w:rPr>
                <w:lang w:val="en-CA"/>
              </w:rPr>
            </w:pPr>
            <w:r w:rsidRPr="00BC081A">
              <w:rPr>
                <w:lang w:val="en-CA"/>
              </w:rPr>
              <w:t>2%</w:t>
            </w:r>
          </w:p>
        </w:tc>
      </w:tr>
      <w:tr w:rsidR="00DA0A16" w:rsidRPr="00BC081A" w14:paraId="519BAC7E" w14:textId="77777777" w:rsidTr="008C71FB">
        <w:trPr>
          <w:trHeight w:val="120"/>
          <w:jc w:val="center"/>
        </w:trPr>
        <w:tc>
          <w:tcPr>
            <w:tcW w:w="1780" w:type="dxa"/>
            <w:vMerge/>
            <w:shd w:val="clear" w:color="auto" w:fill="F2F2F2" w:themeFill="background1" w:themeFillShade="F2"/>
          </w:tcPr>
          <w:p w14:paraId="5C4D19CB" w14:textId="77777777" w:rsidR="00DA0A16" w:rsidRPr="00BC081A" w:rsidRDefault="00DA0A16" w:rsidP="00F41662">
            <w:pPr>
              <w:pStyle w:val="TableContext"/>
              <w:rPr>
                <w:lang w:val="en-CA"/>
              </w:rPr>
            </w:pPr>
          </w:p>
        </w:tc>
        <w:tc>
          <w:tcPr>
            <w:tcW w:w="1780" w:type="dxa"/>
          </w:tcPr>
          <w:p w14:paraId="14E35F02" w14:textId="77777777" w:rsidR="00DA0A16" w:rsidRPr="00BC081A" w:rsidRDefault="00DA0A16" w:rsidP="00F41662">
            <w:pPr>
              <w:pStyle w:val="TableContext"/>
              <w:rPr>
                <w:lang w:val="en-CA"/>
              </w:rPr>
            </w:pPr>
            <w:r w:rsidRPr="00BC081A">
              <w:rPr>
                <w:lang w:val="en-CA"/>
              </w:rPr>
              <w:t>To a great extent</w:t>
            </w:r>
          </w:p>
        </w:tc>
        <w:tc>
          <w:tcPr>
            <w:tcW w:w="1780" w:type="dxa"/>
          </w:tcPr>
          <w:p w14:paraId="71C09688" w14:textId="35D22803" w:rsidR="00DA0A16" w:rsidRPr="00BC081A" w:rsidRDefault="009E4BCC" w:rsidP="00F41662">
            <w:pPr>
              <w:pStyle w:val="TableContext"/>
              <w:rPr>
                <w:lang w:val="en-CA"/>
              </w:rPr>
            </w:pPr>
            <w:r w:rsidRPr="00BC081A">
              <w:rPr>
                <w:lang w:val="en-CA"/>
              </w:rPr>
              <w:t>41</w:t>
            </w:r>
          </w:p>
        </w:tc>
        <w:tc>
          <w:tcPr>
            <w:tcW w:w="1780" w:type="dxa"/>
          </w:tcPr>
          <w:p w14:paraId="045BD233" w14:textId="2115FD33" w:rsidR="00DA0A16" w:rsidRPr="00BC081A" w:rsidRDefault="00F41662" w:rsidP="00F41662">
            <w:pPr>
              <w:pStyle w:val="TableContext"/>
              <w:rPr>
                <w:lang w:val="en-CA"/>
              </w:rPr>
            </w:pPr>
            <w:r w:rsidRPr="00BC081A">
              <w:rPr>
                <w:lang w:val="en-CA"/>
              </w:rPr>
              <w:t>36%</w:t>
            </w:r>
          </w:p>
        </w:tc>
      </w:tr>
      <w:tr w:rsidR="00DA0A16" w:rsidRPr="00BC081A" w14:paraId="2B0459D6" w14:textId="77777777" w:rsidTr="008C71FB">
        <w:trPr>
          <w:trHeight w:val="120"/>
          <w:jc w:val="center"/>
        </w:trPr>
        <w:tc>
          <w:tcPr>
            <w:tcW w:w="1780" w:type="dxa"/>
            <w:vMerge/>
            <w:shd w:val="clear" w:color="auto" w:fill="F2F2F2" w:themeFill="background1" w:themeFillShade="F2"/>
          </w:tcPr>
          <w:p w14:paraId="5C353FEE" w14:textId="77777777" w:rsidR="00DA0A16" w:rsidRPr="00BC081A" w:rsidRDefault="00DA0A16" w:rsidP="00F41662">
            <w:pPr>
              <w:pStyle w:val="TableContext"/>
              <w:rPr>
                <w:lang w:val="en-CA"/>
              </w:rPr>
            </w:pPr>
          </w:p>
        </w:tc>
        <w:tc>
          <w:tcPr>
            <w:tcW w:w="1780" w:type="dxa"/>
          </w:tcPr>
          <w:p w14:paraId="01E2655B" w14:textId="77777777" w:rsidR="00DA0A16" w:rsidRPr="00BC081A" w:rsidRDefault="00DA0A16" w:rsidP="00F41662">
            <w:pPr>
              <w:pStyle w:val="TableContext"/>
              <w:rPr>
                <w:lang w:val="en-CA"/>
              </w:rPr>
            </w:pPr>
            <w:r w:rsidRPr="00BC081A">
              <w:rPr>
                <w:lang w:val="en-CA"/>
              </w:rPr>
              <w:t>To a very great extent</w:t>
            </w:r>
          </w:p>
        </w:tc>
        <w:tc>
          <w:tcPr>
            <w:tcW w:w="1780" w:type="dxa"/>
          </w:tcPr>
          <w:p w14:paraId="65570A01" w14:textId="5A55D5FA" w:rsidR="00DA0A16" w:rsidRPr="00BC081A" w:rsidRDefault="009E4BCC" w:rsidP="00F41662">
            <w:pPr>
              <w:pStyle w:val="TableContext"/>
              <w:rPr>
                <w:lang w:val="en-CA"/>
              </w:rPr>
            </w:pPr>
            <w:r w:rsidRPr="00BC081A">
              <w:rPr>
                <w:lang w:val="en-CA"/>
              </w:rPr>
              <w:t>71</w:t>
            </w:r>
          </w:p>
        </w:tc>
        <w:tc>
          <w:tcPr>
            <w:tcW w:w="1780" w:type="dxa"/>
          </w:tcPr>
          <w:p w14:paraId="5727C02D" w14:textId="639F5D53" w:rsidR="00DA0A16" w:rsidRPr="00BC081A" w:rsidRDefault="00F41662" w:rsidP="00F41662">
            <w:pPr>
              <w:pStyle w:val="TableContext"/>
              <w:rPr>
                <w:lang w:val="en-CA"/>
              </w:rPr>
            </w:pPr>
            <w:r w:rsidRPr="00BC081A">
              <w:rPr>
                <w:lang w:val="en-CA"/>
              </w:rPr>
              <w:t>62%</w:t>
            </w:r>
          </w:p>
        </w:tc>
      </w:tr>
      <w:tr w:rsidR="00DA0A16" w:rsidRPr="00BC081A" w14:paraId="2D3379CE" w14:textId="77777777" w:rsidTr="008C71FB">
        <w:trPr>
          <w:trHeight w:val="400"/>
          <w:jc w:val="center"/>
        </w:trPr>
        <w:tc>
          <w:tcPr>
            <w:tcW w:w="1780" w:type="dxa"/>
            <w:vMerge/>
            <w:shd w:val="clear" w:color="auto" w:fill="F2F2F2" w:themeFill="background1" w:themeFillShade="F2"/>
            <w:vAlign w:val="center"/>
          </w:tcPr>
          <w:p w14:paraId="7E82FFEC" w14:textId="77777777" w:rsidR="00DA0A16" w:rsidRPr="00BC081A" w:rsidRDefault="00DA0A16" w:rsidP="00F41662">
            <w:pPr>
              <w:pStyle w:val="TableContext"/>
              <w:rPr>
                <w:lang w:val="en-CA"/>
              </w:rPr>
            </w:pPr>
          </w:p>
        </w:tc>
        <w:tc>
          <w:tcPr>
            <w:tcW w:w="1780" w:type="dxa"/>
          </w:tcPr>
          <w:p w14:paraId="02A0F58D" w14:textId="77777777" w:rsidR="00DA0A16" w:rsidRPr="00BC081A" w:rsidRDefault="00DA0A16" w:rsidP="00F41662">
            <w:pPr>
              <w:pStyle w:val="TableContext"/>
              <w:rPr>
                <w:lang w:val="en-CA"/>
              </w:rPr>
            </w:pPr>
            <w:r w:rsidRPr="00BC081A">
              <w:rPr>
                <w:lang w:val="en-CA"/>
              </w:rPr>
              <w:t>Mean</w:t>
            </w:r>
          </w:p>
        </w:tc>
        <w:tc>
          <w:tcPr>
            <w:tcW w:w="3560" w:type="dxa"/>
            <w:gridSpan w:val="2"/>
          </w:tcPr>
          <w:p w14:paraId="73F8DC97" w14:textId="42512419" w:rsidR="00DA0A16" w:rsidRPr="00BC081A" w:rsidRDefault="00DA0A16" w:rsidP="00F41662">
            <w:pPr>
              <w:pStyle w:val="TableContext"/>
              <w:rPr>
                <w:lang w:val="en-CA"/>
              </w:rPr>
            </w:pPr>
            <w:r w:rsidRPr="00BC081A">
              <w:rPr>
                <w:lang w:val="en-CA"/>
              </w:rPr>
              <w:t>4.</w:t>
            </w:r>
            <w:r w:rsidR="00C14041" w:rsidRPr="00BC081A">
              <w:rPr>
                <w:lang w:val="en-CA"/>
              </w:rPr>
              <w:t>61</w:t>
            </w:r>
          </w:p>
        </w:tc>
      </w:tr>
      <w:tr w:rsidR="00DA0A16" w:rsidRPr="00BC081A" w14:paraId="26E3C991" w14:textId="77777777" w:rsidTr="008C71FB">
        <w:trPr>
          <w:trHeight w:val="400"/>
          <w:jc w:val="center"/>
        </w:trPr>
        <w:tc>
          <w:tcPr>
            <w:tcW w:w="1780" w:type="dxa"/>
            <w:vMerge/>
            <w:shd w:val="clear" w:color="auto" w:fill="F2F2F2" w:themeFill="background1" w:themeFillShade="F2"/>
            <w:vAlign w:val="center"/>
          </w:tcPr>
          <w:p w14:paraId="2AD4A270" w14:textId="77777777" w:rsidR="00DA0A16" w:rsidRPr="00BC081A" w:rsidRDefault="00DA0A16" w:rsidP="00F41662">
            <w:pPr>
              <w:pStyle w:val="TableContext"/>
              <w:rPr>
                <w:lang w:val="en-CA"/>
              </w:rPr>
            </w:pPr>
          </w:p>
        </w:tc>
        <w:tc>
          <w:tcPr>
            <w:tcW w:w="1780" w:type="dxa"/>
          </w:tcPr>
          <w:p w14:paraId="3A686AEB" w14:textId="77777777" w:rsidR="00DA0A16" w:rsidRPr="00BC081A" w:rsidRDefault="00DA0A16" w:rsidP="00F41662">
            <w:pPr>
              <w:pStyle w:val="TableContext"/>
              <w:rPr>
                <w:lang w:val="en-CA"/>
              </w:rPr>
            </w:pPr>
            <w:r w:rsidRPr="00BC081A">
              <w:rPr>
                <w:lang w:val="en-CA"/>
              </w:rPr>
              <w:t>Standard Deviation</w:t>
            </w:r>
          </w:p>
        </w:tc>
        <w:tc>
          <w:tcPr>
            <w:tcW w:w="3560" w:type="dxa"/>
            <w:gridSpan w:val="2"/>
          </w:tcPr>
          <w:p w14:paraId="52DA971B" w14:textId="3DE2A893" w:rsidR="00DA0A16" w:rsidRPr="00BC081A" w:rsidRDefault="00C14041" w:rsidP="00F41662">
            <w:pPr>
              <w:pStyle w:val="TableContext"/>
              <w:rPr>
                <w:lang w:val="en-CA"/>
              </w:rPr>
            </w:pPr>
            <w:r w:rsidRPr="00BC081A">
              <w:rPr>
                <w:lang w:val="en-CA"/>
              </w:rPr>
              <w:t>0.53</w:t>
            </w:r>
          </w:p>
        </w:tc>
      </w:tr>
      <w:tr w:rsidR="00DA0A16" w:rsidRPr="00BC081A" w14:paraId="3A8E9962" w14:textId="77777777" w:rsidTr="008C71FB">
        <w:trPr>
          <w:trHeight w:val="400"/>
          <w:jc w:val="center"/>
        </w:trPr>
        <w:tc>
          <w:tcPr>
            <w:tcW w:w="1780" w:type="dxa"/>
            <w:vMerge w:val="restart"/>
            <w:shd w:val="clear" w:color="auto" w:fill="F2F2F2" w:themeFill="background1" w:themeFillShade="F2"/>
            <w:vAlign w:val="center"/>
          </w:tcPr>
          <w:p w14:paraId="60F73843" w14:textId="0C567F46" w:rsidR="00DA0A16" w:rsidRPr="00BC081A" w:rsidRDefault="00DA0A16" w:rsidP="00F41662">
            <w:pPr>
              <w:pStyle w:val="TableContext"/>
              <w:rPr>
                <w:lang w:val="en-CA"/>
              </w:rPr>
            </w:pPr>
            <w:r w:rsidRPr="00BC081A">
              <w:rPr>
                <w:lang w:val="en-CA"/>
              </w:rPr>
              <w:t>Gaming Experience</w:t>
            </w:r>
          </w:p>
        </w:tc>
        <w:tc>
          <w:tcPr>
            <w:tcW w:w="1780" w:type="dxa"/>
          </w:tcPr>
          <w:p w14:paraId="07365429" w14:textId="77777777" w:rsidR="00DA0A16" w:rsidRPr="00BC081A" w:rsidRDefault="00DA0A16" w:rsidP="00F41662">
            <w:pPr>
              <w:pStyle w:val="TableContext"/>
              <w:rPr>
                <w:lang w:val="en-CA"/>
              </w:rPr>
            </w:pPr>
            <w:r w:rsidRPr="00BC081A">
              <w:rPr>
                <w:lang w:val="en-CA"/>
              </w:rPr>
              <w:t>Not at all</w:t>
            </w:r>
          </w:p>
        </w:tc>
        <w:tc>
          <w:tcPr>
            <w:tcW w:w="1780" w:type="dxa"/>
          </w:tcPr>
          <w:p w14:paraId="4A475900" w14:textId="29FEBE53" w:rsidR="00DA0A16" w:rsidRPr="00BC081A" w:rsidRDefault="009E4BCC" w:rsidP="00F41662">
            <w:pPr>
              <w:pStyle w:val="TableContext"/>
              <w:rPr>
                <w:lang w:val="en-CA"/>
              </w:rPr>
            </w:pPr>
            <w:r w:rsidRPr="00BC081A">
              <w:rPr>
                <w:lang w:val="en-CA"/>
              </w:rPr>
              <w:t>13</w:t>
            </w:r>
          </w:p>
        </w:tc>
        <w:tc>
          <w:tcPr>
            <w:tcW w:w="1780" w:type="dxa"/>
          </w:tcPr>
          <w:p w14:paraId="2E2E2001" w14:textId="3193B557" w:rsidR="00DA0A16" w:rsidRPr="00BC081A" w:rsidRDefault="00CB7992" w:rsidP="00F41662">
            <w:pPr>
              <w:pStyle w:val="TableContext"/>
              <w:rPr>
                <w:lang w:val="en-CA"/>
              </w:rPr>
            </w:pPr>
            <w:r w:rsidRPr="00BC081A">
              <w:rPr>
                <w:lang w:val="en-CA"/>
              </w:rPr>
              <w:t>11%</w:t>
            </w:r>
          </w:p>
        </w:tc>
      </w:tr>
      <w:tr w:rsidR="00DA0A16" w:rsidRPr="00BC081A" w14:paraId="2C0D8C88" w14:textId="77777777" w:rsidTr="008C71FB">
        <w:trPr>
          <w:trHeight w:val="120"/>
          <w:jc w:val="center"/>
        </w:trPr>
        <w:tc>
          <w:tcPr>
            <w:tcW w:w="1780" w:type="dxa"/>
            <w:vMerge/>
            <w:shd w:val="clear" w:color="auto" w:fill="F2F2F2" w:themeFill="background1" w:themeFillShade="F2"/>
          </w:tcPr>
          <w:p w14:paraId="0B9F2856" w14:textId="77777777" w:rsidR="00DA0A16" w:rsidRPr="00BC081A" w:rsidRDefault="00DA0A16" w:rsidP="00F41662">
            <w:pPr>
              <w:pStyle w:val="TableContext"/>
              <w:rPr>
                <w:lang w:val="en-CA"/>
              </w:rPr>
            </w:pPr>
          </w:p>
        </w:tc>
        <w:tc>
          <w:tcPr>
            <w:tcW w:w="1780" w:type="dxa"/>
          </w:tcPr>
          <w:p w14:paraId="73DB15A6" w14:textId="77777777" w:rsidR="00DA0A16" w:rsidRPr="00BC081A" w:rsidRDefault="00DA0A16" w:rsidP="00F41662">
            <w:pPr>
              <w:pStyle w:val="TableContext"/>
              <w:rPr>
                <w:lang w:val="en-CA"/>
              </w:rPr>
            </w:pPr>
            <w:r w:rsidRPr="00BC081A">
              <w:rPr>
                <w:lang w:val="en-CA"/>
              </w:rPr>
              <w:t>To a little extent</w:t>
            </w:r>
          </w:p>
        </w:tc>
        <w:tc>
          <w:tcPr>
            <w:tcW w:w="1780" w:type="dxa"/>
          </w:tcPr>
          <w:p w14:paraId="36DA7A2A" w14:textId="2CD83C36" w:rsidR="00DA0A16" w:rsidRPr="00BC081A" w:rsidRDefault="009E4BCC" w:rsidP="00F41662">
            <w:pPr>
              <w:pStyle w:val="TableContext"/>
              <w:rPr>
                <w:lang w:val="en-CA"/>
              </w:rPr>
            </w:pPr>
            <w:r w:rsidRPr="00BC081A">
              <w:rPr>
                <w:lang w:val="en-CA"/>
              </w:rPr>
              <w:t>23</w:t>
            </w:r>
          </w:p>
        </w:tc>
        <w:tc>
          <w:tcPr>
            <w:tcW w:w="1780" w:type="dxa"/>
          </w:tcPr>
          <w:p w14:paraId="768D76A5" w14:textId="0AA0A8F2" w:rsidR="00DA0A16" w:rsidRPr="00BC081A" w:rsidRDefault="00CB7992" w:rsidP="00F41662">
            <w:pPr>
              <w:pStyle w:val="TableContext"/>
              <w:rPr>
                <w:lang w:val="en-CA"/>
              </w:rPr>
            </w:pPr>
            <w:r w:rsidRPr="00BC081A">
              <w:rPr>
                <w:lang w:val="en-CA"/>
              </w:rPr>
              <w:t>20%</w:t>
            </w:r>
          </w:p>
        </w:tc>
      </w:tr>
      <w:tr w:rsidR="00DA0A16" w:rsidRPr="00BC081A" w14:paraId="19EB58B5" w14:textId="77777777" w:rsidTr="008C71FB">
        <w:trPr>
          <w:trHeight w:val="120"/>
          <w:jc w:val="center"/>
        </w:trPr>
        <w:tc>
          <w:tcPr>
            <w:tcW w:w="1780" w:type="dxa"/>
            <w:vMerge/>
            <w:shd w:val="clear" w:color="auto" w:fill="F2F2F2" w:themeFill="background1" w:themeFillShade="F2"/>
          </w:tcPr>
          <w:p w14:paraId="1ED50929" w14:textId="77777777" w:rsidR="00DA0A16" w:rsidRPr="00BC081A" w:rsidRDefault="00DA0A16" w:rsidP="00F41662">
            <w:pPr>
              <w:pStyle w:val="TableContext"/>
              <w:rPr>
                <w:lang w:val="en-CA"/>
              </w:rPr>
            </w:pPr>
          </w:p>
        </w:tc>
        <w:tc>
          <w:tcPr>
            <w:tcW w:w="1780" w:type="dxa"/>
          </w:tcPr>
          <w:p w14:paraId="6DCD35DF" w14:textId="77777777" w:rsidR="00DA0A16" w:rsidRPr="00BC081A" w:rsidRDefault="00DA0A16" w:rsidP="00F41662">
            <w:pPr>
              <w:pStyle w:val="TableContext"/>
              <w:rPr>
                <w:lang w:val="en-CA"/>
              </w:rPr>
            </w:pPr>
            <w:r w:rsidRPr="00BC081A">
              <w:rPr>
                <w:lang w:val="en-CA"/>
              </w:rPr>
              <w:t>To some extent</w:t>
            </w:r>
          </w:p>
        </w:tc>
        <w:tc>
          <w:tcPr>
            <w:tcW w:w="1780" w:type="dxa"/>
          </w:tcPr>
          <w:p w14:paraId="74988CE4" w14:textId="7E8AB715" w:rsidR="00DA0A16" w:rsidRPr="00BC081A" w:rsidRDefault="009E4BCC" w:rsidP="00F41662">
            <w:pPr>
              <w:pStyle w:val="TableContext"/>
              <w:rPr>
                <w:lang w:val="en-CA"/>
              </w:rPr>
            </w:pPr>
            <w:r w:rsidRPr="00BC081A">
              <w:rPr>
                <w:lang w:val="en-CA"/>
              </w:rPr>
              <w:t>44</w:t>
            </w:r>
          </w:p>
        </w:tc>
        <w:tc>
          <w:tcPr>
            <w:tcW w:w="1780" w:type="dxa"/>
          </w:tcPr>
          <w:p w14:paraId="1B6201CA" w14:textId="507DF353" w:rsidR="00DA0A16" w:rsidRPr="00BC081A" w:rsidRDefault="00CB7992" w:rsidP="00F41662">
            <w:pPr>
              <w:pStyle w:val="TableContext"/>
              <w:rPr>
                <w:lang w:val="en-CA"/>
              </w:rPr>
            </w:pPr>
            <w:r w:rsidRPr="00BC081A">
              <w:rPr>
                <w:lang w:val="en-CA"/>
              </w:rPr>
              <w:t>39%</w:t>
            </w:r>
          </w:p>
        </w:tc>
      </w:tr>
      <w:tr w:rsidR="00DA0A16" w:rsidRPr="00BC081A" w14:paraId="14445A04" w14:textId="77777777" w:rsidTr="008C71FB">
        <w:trPr>
          <w:trHeight w:val="120"/>
          <w:jc w:val="center"/>
        </w:trPr>
        <w:tc>
          <w:tcPr>
            <w:tcW w:w="1780" w:type="dxa"/>
            <w:vMerge/>
            <w:shd w:val="clear" w:color="auto" w:fill="F2F2F2" w:themeFill="background1" w:themeFillShade="F2"/>
          </w:tcPr>
          <w:p w14:paraId="74B6E5AD" w14:textId="77777777" w:rsidR="00DA0A16" w:rsidRPr="00BC081A" w:rsidRDefault="00DA0A16" w:rsidP="00F41662">
            <w:pPr>
              <w:pStyle w:val="TableContext"/>
              <w:rPr>
                <w:lang w:val="en-CA"/>
              </w:rPr>
            </w:pPr>
          </w:p>
        </w:tc>
        <w:tc>
          <w:tcPr>
            <w:tcW w:w="1780" w:type="dxa"/>
          </w:tcPr>
          <w:p w14:paraId="27961A75" w14:textId="77777777" w:rsidR="00DA0A16" w:rsidRPr="00BC081A" w:rsidRDefault="00DA0A16" w:rsidP="00F41662">
            <w:pPr>
              <w:pStyle w:val="TableContext"/>
              <w:rPr>
                <w:lang w:val="en-CA"/>
              </w:rPr>
            </w:pPr>
            <w:r w:rsidRPr="00BC081A">
              <w:rPr>
                <w:lang w:val="en-CA"/>
              </w:rPr>
              <w:t>To a great extent</w:t>
            </w:r>
          </w:p>
        </w:tc>
        <w:tc>
          <w:tcPr>
            <w:tcW w:w="1780" w:type="dxa"/>
          </w:tcPr>
          <w:p w14:paraId="4481B0AD" w14:textId="2A9EAE2C" w:rsidR="00DA0A16" w:rsidRPr="00BC081A" w:rsidRDefault="009E4BCC" w:rsidP="00F41662">
            <w:pPr>
              <w:pStyle w:val="TableContext"/>
              <w:rPr>
                <w:lang w:val="en-CA"/>
              </w:rPr>
            </w:pPr>
            <w:r w:rsidRPr="00BC081A">
              <w:rPr>
                <w:lang w:val="en-CA"/>
              </w:rPr>
              <w:t>23</w:t>
            </w:r>
          </w:p>
        </w:tc>
        <w:tc>
          <w:tcPr>
            <w:tcW w:w="1780" w:type="dxa"/>
          </w:tcPr>
          <w:p w14:paraId="3E63C333" w14:textId="0AECA5D3" w:rsidR="00DA0A16" w:rsidRPr="00BC081A" w:rsidRDefault="00CB7992" w:rsidP="00F41662">
            <w:pPr>
              <w:pStyle w:val="TableContext"/>
              <w:rPr>
                <w:lang w:val="en-CA"/>
              </w:rPr>
            </w:pPr>
            <w:r w:rsidRPr="00BC081A">
              <w:rPr>
                <w:lang w:val="en-CA"/>
              </w:rPr>
              <w:t>20%</w:t>
            </w:r>
          </w:p>
        </w:tc>
      </w:tr>
      <w:tr w:rsidR="00DA0A16" w:rsidRPr="00BC081A" w14:paraId="3BFDF8F8" w14:textId="77777777" w:rsidTr="008C71FB">
        <w:trPr>
          <w:trHeight w:val="120"/>
          <w:jc w:val="center"/>
        </w:trPr>
        <w:tc>
          <w:tcPr>
            <w:tcW w:w="1780" w:type="dxa"/>
            <w:vMerge/>
            <w:shd w:val="clear" w:color="auto" w:fill="F2F2F2" w:themeFill="background1" w:themeFillShade="F2"/>
          </w:tcPr>
          <w:p w14:paraId="1D3E00CE" w14:textId="77777777" w:rsidR="00DA0A16" w:rsidRPr="00BC081A" w:rsidRDefault="00DA0A16" w:rsidP="00F41662">
            <w:pPr>
              <w:pStyle w:val="TableContext"/>
              <w:rPr>
                <w:lang w:val="en-CA"/>
              </w:rPr>
            </w:pPr>
          </w:p>
        </w:tc>
        <w:tc>
          <w:tcPr>
            <w:tcW w:w="1780" w:type="dxa"/>
          </w:tcPr>
          <w:p w14:paraId="6EB19EE6" w14:textId="77777777" w:rsidR="00DA0A16" w:rsidRPr="00BC081A" w:rsidRDefault="00DA0A16" w:rsidP="00F41662">
            <w:pPr>
              <w:pStyle w:val="TableContext"/>
              <w:rPr>
                <w:lang w:val="en-CA"/>
              </w:rPr>
            </w:pPr>
            <w:r w:rsidRPr="00BC081A">
              <w:rPr>
                <w:lang w:val="en-CA"/>
              </w:rPr>
              <w:t>To a very great extent</w:t>
            </w:r>
          </w:p>
        </w:tc>
        <w:tc>
          <w:tcPr>
            <w:tcW w:w="1780" w:type="dxa"/>
          </w:tcPr>
          <w:p w14:paraId="2F29C302" w14:textId="248C861C" w:rsidR="00DA0A16" w:rsidRPr="00BC081A" w:rsidRDefault="009E4BCC" w:rsidP="00F41662">
            <w:pPr>
              <w:pStyle w:val="TableContext"/>
              <w:rPr>
                <w:lang w:val="en-CA"/>
              </w:rPr>
            </w:pPr>
            <w:r w:rsidRPr="00BC081A">
              <w:rPr>
                <w:lang w:val="en-CA"/>
              </w:rPr>
              <w:t>11</w:t>
            </w:r>
          </w:p>
        </w:tc>
        <w:tc>
          <w:tcPr>
            <w:tcW w:w="1780" w:type="dxa"/>
          </w:tcPr>
          <w:p w14:paraId="702AFB77" w14:textId="33A24DFE" w:rsidR="00DA0A16" w:rsidRPr="00BC081A" w:rsidRDefault="00CB7992" w:rsidP="00F41662">
            <w:pPr>
              <w:pStyle w:val="TableContext"/>
              <w:rPr>
                <w:lang w:val="en-CA"/>
              </w:rPr>
            </w:pPr>
            <w:r w:rsidRPr="00BC081A">
              <w:rPr>
                <w:lang w:val="en-CA"/>
              </w:rPr>
              <w:t>10%</w:t>
            </w:r>
          </w:p>
        </w:tc>
      </w:tr>
      <w:tr w:rsidR="00DA0A16" w:rsidRPr="00BC081A" w14:paraId="0F4B7D23" w14:textId="77777777" w:rsidTr="008C71FB">
        <w:trPr>
          <w:trHeight w:val="400"/>
          <w:jc w:val="center"/>
        </w:trPr>
        <w:tc>
          <w:tcPr>
            <w:tcW w:w="1780" w:type="dxa"/>
            <w:vMerge/>
            <w:shd w:val="clear" w:color="auto" w:fill="F2F2F2" w:themeFill="background1" w:themeFillShade="F2"/>
            <w:vAlign w:val="center"/>
          </w:tcPr>
          <w:p w14:paraId="0BB88297" w14:textId="77777777" w:rsidR="00DA0A16" w:rsidRPr="00BC081A" w:rsidRDefault="00DA0A16" w:rsidP="00F41662">
            <w:pPr>
              <w:pStyle w:val="TableContext"/>
              <w:rPr>
                <w:lang w:val="en-CA"/>
              </w:rPr>
            </w:pPr>
          </w:p>
        </w:tc>
        <w:tc>
          <w:tcPr>
            <w:tcW w:w="1780" w:type="dxa"/>
          </w:tcPr>
          <w:p w14:paraId="40769633" w14:textId="77777777" w:rsidR="00DA0A16" w:rsidRPr="00BC081A" w:rsidRDefault="00DA0A16" w:rsidP="00F41662">
            <w:pPr>
              <w:pStyle w:val="TableContext"/>
              <w:rPr>
                <w:lang w:val="en-CA"/>
              </w:rPr>
            </w:pPr>
            <w:r w:rsidRPr="00BC081A">
              <w:rPr>
                <w:lang w:val="en-CA"/>
              </w:rPr>
              <w:t>Mean</w:t>
            </w:r>
          </w:p>
        </w:tc>
        <w:tc>
          <w:tcPr>
            <w:tcW w:w="3560" w:type="dxa"/>
            <w:gridSpan w:val="2"/>
          </w:tcPr>
          <w:p w14:paraId="206CF6F9" w14:textId="6A989083" w:rsidR="00DA0A16" w:rsidRPr="00BC081A" w:rsidRDefault="00C14041" w:rsidP="00F41662">
            <w:pPr>
              <w:pStyle w:val="TableContext"/>
              <w:rPr>
                <w:lang w:val="en-CA"/>
              </w:rPr>
            </w:pPr>
            <w:r w:rsidRPr="00BC081A">
              <w:rPr>
                <w:lang w:val="en-CA"/>
              </w:rPr>
              <w:t>3.00</w:t>
            </w:r>
          </w:p>
        </w:tc>
      </w:tr>
      <w:tr w:rsidR="00DA0A16" w:rsidRPr="00BC081A" w14:paraId="74B7CEC3" w14:textId="77777777" w:rsidTr="008C71FB">
        <w:trPr>
          <w:trHeight w:val="400"/>
          <w:jc w:val="center"/>
        </w:trPr>
        <w:tc>
          <w:tcPr>
            <w:tcW w:w="1780" w:type="dxa"/>
            <w:vMerge/>
            <w:shd w:val="clear" w:color="auto" w:fill="F2F2F2" w:themeFill="background1" w:themeFillShade="F2"/>
            <w:vAlign w:val="center"/>
          </w:tcPr>
          <w:p w14:paraId="5E0C508D" w14:textId="77777777" w:rsidR="00DA0A16" w:rsidRPr="00BC081A" w:rsidRDefault="00DA0A16" w:rsidP="00F41662">
            <w:pPr>
              <w:pStyle w:val="TableContext"/>
              <w:rPr>
                <w:lang w:val="en-CA"/>
              </w:rPr>
            </w:pPr>
          </w:p>
        </w:tc>
        <w:tc>
          <w:tcPr>
            <w:tcW w:w="1780" w:type="dxa"/>
          </w:tcPr>
          <w:p w14:paraId="197B0AD7" w14:textId="77777777" w:rsidR="00DA0A16" w:rsidRPr="00BC081A" w:rsidRDefault="00DA0A16" w:rsidP="00F41662">
            <w:pPr>
              <w:pStyle w:val="TableContext"/>
              <w:rPr>
                <w:lang w:val="en-CA"/>
              </w:rPr>
            </w:pPr>
            <w:r w:rsidRPr="00BC081A">
              <w:rPr>
                <w:lang w:val="en-CA"/>
              </w:rPr>
              <w:t>Standard Deviation</w:t>
            </w:r>
          </w:p>
        </w:tc>
        <w:tc>
          <w:tcPr>
            <w:tcW w:w="3560" w:type="dxa"/>
            <w:gridSpan w:val="2"/>
          </w:tcPr>
          <w:p w14:paraId="205B96E0" w14:textId="0D05A3F9" w:rsidR="00DA0A16" w:rsidRPr="00BC081A" w:rsidRDefault="00C14041" w:rsidP="00F41662">
            <w:pPr>
              <w:pStyle w:val="TableContext"/>
              <w:rPr>
                <w:lang w:val="en-CA"/>
              </w:rPr>
            </w:pPr>
            <w:r w:rsidRPr="00BC081A">
              <w:rPr>
                <w:lang w:val="en-CA"/>
              </w:rPr>
              <w:t>1.12</w:t>
            </w:r>
          </w:p>
        </w:tc>
      </w:tr>
    </w:tbl>
    <w:p w14:paraId="637B7FE2" w14:textId="77777777" w:rsidR="00123F66" w:rsidRPr="00BC081A" w:rsidRDefault="00123F66" w:rsidP="00B36670"/>
    <w:p w14:paraId="40E512C9" w14:textId="6E7A0A17" w:rsidR="00C05E31" w:rsidRPr="00BC081A" w:rsidRDefault="005B0736" w:rsidP="000F308B">
      <w:pPr>
        <w:pStyle w:val="Heading3"/>
      </w:pPr>
      <w:bookmarkStart w:id="74" w:name="_Toc275209835"/>
      <w:r w:rsidRPr="00BC081A">
        <w:t xml:space="preserve">Research Model </w:t>
      </w:r>
      <w:r w:rsidR="006359AB" w:rsidRPr="00BC081A">
        <w:t>Val</w:t>
      </w:r>
      <w:r w:rsidR="00EA2205" w:rsidRPr="00BC081A">
        <w:t>i</w:t>
      </w:r>
      <w:r w:rsidR="006359AB" w:rsidRPr="00BC081A">
        <w:t>dation</w:t>
      </w:r>
      <w:bookmarkEnd w:id="74"/>
    </w:p>
    <w:p w14:paraId="2F0E7B11" w14:textId="282A4CF7" w:rsidR="00C05E31" w:rsidRPr="00BC081A" w:rsidRDefault="00E96B50" w:rsidP="00C05E31">
      <w:pPr>
        <w:rPr>
          <w:rFonts w:cs="Arial"/>
        </w:rPr>
      </w:pPr>
      <w:r w:rsidRPr="00BC081A">
        <w:t>The proposed research model was measured and validated th</w:t>
      </w:r>
      <w:r w:rsidR="001C606A" w:rsidRPr="00BC081A">
        <w:t xml:space="preserve">rough a couple of steps. First, standard tests were employed to assess construct reliability and convergent and discriminant validity. Then, to validate the proposed model, Structural Equation Modeling (SEM) was used. </w:t>
      </w:r>
      <w:r w:rsidR="00C05E31" w:rsidRPr="00BC081A">
        <w:t xml:space="preserve">Since the model includes a second-order construct (Flow), Partial Least Squares (PLS), in particular </w:t>
      </w:r>
      <w:proofErr w:type="spellStart"/>
      <w:r w:rsidR="001C606A" w:rsidRPr="00BC081A">
        <w:rPr>
          <w:i/>
        </w:rPr>
        <w:t>Smart</w:t>
      </w:r>
      <w:r w:rsidR="00C05E31" w:rsidRPr="00BC081A">
        <w:rPr>
          <w:i/>
        </w:rPr>
        <w:t>PLS</w:t>
      </w:r>
      <w:proofErr w:type="spellEnd"/>
      <w:r w:rsidR="00C05E31" w:rsidRPr="00BC081A">
        <w:rPr>
          <w:i/>
        </w:rPr>
        <w:t xml:space="preserve"> </w:t>
      </w:r>
      <w:r w:rsidR="00C05E31" w:rsidRPr="00BC081A">
        <w:t xml:space="preserve">software </w:t>
      </w:r>
      <w:r w:rsidR="001C606A" w:rsidRPr="00BC081A">
        <w:t>was</w:t>
      </w:r>
      <w:r w:rsidR="00C80D6D" w:rsidRPr="00BC081A">
        <w:t xml:space="preserve"> used. PLS also </w:t>
      </w:r>
      <w:r w:rsidR="00C05E31" w:rsidRPr="00BC081A">
        <w:t xml:space="preserve">allows for </w:t>
      </w:r>
      <w:r w:rsidR="00C80D6D" w:rsidRPr="00BC081A">
        <w:t xml:space="preserve">both </w:t>
      </w:r>
      <w:r w:rsidR="00C05E31" w:rsidRPr="00BC081A">
        <w:t>exploratory and confirmatory assessments</w:t>
      </w:r>
      <w:r w:rsidR="0065062A" w:rsidRPr="00BC081A">
        <w:t xml:space="preserve"> and inclusion of second order constructs</w:t>
      </w:r>
      <w:r w:rsidR="00C05E31" w:rsidRPr="00BC081A">
        <w:t xml:space="preserve">. </w:t>
      </w:r>
    </w:p>
    <w:p w14:paraId="6AE45A24" w14:textId="1064B9E6" w:rsidR="00601C7F" w:rsidRPr="00BC081A" w:rsidRDefault="001C606A" w:rsidP="00C05E31">
      <w:r w:rsidRPr="00BC081A">
        <w:t>All the constructs that are used in the model are reflective constructs.</w:t>
      </w:r>
      <w:r w:rsidR="00C07C8F" w:rsidRPr="00BC081A">
        <w:t xml:space="preserve"> In order to test the construct reliability of the</w:t>
      </w:r>
      <w:r w:rsidR="00301569" w:rsidRPr="00BC081A">
        <w:t xml:space="preserve"> deployed constructs, </w:t>
      </w:r>
      <w:proofErr w:type="spellStart"/>
      <w:r w:rsidR="00301569" w:rsidRPr="00BC081A">
        <w:t>Cronbach</w:t>
      </w:r>
      <w:proofErr w:type="spellEnd"/>
      <w:r w:rsidR="00C07C8F" w:rsidRPr="00BC081A">
        <w:t xml:space="preserve"> Alpha, composite reliability, and Average Variance Extracted (AVE) were </w:t>
      </w:r>
      <w:r w:rsidR="00F66DFF" w:rsidRPr="00BC081A">
        <w:t>calculated</w:t>
      </w:r>
      <w:r w:rsidR="00C07C8F" w:rsidRPr="00BC081A">
        <w:t xml:space="preserve">. </w:t>
      </w:r>
      <w:r w:rsidR="009342A6" w:rsidRPr="00BC081A">
        <w:t xml:space="preserve">The only item out of </w:t>
      </w:r>
      <w:r w:rsidR="0065062A" w:rsidRPr="00BC081A">
        <w:t xml:space="preserve">the </w:t>
      </w:r>
      <w:r w:rsidR="009342A6" w:rsidRPr="00BC081A">
        <w:t>43 measured items that was problematic was the reversed coded item in Focused Immersion (i.e. “</w:t>
      </w:r>
      <w:r w:rsidR="00C138EF" w:rsidRPr="00BC081A">
        <w:t>While playing the game, I was able to block out most other distractions”)</w:t>
      </w:r>
      <w:r w:rsidR="009342A6" w:rsidRPr="00BC081A">
        <w:t xml:space="preserve"> </w:t>
      </w:r>
      <w:r w:rsidR="00C138EF" w:rsidRPr="00BC081A">
        <w:t xml:space="preserve">that </w:t>
      </w:r>
      <w:r w:rsidR="009342A6" w:rsidRPr="00BC081A">
        <w:t xml:space="preserve">lowered the reliability of this construct significantly. </w:t>
      </w:r>
      <w:r w:rsidR="00C138EF" w:rsidRPr="00BC081A">
        <w:t xml:space="preserve">Therefore, for the rest of </w:t>
      </w:r>
      <w:r w:rsidR="003D40C4">
        <w:t xml:space="preserve">the </w:t>
      </w:r>
      <w:r w:rsidR="00C138EF" w:rsidRPr="00BC081A">
        <w:t>analysis this item</w:t>
      </w:r>
      <w:r w:rsidR="003D40C4">
        <w:t xml:space="preserve"> was removed</w:t>
      </w:r>
      <w:r w:rsidR="00C138EF" w:rsidRPr="00BC081A">
        <w:t xml:space="preserve">, making Focused Immersion a </w:t>
      </w:r>
      <w:r w:rsidR="005511F5" w:rsidRPr="00BC081A">
        <w:t>two-item</w:t>
      </w:r>
      <w:r w:rsidR="00C138EF" w:rsidRPr="00BC081A">
        <w:t xml:space="preserve"> construct. </w:t>
      </w:r>
      <w:r w:rsidR="005511F5" w:rsidRPr="00BC081A">
        <w:t xml:space="preserve">As </w:t>
      </w:r>
      <w:r w:rsidR="00F22344" w:rsidRPr="00BC081A">
        <w:t xml:space="preserve">shown </w:t>
      </w:r>
      <w:r w:rsidR="005511F5" w:rsidRPr="00BC081A">
        <w:t xml:space="preserve">in </w:t>
      </w:r>
      <w:r w:rsidR="005511F5" w:rsidRPr="00BC081A">
        <w:fldChar w:fldCharType="begin"/>
      </w:r>
      <w:r w:rsidR="005511F5" w:rsidRPr="00BC081A">
        <w:instrText xml:space="preserve"> REF _Ref267317107 \h </w:instrText>
      </w:r>
      <w:r w:rsidR="005511F5" w:rsidRPr="00BC081A">
        <w:fldChar w:fldCharType="separate"/>
      </w:r>
      <w:r w:rsidR="008C71FB" w:rsidRPr="00BC081A">
        <w:t xml:space="preserve">Table </w:t>
      </w:r>
      <w:r w:rsidR="008C71FB">
        <w:rPr>
          <w:noProof/>
        </w:rPr>
        <w:t>4</w:t>
      </w:r>
      <w:r w:rsidR="005511F5" w:rsidRPr="00BC081A">
        <w:fldChar w:fldCharType="end"/>
      </w:r>
      <w:r w:rsidR="005511F5" w:rsidRPr="00BC081A">
        <w:t xml:space="preserve">, all of the constructs have higher than </w:t>
      </w:r>
      <w:r w:rsidR="00612211" w:rsidRPr="00BC081A">
        <w:t>the suggested</w:t>
      </w:r>
      <w:r w:rsidR="005511F5" w:rsidRPr="00BC081A">
        <w:t xml:space="preserve"> </w:t>
      </w:r>
      <w:r w:rsidR="00612211" w:rsidRPr="00BC081A">
        <w:t xml:space="preserve">critical value of </w:t>
      </w:r>
      <w:r w:rsidR="00301569" w:rsidRPr="00BC081A">
        <w:t xml:space="preserve">0.7 for </w:t>
      </w:r>
      <w:proofErr w:type="spellStart"/>
      <w:r w:rsidR="00301569" w:rsidRPr="00BC081A">
        <w:t>Cronbach</w:t>
      </w:r>
      <w:proofErr w:type="spellEnd"/>
      <w:r w:rsidR="005511F5" w:rsidRPr="00BC081A">
        <w:t xml:space="preserve"> Alpha </w:t>
      </w:r>
      <w:r w:rsidR="00612211" w:rsidRPr="00BC081A">
        <w:fldChar w:fldCharType="begin" w:fldLock="1"/>
      </w:r>
      <w:r w:rsidR="00AC1F7D">
        <w:instrText>ADDIN CSL_CITATION { "citationItems" : [ { "id" : "ITEM-1", "itemData" : { "author" : [ { "dropping-particle" : "", "family" : "Nunnally", "given" : "Jun C", "non-dropping-particle" : "", "parse-names" : false, "suffix" : "" }, { "dropping-particle" : "", "family" : "Bernstein", "given" : "I H", "non-dropping-particle" : "", "parse-names" : false, "suffix" : "" } ], "id" : "ITEM-1", "issued" : { "date-parts" : [ [ "1994" ] ] }, "publisher" : "New York: McGraw-Hill", "title" : "Psychological theory", "type" : "article" }, "uris" : [ "http://www.mendeley.com/documents/?uuid=9ff86efc-0964-4ef5-9620-85e169c14955" ] } ], "mendeley" : { "previouslyFormattedCitation" : "(Nunnally &amp; Bernstein, 1994)" }, "properties" : { "noteIndex" : 0 }, "schema" : "https://github.com/citation-style-language/schema/raw/master/csl-citation.json" }</w:instrText>
      </w:r>
      <w:r w:rsidR="00612211" w:rsidRPr="00BC081A">
        <w:fldChar w:fldCharType="separate"/>
      </w:r>
      <w:r w:rsidR="00612211" w:rsidRPr="00BC081A">
        <w:rPr>
          <w:noProof/>
        </w:rPr>
        <w:t>(Nunnally &amp; Bernstein, 1994)</w:t>
      </w:r>
      <w:r w:rsidR="00612211" w:rsidRPr="00BC081A">
        <w:fldChar w:fldCharType="end"/>
      </w:r>
      <w:r w:rsidR="00612211" w:rsidRPr="00BC081A">
        <w:t xml:space="preserve">. </w:t>
      </w:r>
      <w:r w:rsidR="006F787A" w:rsidRPr="00BC081A">
        <w:t>In addition, Composite Reliabi</w:t>
      </w:r>
      <w:r w:rsidR="00135778" w:rsidRPr="00BC081A">
        <w:t>lity and AVE are higher than 0.8</w:t>
      </w:r>
      <w:r w:rsidR="006F787A" w:rsidRPr="00BC081A">
        <w:t xml:space="preserve"> and 0.5</w:t>
      </w:r>
      <w:r w:rsidR="00BD5619" w:rsidRPr="00BC081A">
        <w:t>,</w:t>
      </w:r>
      <w:r w:rsidR="006F787A" w:rsidRPr="00BC081A">
        <w:t xml:space="preserve"> respectively</w:t>
      </w:r>
      <w:r w:rsidR="00BD5619" w:rsidRPr="00BC081A">
        <w:t>,</w:t>
      </w:r>
      <w:r w:rsidR="006F787A" w:rsidRPr="00BC081A">
        <w:t xml:space="preserve"> as recommended by previous scholars </w:t>
      </w:r>
      <w:r w:rsidR="006F787A" w:rsidRPr="00BC081A">
        <w:fldChar w:fldCharType="begin" w:fldLock="1"/>
      </w:r>
      <w:r w:rsidR="00AC1F7D">
        <w:instrText>ADDIN CSL_CITATION { "citationItems" : [ { "id" : "ITEM-1", "itemData" : { "author" : [ { "dropping-particle" : "", "family" : "Chin", "given" : "Wynne W", "non-dropping-particle" : "", "parse-names" : false, "suffix" : "" } ], "container-title" : "Modern methods for business research", "id" : "ITEM-1", "issue" : "2", "issued" : { "date-parts" : [ [ "1998" ] ] }, "page" : "295-336", "publisher" : "Lawrence Erlbaum Associates Mahwah, NJ", "title" : "The partial least squares approach to structural equation modeling", "type" : "article-journal", "volume" : "295" }, "uris" : [ "http://www.mendeley.com/documents/?uuid=5939a99b-2da2-4661-b637-20faaf588cfc" ] }, { "id" : "ITEM-2", "itemData" : { "author" : [ { "dropping-particle" : "", "family" : "Nunnally", "given" : "Jun C", "non-dropping-particle" : "", "parse-names" : false, "suffix" : "" }, { "dropping-particle" : "", "family" : "Bernstein", "given" : "I H", "non-dropping-particle" : "", "parse-names" : false, "suffix" : "" } ], "id" : "ITEM-2", "issued" : { "date-parts" : [ [ "1994" ] ] }, "publisher" : "New York: McGraw-Hill", "title" : "Psychological theory", "type" : "article" }, "uris" : [ "http://www.mendeley.com/documents/?uuid=9ff86efc-0964-4ef5-9620-85e169c14955" ] }, { "id" : "ITEM-3", "itemData" : { "author" : [ { "dropping-particle" : "", "family" : "Fornell", "given" : "Claes", "non-dropping-particle" : "", "parse-names" : false, "suffix" : "" }, { "dropping-particle" : "", "family" : "Larcker", "given" : "David F", "non-dropping-particle" : "", "parse-names" : false, "suffix" : "" } ], "container-title" : "Journal of marketing research", "id" : "ITEM-3", "issued" : { "date-parts" : [ [ "1981" ] ] }, "page" : "39-50", "publisher" : "JSTOR", "title" : "Evaluating structural equation models with unobservable variables and measurement error", "type" : "article-journal" }, "uris" : [ "http://www.mendeley.com/documents/?uuid=625bcfad-5269-4ce3-8d41-a1a8fa1128b4" ] } ], "mendeley" : { "previouslyFormattedCitation" : "(Chin, 1998; Fornell &amp; Larcker, 1981; Nunnally &amp; Bernstein, 1994)" }, "properties" : { "noteIndex" : 0 }, "schema" : "https://github.com/citation-style-language/schema/raw/master/csl-citation.json" }</w:instrText>
      </w:r>
      <w:r w:rsidR="006F787A" w:rsidRPr="00BC081A">
        <w:fldChar w:fldCharType="separate"/>
      </w:r>
      <w:r w:rsidR="006F787A" w:rsidRPr="00BC081A">
        <w:rPr>
          <w:noProof/>
        </w:rPr>
        <w:t>(Chin, 1998; Fornell &amp; Larcker, 1981; Nunnally &amp; Bernstein, 1994)</w:t>
      </w:r>
      <w:r w:rsidR="006F787A" w:rsidRPr="00BC081A">
        <w:fldChar w:fldCharType="end"/>
      </w:r>
      <w:r w:rsidR="006F787A" w:rsidRPr="00BC081A">
        <w:t xml:space="preserve">. </w:t>
      </w:r>
      <w:r w:rsidR="001D1A06" w:rsidRPr="00BC081A">
        <w:t>The only construct that has a slightly lower</w:t>
      </w:r>
      <w:r w:rsidR="00BE0020" w:rsidRPr="00BC081A">
        <w:t xml:space="preserve"> AVE is Flow, which is a second-</w:t>
      </w:r>
      <w:r w:rsidR="001D1A06" w:rsidRPr="00BC081A">
        <w:t xml:space="preserve">order construct </w:t>
      </w:r>
      <w:r w:rsidR="00F66DFF" w:rsidRPr="00BC081A">
        <w:t xml:space="preserve">where </w:t>
      </w:r>
      <w:r w:rsidR="009C0EC9">
        <w:t xml:space="preserve">it was </w:t>
      </w:r>
      <w:r w:rsidR="00F66DFF" w:rsidRPr="00BC081A">
        <w:t>not expect</w:t>
      </w:r>
      <w:r w:rsidR="009C0EC9">
        <w:t>ed</w:t>
      </w:r>
      <w:r w:rsidR="00F66DFF" w:rsidRPr="00BC081A">
        <w:t xml:space="preserve"> to see </w:t>
      </w:r>
      <w:r w:rsidR="001D1A06" w:rsidRPr="00BC081A">
        <w:t>similar behaviour</w:t>
      </w:r>
      <w:r w:rsidR="00872AF7">
        <w:t xml:space="preserve"> to the first-order constructs</w:t>
      </w:r>
      <w:r w:rsidR="009504F6" w:rsidRPr="00BC081A">
        <w:t xml:space="preserve"> </w:t>
      </w:r>
      <w:r w:rsidR="009504F6" w:rsidRPr="00BC081A">
        <w:lastRenderedPageBreak/>
        <w:fldChar w:fldCharType="begin" w:fldLock="1"/>
      </w:r>
      <w:r w:rsidR="00AC1F7D">
        <w:instrText>ADDIN CSL_CITATION { "citationItems" : [ { "id" : "ITEM-1", "itemData" : { "author" : [ { "dropping-particle" : "", "family" : "Mackenzie", "given" : "Scott B", "non-dropping-particle" : "", "parse-names" : false, "suffix" : "" }, { "dropping-particle" : "", "family" : "Podsakoff", "given" : "Philip M", "non-dropping-particle" : "", "parse-names" : false, "suffix" : "" }, { "dropping-particle" : "", "family" : "Podsakoff", "given" : "Nathan P", "non-dropping-particle" : "", "parse-names" : false, "suffix" : "" } ], "container-title" : "MIS Quarterly", "id" : "ITEM-1", "issue" : "2", "issued" : { "date-parts" : [ [ "2011" ] ] }, "page" : "293-334", "title" : "CONSTRUCT MEASUREMENT AND VALIDATION PROCEDURES IN MIS AND BEHAVIORAL RESEARCH", "type" : "article-journal", "volume" : "35" }, "uris" : [ "http://www.mendeley.com/documents/?uuid=66d5e4ac-eadd-466a-86ac-d2f5432d2eb4" ] } ], "mendeley" : { "previouslyFormattedCitation" : "(Mackenzie, Podsakoff, &amp; Podsakoff, 2011)" }, "properties" : { "noteIndex" : 0 }, "schema" : "https://github.com/citation-style-language/schema/raw/master/csl-citation.json" }</w:instrText>
      </w:r>
      <w:r w:rsidR="009504F6" w:rsidRPr="00BC081A">
        <w:fldChar w:fldCharType="separate"/>
      </w:r>
      <w:r w:rsidR="009504F6" w:rsidRPr="00BC081A">
        <w:rPr>
          <w:noProof/>
        </w:rPr>
        <w:t>(Mackenzie, Podsakoff, &amp; Podsakoff, 2011)</w:t>
      </w:r>
      <w:r w:rsidR="009504F6" w:rsidRPr="00BC081A">
        <w:fldChar w:fldCharType="end"/>
      </w:r>
      <w:r w:rsidR="001D1A06" w:rsidRPr="00BC081A">
        <w:t xml:space="preserve">. </w:t>
      </w:r>
      <w:r w:rsidR="009504F6" w:rsidRPr="00BC081A">
        <w:t xml:space="preserve">In fact, the AVE for a second-order construct can be calculated “by averaging the squared multiple correlations for the first-order sub-dimensions (or averaging the square of each sub-dimension’s completely standardized loading on the second-order construct)” </w:t>
      </w:r>
      <w:r w:rsidR="009504F6" w:rsidRPr="00BC081A">
        <w:fldChar w:fldCharType="begin" w:fldLock="1"/>
      </w:r>
      <w:r w:rsidR="00AC1F7D">
        <w:instrText>ADDIN CSL_CITATION { "citationItems" : [ { "id" : "ITEM-1", "itemData" : { "author" : [ { "dropping-particle" : "", "family" : "Mackenzie", "given" : "Scott B", "non-dropping-particle" : "", "parse-names" : false, "suffix" : "" }, { "dropping-particle" : "", "family" : "Podsakoff", "given" : "Philip M", "non-dropping-particle" : "", "parse-names" : false, "suffix" : "" }, { "dropping-particle" : "", "family" : "Podsakoff", "given" : "Nathan P", "non-dropping-particle" : "", "parse-names" : false, "suffix" : "" } ], "container-title" : "MIS Quarterly", "id" : "ITEM-1", "issue" : "2", "issued" : { "date-parts" : [ [ "2011" ] ] }, "page" : "293-334", "title" : "CONSTRUCT MEASUREMENT AND VALIDATION PROCEDURES IN MIS AND BEHAVIORAL RESEARCH", "type" : "article-journal", "volume" : "35" }, "locator" : "313", "uris" : [ "http://www.mendeley.com/documents/?uuid=66d5e4ac-eadd-466a-86ac-d2f5432d2eb4" ] } ], "mendeley" : { "previouslyFormattedCitation" : "(Mackenzie et al., 2011, p. 313)" }, "properties" : { "noteIndex" : 0 }, "schema" : "https://github.com/citation-style-language/schema/raw/master/csl-citation.json" }</w:instrText>
      </w:r>
      <w:r w:rsidR="009504F6" w:rsidRPr="00BC081A">
        <w:fldChar w:fldCharType="separate"/>
      </w:r>
      <w:r w:rsidR="009504F6" w:rsidRPr="00BC081A">
        <w:rPr>
          <w:noProof/>
        </w:rPr>
        <w:t>(Mackenzie et al., 2011, p. 313)</w:t>
      </w:r>
      <w:r w:rsidR="009504F6" w:rsidRPr="00BC081A">
        <w:fldChar w:fldCharType="end"/>
      </w:r>
      <w:r w:rsidR="009504F6" w:rsidRPr="00BC081A">
        <w:t>.</w:t>
      </w:r>
      <w:r w:rsidR="000B4E0E" w:rsidRPr="00BC081A">
        <w:t xml:space="preserve"> As such, the AVE of Flow </w:t>
      </w:r>
      <w:proofErr w:type="gramStart"/>
      <w:r w:rsidR="000B4E0E" w:rsidRPr="00BC081A">
        <w:t>construct</w:t>
      </w:r>
      <w:proofErr w:type="gramEnd"/>
      <w:r w:rsidR="000B4E0E" w:rsidRPr="00BC081A">
        <w:t xml:space="preserve"> </w:t>
      </w:r>
      <w:r w:rsidR="00950F91" w:rsidRPr="00BC081A">
        <w:t>equals 0.56 with the given dataset</w:t>
      </w:r>
      <w:r w:rsidR="00E41CFE" w:rsidRPr="00BC081A">
        <w:t>, showing that the maj</w:t>
      </w:r>
      <w:r w:rsidR="00BE0020" w:rsidRPr="00BC081A">
        <w:t>ority of variance in the second-</w:t>
      </w:r>
      <w:r w:rsidR="00E41CFE" w:rsidRPr="00BC081A">
        <w:t xml:space="preserve">order </w:t>
      </w:r>
      <w:r w:rsidR="00CE1E34" w:rsidRPr="00BC081A">
        <w:t xml:space="preserve">latent </w:t>
      </w:r>
      <w:r w:rsidR="00E41CFE" w:rsidRPr="00BC081A">
        <w:t xml:space="preserve">construct is shared with its </w:t>
      </w:r>
      <w:r w:rsidR="00CE1E34" w:rsidRPr="00BC081A">
        <w:t xml:space="preserve">first-order </w:t>
      </w:r>
      <w:r w:rsidR="00E41CFE" w:rsidRPr="00BC081A">
        <w:t>dimensions</w:t>
      </w:r>
      <w:r w:rsidR="00950F91" w:rsidRPr="00BC081A">
        <w:t xml:space="preserve">. </w:t>
      </w:r>
    </w:p>
    <w:p w14:paraId="4AEF2DD3" w14:textId="0DAEA481" w:rsidR="00C07C8F" w:rsidRPr="00BC081A" w:rsidRDefault="00C07C8F" w:rsidP="00C92D78">
      <w:pPr>
        <w:pStyle w:val="Caption"/>
      </w:pPr>
      <w:bookmarkStart w:id="75" w:name="_Ref267317107"/>
      <w:bookmarkStart w:id="76" w:name="_Toc275209762"/>
      <w:r w:rsidRPr="00BC081A">
        <w:t xml:space="preserve">Table </w:t>
      </w:r>
      <w:r w:rsidR="007804FF">
        <w:fldChar w:fldCharType="begin"/>
      </w:r>
      <w:r w:rsidR="007804FF">
        <w:instrText xml:space="preserve"> SEQ Table \* ARABIC </w:instrText>
      </w:r>
      <w:r w:rsidR="007804FF">
        <w:fldChar w:fldCharType="separate"/>
      </w:r>
      <w:r w:rsidR="008C71FB">
        <w:rPr>
          <w:noProof/>
        </w:rPr>
        <w:t>4</w:t>
      </w:r>
      <w:r w:rsidR="007804FF">
        <w:rPr>
          <w:noProof/>
        </w:rPr>
        <w:fldChar w:fldCharType="end"/>
      </w:r>
      <w:bookmarkEnd w:id="75"/>
      <w:r w:rsidRPr="00BC081A">
        <w:t xml:space="preserve"> – Construct Reliability of the Constructs in the Model</w:t>
      </w:r>
      <w:bookmarkEnd w:id="76"/>
    </w:p>
    <w:tbl>
      <w:tblPr>
        <w:tblW w:w="6476" w:type="dxa"/>
        <w:jc w:val="center"/>
        <w:tblInd w:w="93" w:type="dxa"/>
        <w:tblLook w:val="04A0" w:firstRow="1" w:lastRow="0" w:firstColumn="1" w:lastColumn="0" w:noHBand="0" w:noVBand="1"/>
      </w:tblPr>
      <w:tblGrid>
        <w:gridCol w:w="1683"/>
        <w:gridCol w:w="1178"/>
        <w:gridCol w:w="1113"/>
        <w:gridCol w:w="1242"/>
        <w:gridCol w:w="1260"/>
      </w:tblGrid>
      <w:tr w:rsidR="00060E91" w:rsidRPr="00BC081A" w14:paraId="2578A2BA" w14:textId="77777777" w:rsidTr="00060E91">
        <w:trPr>
          <w:trHeight w:val="521"/>
          <w:jc w:val="center"/>
        </w:trPr>
        <w:tc>
          <w:tcPr>
            <w:tcW w:w="1683"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359F823E"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 Construct</w:t>
            </w:r>
          </w:p>
        </w:tc>
        <w:tc>
          <w:tcPr>
            <w:tcW w:w="1178" w:type="dxa"/>
            <w:tcBorders>
              <w:top w:val="single" w:sz="4" w:space="0" w:color="000000"/>
              <w:left w:val="nil"/>
              <w:bottom w:val="single" w:sz="4" w:space="0" w:color="000000"/>
              <w:right w:val="single" w:sz="4" w:space="0" w:color="000000"/>
            </w:tcBorders>
            <w:shd w:val="clear" w:color="000000" w:fill="F2F2F2"/>
            <w:vAlign w:val="center"/>
            <w:hideMark/>
          </w:tcPr>
          <w:p w14:paraId="435456DF"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Number of items</w:t>
            </w:r>
          </w:p>
        </w:tc>
        <w:tc>
          <w:tcPr>
            <w:tcW w:w="1113" w:type="dxa"/>
            <w:tcBorders>
              <w:top w:val="single" w:sz="4" w:space="0" w:color="000000"/>
              <w:left w:val="nil"/>
              <w:bottom w:val="single" w:sz="4" w:space="0" w:color="000000"/>
              <w:right w:val="single" w:sz="4" w:space="0" w:color="000000"/>
            </w:tcBorders>
            <w:shd w:val="clear" w:color="000000" w:fill="F2F2F2"/>
            <w:vAlign w:val="center"/>
            <w:hideMark/>
          </w:tcPr>
          <w:p w14:paraId="15957464"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AVE</w:t>
            </w:r>
          </w:p>
        </w:tc>
        <w:tc>
          <w:tcPr>
            <w:tcW w:w="1242" w:type="dxa"/>
            <w:tcBorders>
              <w:top w:val="single" w:sz="4" w:space="0" w:color="000000"/>
              <w:left w:val="nil"/>
              <w:bottom w:val="single" w:sz="4" w:space="0" w:color="000000"/>
              <w:right w:val="single" w:sz="4" w:space="0" w:color="000000"/>
            </w:tcBorders>
            <w:shd w:val="clear" w:color="000000" w:fill="F2F2F2"/>
            <w:vAlign w:val="center"/>
            <w:hideMark/>
          </w:tcPr>
          <w:p w14:paraId="219EEFD4"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Composite Reliability</w:t>
            </w:r>
          </w:p>
        </w:tc>
        <w:tc>
          <w:tcPr>
            <w:tcW w:w="1260" w:type="dxa"/>
            <w:tcBorders>
              <w:top w:val="single" w:sz="4" w:space="0" w:color="000000"/>
              <w:left w:val="nil"/>
              <w:bottom w:val="single" w:sz="4" w:space="0" w:color="000000"/>
              <w:right w:val="single" w:sz="4" w:space="0" w:color="000000"/>
            </w:tcBorders>
            <w:shd w:val="clear" w:color="000000" w:fill="F2F2F2"/>
            <w:vAlign w:val="center"/>
            <w:hideMark/>
          </w:tcPr>
          <w:p w14:paraId="69636723" w14:textId="5A35F747" w:rsidR="00060E91" w:rsidRPr="00BC081A" w:rsidRDefault="00301569" w:rsidP="00060E91">
            <w:pPr>
              <w:spacing w:line="240" w:lineRule="auto"/>
              <w:ind w:firstLine="0"/>
              <w:jc w:val="center"/>
              <w:rPr>
                <w:rFonts w:eastAsia="Times New Roman" w:cs="Times New Roman"/>
                <w:color w:val="000000"/>
                <w:sz w:val="22"/>
                <w:szCs w:val="22"/>
              </w:rPr>
            </w:pPr>
            <w:proofErr w:type="spellStart"/>
            <w:r w:rsidRPr="00BC081A">
              <w:rPr>
                <w:rFonts w:eastAsia="Times New Roman" w:cs="Times New Roman"/>
                <w:color w:val="000000"/>
                <w:sz w:val="22"/>
                <w:szCs w:val="22"/>
              </w:rPr>
              <w:t>Cronbach</w:t>
            </w:r>
            <w:proofErr w:type="spellEnd"/>
            <w:r w:rsidR="00060E91" w:rsidRPr="00BC081A">
              <w:rPr>
                <w:rFonts w:eastAsia="Times New Roman" w:cs="Times New Roman"/>
                <w:color w:val="000000"/>
                <w:sz w:val="22"/>
                <w:szCs w:val="22"/>
              </w:rPr>
              <w:t xml:space="preserve"> Alpha</w:t>
            </w:r>
          </w:p>
        </w:tc>
      </w:tr>
      <w:tr w:rsidR="00114F96" w:rsidRPr="00BC081A" w14:paraId="04A9CA28" w14:textId="77777777" w:rsidTr="00114F96">
        <w:trPr>
          <w:trHeight w:val="494"/>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tcPr>
          <w:p w14:paraId="3CB0AFC4" w14:textId="00BD1822" w:rsidR="00114F96" w:rsidRPr="00BC081A" w:rsidRDefault="00114F96"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Mode</w:t>
            </w:r>
          </w:p>
        </w:tc>
        <w:tc>
          <w:tcPr>
            <w:tcW w:w="1178" w:type="dxa"/>
            <w:tcBorders>
              <w:top w:val="nil"/>
              <w:left w:val="nil"/>
              <w:bottom w:val="single" w:sz="4" w:space="0" w:color="000000"/>
              <w:right w:val="single" w:sz="4" w:space="0" w:color="000000"/>
            </w:tcBorders>
            <w:shd w:val="clear" w:color="auto" w:fill="auto"/>
            <w:vAlign w:val="center"/>
          </w:tcPr>
          <w:p w14:paraId="6153C260" w14:textId="71537B48" w:rsidR="00114F96" w:rsidRPr="00BC081A" w:rsidRDefault="00114F96"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1</w:t>
            </w:r>
          </w:p>
        </w:tc>
        <w:tc>
          <w:tcPr>
            <w:tcW w:w="1113" w:type="dxa"/>
            <w:tcBorders>
              <w:top w:val="nil"/>
              <w:left w:val="nil"/>
              <w:bottom w:val="single" w:sz="4" w:space="0" w:color="000000"/>
              <w:right w:val="single" w:sz="4" w:space="0" w:color="000000"/>
            </w:tcBorders>
            <w:shd w:val="clear" w:color="auto" w:fill="auto"/>
            <w:vAlign w:val="center"/>
          </w:tcPr>
          <w:p w14:paraId="6554C459" w14:textId="2AAD7C6F" w:rsidR="00114F96" w:rsidRPr="00BC081A" w:rsidRDefault="00114F96"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1.000</w:t>
            </w:r>
          </w:p>
        </w:tc>
        <w:tc>
          <w:tcPr>
            <w:tcW w:w="1242" w:type="dxa"/>
            <w:tcBorders>
              <w:top w:val="nil"/>
              <w:left w:val="nil"/>
              <w:bottom w:val="single" w:sz="4" w:space="0" w:color="000000"/>
              <w:right w:val="single" w:sz="4" w:space="0" w:color="000000"/>
            </w:tcBorders>
            <w:shd w:val="clear" w:color="auto" w:fill="auto"/>
            <w:vAlign w:val="center"/>
          </w:tcPr>
          <w:p w14:paraId="7FFD849D" w14:textId="5C8B7654" w:rsidR="00114F96" w:rsidRPr="00BC081A" w:rsidRDefault="00114F96"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1.000</w:t>
            </w:r>
          </w:p>
        </w:tc>
        <w:tc>
          <w:tcPr>
            <w:tcW w:w="1260" w:type="dxa"/>
            <w:tcBorders>
              <w:top w:val="nil"/>
              <w:left w:val="nil"/>
              <w:bottom w:val="single" w:sz="4" w:space="0" w:color="000000"/>
              <w:right w:val="single" w:sz="4" w:space="0" w:color="000000"/>
            </w:tcBorders>
            <w:shd w:val="clear" w:color="auto" w:fill="auto"/>
            <w:vAlign w:val="center"/>
          </w:tcPr>
          <w:p w14:paraId="3BD565A9" w14:textId="6D4763B5" w:rsidR="00114F96" w:rsidRPr="00BC081A" w:rsidRDefault="00114F96"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1.000</w:t>
            </w:r>
          </w:p>
        </w:tc>
      </w:tr>
      <w:tr w:rsidR="00060E91" w:rsidRPr="00BC081A" w14:paraId="41F9815F" w14:textId="77777777" w:rsidTr="00114F96">
        <w:trPr>
          <w:trHeight w:val="700"/>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20077A76" w14:textId="46EF3F17" w:rsidR="00060E91" w:rsidRPr="00BC081A" w:rsidRDefault="00B56387"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Dispositional</w:t>
            </w:r>
            <w:r w:rsidR="00060E91" w:rsidRPr="00BC081A">
              <w:rPr>
                <w:rFonts w:eastAsia="Times New Roman" w:cs="Times New Roman"/>
                <w:color w:val="000000"/>
                <w:sz w:val="22"/>
                <w:szCs w:val="22"/>
              </w:rPr>
              <w:t xml:space="preserve"> Competitiveness</w:t>
            </w:r>
          </w:p>
        </w:tc>
        <w:tc>
          <w:tcPr>
            <w:tcW w:w="1178" w:type="dxa"/>
            <w:tcBorders>
              <w:top w:val="nil"/>
              <w:left w:val="nil"/>
              <w:bottom w:val="single" w:sz="4" w:space="0" w:color="000000"/>
              <w:right w:val="single" w:sz="4" w:space="0" w:color="000000"/>
            </w:tcBorders>
            <w:shd w:val="clear" w:color="auto" w:fill="auto"/>
            <w:vAlign w:val="center"/>
            <w:hideMark/>
          </w:tcPr>
          <w:p w14:paraId="59F1BFE1"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5</w:t>
            </w:r>
          </w:p>
        </w:tc>
        <w:tc>
          <w:tcPr>
            <w:tcW w:w="1113" w:type="dxa"/>
            <w:tcBorders>
              <w:top w:val="nil"/>
              <w:left w:val="nil"/>
              <w:bottom w:val="single" w:sz="4" w:space="0" w:color="000000"/>
              <w:right w:val="single" w:sz="4" w:space="0" w:color="000000"/>
            </w:tcBorders>
            <w:shd w:val="clear" w:color="auto" w:fill="auto"/>
            <w:vAlign w:val="center"/>
            <w:hideMark/>
          </w:tcPr>
          <w:p w14:paraId="2A5B11BA"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0.541</w:t>
            </w:r>
          </w:p>
        </w:tc>
        <w:tc>
          <w:tcPr>
            <w:tcW w:w="1242" w:type="dxa"/>
            <w:tcBorders>
              <w:top w:val="nil"/>
              <w:left w:val="nil"/>
              <w:bottom w:val="single" w:sz="4" w:space="0" w:color="000000"/>
              <w:right w:val="single" w:sz="4" w:space="0" w:color="000000"/>
            </w:tcBorders>
            <w:shd w:val="clear" w:color="auto" w:fill="auto"/>
            <w:vAlign w:val="center"/>
            <w:hideMark/>
          </w:tcPr>
          <w:p w14:paraId="02C3D122"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0.853</w:t>
            </w:r>
          </w:p>
        </w:tc>
        <w:tc>
          <w:tcPr>
            <w:tcW w:w="1260" w:type="dxa"/>
            <w:tcBorders>
              <w:top w:val="nil"/>
              <w:left w:val="nil"/>
              <w:bottom w:val="single" w:sz="4" w:space="0" w:color="000000"/>
              <w:right w:val="single" w:sz="4" w:space="0" w:color="000000"/>
            </w:tcBorders>
            <w:shd w:val="clear" w:color="auto" w:fill="auto"/>
            <w:vAlign w:val="center"/>
            <w:hideMark/>
          </w:tcPr>
          <w:p w14:paraId="2D3AC08C" w14:textId="5FF058AF"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w:t>
            </w:r>
            <w:r w:rsidR="00237DCC" w:rsidRPr="00BC081A">
              <w:rPr>
                <w:rFonts w:eastAsia="Times New Roman" w:cs="Times New Roman"/>
                <w:color w:val="000000"/>
                <w:sz w:val="22"/>
                <w:szCs w:val="22"/>
              </w:rPr>
              <w:t>05</w:t>
            </w:r>
          </w:p>
        </w:tc>
      </w:tr>
      <w:tr w:rsidR="00060E91" w:rsidRPr="00BC081A" w14:paraId="12BB9228" w14:textId="77777777" w:rsidTr="00060E91">
        <w:trPr>
          <w:trHeight w:val="669"/>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1BE4E112"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Social Presence</w:t>
            </w:r>
          </w:p>
        </w:tc>
        <w:tc>
          <w:tcPr>
            <w:tcW w:w="1178" w:type="dxa"/>
            <w:tcBorders>
              <w:top w:val="nil"/>
              <w:left w:val="nil"/>
              <w:bottom w:val="single" w:sz="4" w:space="0" w:color="000000"/>
              <w:right w:val="single" w:sz="4" w:space="0" w:color="000000"/>
            </w:tcBorders>
            <w:shd w:val="clear" w:color="auto" w:fill="auto"/>
            <w:vAlign w:val="center"/>
            <w:hideMark/>
          </w:tcPr>
          <w:p w14:paraId="369B34EC"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5</w:t>
            </w:r>
          </w:p>
        </w:tc>
        <w:tc>
          <w:tcPr>
            <w:tcW w:w="1113" w:type="dxa"/>
            <w:tcBorders>
              <w:top w:val="nil"/>
              <w:left w:val="nil"/>
              <w:bottom w:val="single" w:sz="4" w:space="0" w:color="000000"/>
              <w:right w:val="single" w:sz="4" w:space="0" w:color="000000"/>
            </w:tcBorders>
            <w:shd w:val="clear" w:color="auto" w:fill="auto"/>
            <w:vAlign w:val="center"/>
            <w:hideMark/>
          </w:tcPr>
          <w:p w14:paraId="7B4A2336" w14:textId="6C14FB60"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0.6</w:t>
            </w:r>
            <w:r w:rsidR="00060E91" w:rsidRPr="00BC081A">
              <w:rPr>
                <w:rFonts w:eastAsia="Times New Roman" w:cs="Times New Roman"/>
                <w:color w:val="000000"/>
                <w:sz w:val="22"/>
                <w:szCs w:val="22"/>
              </w:rPr>
              <w:t>1</w:t>
            </w:r>
            <w:r w:rsidRPr="00BC081A">
              <w:rPr>
                <w:rFonts w:eastAsia="Times New Roman" w:cs="Times New Roman"/>
                <w:color w:val="000000"/>
                <w:sz w:val="22"/>
                <w:szCs w:val="22"/>
              </w:rPr>
              <w:t>7</w:t>
            </w:r>
          </w:p>
        </w:tc>
        <w:tc>
          <w:tcPr>
            <w:tcW w:w="1242" w:type="dxa"/>
            <w:tcBorders>
              <w:top w:val="nil"/>
              <w:left w:val="nil"/>
              <w:bottom w:val="single" w:sz="4" w:space="0" w:color="000000"/>
              <w:right w:val="single" w:sz="4" w:space="0" w:color="000000"/>
            </w:tcBorders>
            <w:shd w:val="clear" w:color="auto" w:fill="auto"/>
            <w:vAlign w:val="center"/>
            <w:hideMark/>
          </w:tcPr>
          <w:p w14:paraId="6635DAE2" w14:textId="05EDA6B4" w:rsidR="00060E91" w:rsidRPr="00BC081A" w:rsidRDefault="002A47B5"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0.889</w:t>
            </w:r>
          </w:p>
        </w:tc>
        <w:tc>
          <w:tcPr>
            <w:tcW w:w="1260" w:type="dxa"/>
            <w:tcBorders>
              <w:top w:val="nil"/>
              <w:left w:val="nil"/>
              <w:bottom w:val="single" w:sz="4" w:space="0" w:color="000000"/>
              <w:right w:val="single" w:sz="4" w:space="0" w:color="000000"/>
            </w:tcBorders>
            <w:shd w:val="clear" w:color="auto" w:fill="auto"/>
            <w:vAlign w:val="center"/>
            <w:hideMark/>
          </w:tcPr>
          <w:p w14:paraId="3B1AEB24" w14:textId="36935C38" w:rsidR="00060E91" w:rsidRPr="00BC081A" w:rsidRDefault="00237DCC"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0.848</w:t>
            </w:r>
          </w:p>
        </w:tc>
      </w:tr>
      <w:tr w:rsidR="00060E91" w:rsidRPr="00BC081A" w14:paraId="43D74BB0" w14:textId="77777777" w:rsidTr="00060E91">
        <w:trPr>
          <w:trHeight w:val="833"/>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58B0B8BB" w14:textId="0EABB959" w:rsidR="005624B9" w:rsidRPr="00BC081A" w:rsidRDefault="005624B9"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 xml:space="preserve"> Situational</w:t>
            </w:r>
          </w:p>
          <w:p w14:paraId="40E2C659" w14:textId="6CF255E2" w:rsidR="00060E91" w:rsidRPr="00BC081A" w:rsidRDefault="005624B9"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(Perceived)</w:t>
            </w:r>
            <w:r w:rsidR="00060E91" w:rsidRPr="00BC081A">
              <w:rPr>
                <w:rFonts w:eastAsia="Times New Roman" w:cs="Times New Roman"/>
                <w:color w:val="000000"/>
                <w:sz w:val="22"/>
                <w:szCs w:val="22"/>
              </w:rPr>
              <w:t xml:space="preserve"> Competitiveness</w:t>
            </w:r>
          </w:p>
        </w:tc>
        <w:tc>
          <w:tcPr>
            <w:tcW w:w="1178" w:type="dxa"/>
            <w:tcBorders>
              <w:top w:val="nil"/>
              <w:left w:val="nil"/>
              <w:bottom w:val="single" w:sz="4" w:space="0" w:color="000000"/>
              <w:right w:val="single" w:sz="4" w:space="0" w:color="000000"/>
            </w:tcBorders>
            <w:shd w:val="clear" w:color="auto" w:fill="auto"/>
            <w:vAlign w:val="center"/>
            <w:hideMark/>
          </w:tcPr>
          <w:p w14:paraId="56E0188D"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4</w:t>
            </w:r>
          </w:p>
        </w:tc>
        <w:tc>
          <w:tcPr>
            <w:tcW w:w="1113" w:type="dxa"/>
            <w:tcBorders>
              <w:top w:val="nil"/>
              <w:left w:val="nil"/>
              <w:bottom w:val="single" w:sz="4" w:space="0" w:color="000000"/>
              <w:right w:val="single" w:sz="4" w:space="0" w:color="000000"/>
            </w:tcBorders>
            <w:shd w:val="clear" w:color="auto" w:fill="auto"/>
            <w:vAlign w:val="center"/>
            <w:hideMark/>
          </w:tcPr>
          <w:p w14:paraId="6E1AB95A" w14:textId="2001C31B"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0.734</w:t>
            </w:r>
          </w:p>
        </w:tc>
        <w:tc>
          <w:tcPr>
            <w:tcW w:w="1242" w:type="dxa"/>
            <w:tcBorders>
              <w:top w:val="nil"/>
              <w:left w:val="nil"/>
              <w:bottom w:val="single" w:sz="4" w:space="0" w:color="000000"/>
              <w:right w:val="single" w:sz="4" w:space="0" w:color="000000"/>
            </w:tcBorders>
            <w:shd w:val="clear" w:color="auto" w:fill="auto"/>
            <w:vAlign w:val="center"/>
            <w:hideMark/>
          </w:tcPr>
          <w:p w14:paraId="1245B3A0" w14:textId="5053732F" w:rsidR="00060E91" w:rsidRPr="00BC081A" w:rsidRDefault="002A47B5"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0.917</w:t>
            </w:r>
          </w:p>
        </w:tc>
        <w:tc>
          <w:tcPr>
            <w:tcW w:w="1260" w:type="dxa"/>
            <w:tcBorders>
              <w:top w:val="nil"/>
              <w:left w:val="nil"/>
              <w:bottom w:val="single" w:sz="4" w:space="0" w:color="000000"/>
              <w:right w:val="single" w:sz="4" w:space="0" w:color="000000"/>
            </w:tcBorders>
            <w:shd w:val="clear" w:color="auto" w:fill="auto"/>
            <w:vAlign w:val="center"/>
            <w:hideMark/>
          </w:tcPr>
          <w:p w14:paraId="1708B368" w14:textId="278FE76C" w:rsidR="00060E91" w:rsidRPr="00BC081A" w:rsidRDefault="00715E93"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0.879</w:t>
            </w:r>
          </w:p>
        </w:tc>
      </w:tr>
      <w:tr w:rsidR="00060E91" w:rsidRPr="00BC081A" w14:paraId="21AE1F29" w14:textId="77777777" w:rsidTr="00060E91">
        <w:trPr>
          <w:trHeight w:val="642"/>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357F6D8A"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Challenge</w:t>
            </w:r>
          </w:p>
        </w:tc>
        <w:tc>
          <w:tcPr>
            <w:tcW w:w="1178" w:type="dxa"/>
            <w:tcBorders>
              <w:top w:val="nil"/>
              <w:left w:val="nil"/>
              <w:bottom w:val="single" w:sz="4" w:space="0" w:color="000000"/>
              <w:right w:val="single" w:sz="4" w:space="0" w:color="000000"/>
            </w:tcBorders>
            <w:shd w:val="clear" w:color="auto" w:fill="auto"/>
            <w:vAlign w:val="center"/>
            <w:hideMark/>
          </w:tcPr>
          <w:p w14:paraId="749A0F5C"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3</w:t>
            </w:r>
          </w:p>
        </w:tc>
        <w:tc>
          <w:tcPr>
            <w:tcW w:w="1113" w:type="dxa"/>
            <w:tcBorders>
              <w:top w:val="nil"/>
              <w:left w:val="nil"/>
              <w:bottom w:val="single" w:sz="4" w:space="0" w:color="000000"/>
              <w:right w:val="single" w:sz="4" w:space="0" w:color="000000"/>
            </w:tcBorders>
            <w:shd w:val="clear" w:color="auto" w:fill="auto"/>
            <w:vAlign w:val="center"/>
            <w:hideMark/>
          </w:tcPr>
          <w:p w14:paraId="554C4085" w14:textId="5A97E0E5"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0.735</w:t>
            </w:r>
          </w:p>
        </w:tc>
        <w:tc>
          <w:tcPr>
            <w:tcW w:w="1242" w:type="dxa"/>
            <w:tcBorders>
              <w:top w:val="nil"/>
              <w:left w:val="nil"/>
              <w:bottom w:val="single" w:sz="4" w:space="0" w:color="000000"/>
              <w:right w:val="single" w:sz="4" w:space="0" w:color="000000"/>
            </w:tcBorders>
            <w:shd w:val="clear" w:color="auto" w:fill="auto"/>
            <w:vAlign w:val="center"/>
            <w:hideMark/>
          </w:tcPr>
          <w:p w14:paraId="69541125" w14:textId="5FBF40E7" w:rsidR="00060E91" w:rsidRPr="00BC081A" w:rsidRDefault="002A47B5"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0.892</w:t>
            </w:r>
          </w:p>
        </w:tc>
        <w:tc>
          <w:tcPr>
            <w:tcW w:w="1260" w:type="dxa"/>
            <w:tcBorders>
              <w:top w:val="nil"/>
              <w:left w:val="nil"/>
              <w:bottom w:val="single" w:sz="4" w:space="0" w:color="000000"/>
              <w:right w:val="single" w:sz="4" w:space="0" w:color="000000"/>
            </w:tcBorders>
            <w:shd w:val="clear" w:color="auto" w:fill="auto"/>
            <w:vAlign w:val="center"/>
            <w:hideMark/>
          </w:tcPr>
          <w:p w14:paraId="5922A8AF" w14:textId="67CD2D5A" w:rsidR="00060E91" w:rsidRPr="00BC081A" w:rsidRDefault="00715E93"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0.826</w:t>
            </w:r>
          </w:p>
        </w:tc>
      </w:tr>
      <w:tr w:rsidR="00060E91" w:rsidRPr="00BC081A" w14:paraId="2C395D52" w14:textId="77777777" w:rsidTr="00060E91">
        <w:trPr>
          <w:trHeight w:val="450"/>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2FEE3CB7"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Arousal</w:t>
            </w:r>
          </w:p>
        </w:tc>
        <w:tc>
          <w:tcPr>
            <w:tcW w:w="1178" w:type="dxa"/>
            <w:tcBorders>
              <w:top w:val="nil"/>
              <w:left w:val="nil"/>
              <w:bottom w:val="single" w:sz="4" w:space="0" w:color="000000"/>
              <w:right w:val="single" w:sz="4" w:space="0" w:color="000000"/>
            </w:tcBorders>
            <w:shd w:val="clear" w:color="auto" w:fill="auto"/>
            <w:vAlign w:val="center"/>
            <w:hideMark/>
          </w:tcPr>
          <w:p w14:paraId="619C03A2"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5</w:t>
            </w:r>
          </w:p>
        </w:tc>
        <w:tc>
          <w:tcPr>
            <w:tcW w:w="1113" w:type="dxa"/>
            <w:tcBorders>
              <w:top w:val="nil"/>
              <w:left w:val="nil"/>
              <w:bottom w:val="single" w:sz="4" w:space="0" w:color="000000"/>
              <w:right w:val="single" w:sz="4" w:space="0" w:color="000000"/>
            </w:tcBorders>
            <w:shd w:val="clear" w:color="auto" w:fill="auto"/>
            <w:vAlign w:val="center"/>
            <w:hideMark/>
          </w:tcPr>
          <w:p w14:paraId="39443ECF" w14:textId="5D260418"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0.594</w:t>
            </w:r>
          </w:p>
        </w:tc>
        <w:tc>
          <w:tcPr>
            <w:tcW w:w="1242" w:type="dxa"/>
            <w:tcBorders>
              <w:top w:val="nil"/>
              <w:left w:val="nil"/>
              <w:bottom w:val="single" w:sz="4" w:space="0" w:color="000000"/>
              <w:right w:val="single" w:sz="4" w:space="0" w:color="000000"/>
            </w:tcBorders>
            <w:shd w:val="clear" w:color="auto" w:fill="auto"/>
            <w:vAlign w:val="center"/>
            <w:hideMark/>
          </w:tcPr>
          <w:p w14:paraId="0A2A66B1" w14:textId="50178B24" w:rsidR="00060E91" w:rsidRPr="00BC081A" w:rsidRDefault="006622EA"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0.876</w:t>
            </w:r>
          </w:p>
        </w:tc>
        <w:tc>
          <w:tcPr>
            <w:tcW w:w="1260" w:type="dxa"/>
            <w:tcBorders>
              <w:top w:val="nil"/>
              <w:left w:val="nil"/>
              <w:bottom w:val="single" w:sz="4" w:space="0" w:color="000000"/>
              <w:right w:val="single" w:sz="4" w:space="0" w:color="000000"/>
            </w:tcBorders>
            <w:shd w:val="clear" w:color="auto" w:fill="auto"/>
            <w:vAlign w:val="center"/>
            <w:hideMark/>
          </w:tcPr>
          <w:p w14:paraId="17B23F76" w14:textId="6CF847B6" w:rsidR="00060E91" w:rsidRPr="00BC081A" w:rsidRDefault="00715E93"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0.819</w:t>
            </w:r>
          </w:p>
        </w:tc>
      </w:tr>
      <w:tr w:rsidR="00060E91" w:rsidRPr="00BC081A" w14:paraId="066A7F45" w14:textId="77777777" w:rsidTr="00060E91">
        <w:trPr>
          <w:trHeight w:val="407"/>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2FBDE942"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Flow</w:t>
            </w:r>
          </w:p>
        </w:tc>
        <w:tc>
          <w:tcPr>
            <w:tcW w:w="1178" w:type="dxa"/>
            <w:tcBorders>
              <w:top w:val="nil"/>
              <w:left w:val="nil"/>
              <w:bottom w:val="single" w:sz="4" w:space="0" w:color="000000"/>
              <w:right w:val="single" w:sz="4" w:space="0" w:color="000000"/>
            </w:tcBorders>
            <w:shd w:val="clear" w:color="auto" w:fill="auto"/>
            <w:vAlign w:val="center"/>
            <w:hideMark/>
          </w:tcPr>
          <w:p w14:paraId="23AA53FB"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9</w:t>
            </w:r>
          </w:p>
        </w:tc>
        <w:tc>
          <w:tcPr>
            <w:tcW w:w="1113" w:type="dxa"/>
            <w:tcBorders>
              <w:top w:val="nil"/>
              <w:left w:val="nil"/>
              <w:bottom w:val="single" w:sz="4" w:space="0" w:color="000000"/>
              <w:right w:val="single" w:sz="4" w:space="0" w:color="000000"/>
            </w:tcBorders>
            <w:shd w:val="clear" w:color="auto" w:fill="auto"/>
            <w:vAlign w:val="center"/>
            <w:hideMark/>
          </w:tcPr>
          <w:p w14:paraId="58649734" w14:textId="41CF1B8F"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0.470</w:t>
            </w:r>
          </w:p>
        </w:tc>
        <w:tc>
          <w:tcPr>
            <w:tcW w:w="1242" w:type="dxa"/>
            <w:tcBorders>
              <w:top w:val="nil"/>
              <w:left w:val="nil"/>
              <w:bottom w:val="single" w:sz="4" w:space="0" w:color="000000"/>
              <w:right w:val="single" w:sz="4" w:space="0" w:color="000000"/>
            </w:tcBorders>
            <w:shd w:val="clear" w:color="auto" w:fill="auto"/>
            <w:vAlign w:val="center"/>
            <w:hideMark/>
          </w:tcPr>
          <w:p w14:paraId="2609899F" w14:textId="21D96AE3"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w:t>
            </w:r>
            <w:r w:rsidR="00A2428A" w:rsidRPr="00BC081A">
              <w:rPr>
                <w:rFonts w:eastAsia="Times New Roman" w:cs="Times New Roman"/>
                <w:color w:val="000000"/>
                <w:sz w:val="22"/>
                <w:szCs w:val="22"/>
              </w:rPr>
              <w:t>69</w:t>
            </w:r>
          </w:p>
        </w:tc>
        <w:tc>
          <w:tcPr>
            <w:tcW w:w="1260" w:type="dxa"/>
            <w:tcBorders>
              <w:top w:val="nil"/>
              <w:left w:val="nil"/>
              <w:bottom w:val="single" w:sz="4" w:space="0" w:color="000000"/>
              <w:right w:val="single" w:sz="4" w:space="0" w:color="000000"/>
            </w:tcBorders>
            <w:shd w:val="clear" w:color="auto" w:fill="auto"/>
            <w:vAlign w:val="center"/>
            <w:hideMark/>
          </w:tcPr>
          <w:p w14:paraId="56F16989" w14:textId="4DE25CF7" w:rsidR="00060E91" w:rsidRPr="00BC081A" w:rsidRDefault="005D7EB9"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w:t>
            </w:r>
            <w:r w:rsidR="00B55EB9" w:rsidRPr="00BC081A">
              <w:rPr>
                <w:rFonts w:eastAsia="Times New Roman" w:cs="Times New Roman"/>
                <w:color w:val="000000"/>
                <w:sz w:val="22"/>
                <w:szCs w:val="22"/>
              </w:rPr>
              <w:t>25</w:t>
            </w:r>
          </w:p>
        </w:tc>
      </w:tr>
      <w:tr w:rsidR="00060E91" w:rsidRPr="00BC081A" w14:paraId="7AB35E57" w14:textId="77777777" w:rsidTr="00060E91">
        <w:trPr>
          <w:trHeight w:val="813"/>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3EA12D05"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Focused Immersion</w:t>
            </w:r>
          </w:p>
        </w:tc>
        <w:tc>
          <w:tcPr>
            <w:tcW w:w="1178" w:type="dxa"/>
            <w:tcBorders>
              <w:top w:val="nil"/>
              <w:left w:val="nil"/>
              <w:bottom w:val="single" w:sz="4" w:space="0" w:color="000000"/>
              <w:right w:val="single" w:sz="4" w:space="0" w:color="000000"/>
            </w:tcBorders>
            <w:shd w:val="clear" w:color="auto" w:fill="auto"/>
            <w:vAlign w:val="center"/>
            <w:hideMark/>
          </w:tcPr>
          <w:p w14:paraId="4848E013"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2</w:t>
            </w:r>
          </w:p>
        </w:tc>
        <w:tc>
          <w:tcPr>
            <w:tcW w:w="1113" w:type="dxa"/>
            <w:tcBorders>
              <w:top w:val="nil"/>
              <w:left w:val="nil"/>
              <w:bottom w:val="single" w:sz="4" w:space="0" w:color="000000"/>
              <w:right w:val="single" w:sz="4" w:space="0" w:color="000000"/>
            </w:tcBorders>
            <w:shd w:val="clear" w:color="auto" w:fill="auto"/>
            <w:vAlign w:val="center"/>
            <w:hideMark/>
          </w:tcPr>
          <w:p w14:paraId="2EC908C7" w14:textId="451010EB"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0.767</w:t>
            </w:r>
          </w:p>
        </w:tc>
        <w:tc>
          <w:tcPr>
            <w:tcW w:w="1242" w:type="dxa"/>
            <w:tcBorders>
              <w:top w:val="nil"/>
              <w:left w:val="nil"/>
              <w:bottom w:val="single" w:sz="4" w:space="0" w:color="000000"/>
              <w:right w:val="single" w:sz="4" w:space="0" w:color="000000"/>
            </w:tcBorders>
            <w:shd w:val="clear" w:color="auto" w:fill="auto"/>
            <w:vAlign w:val="center"/>
            <w:hideMark/>
          </w:tcPr>
          <w:p w14:paraId="716285E5" w14:textId="358652B1" w:rsidR="00060E91" w:rsidRPr="00BC081A" w:rsidRDefault="00557F2B"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0.868</w:t>
            </w:r>
          </w:p>
        </w:tc>
        <w:tc>
          <w:tcPr>
            <w:tcW w:w="1260" w:type="dxa"/>
            <w:tcBorders>
              <w:top w:val="nil"/>
              <w:left w:val="nil"/>
              <w:bottom w:val="single" w:sz="4" w:space="0" w:color="000000"/>
              <w:right w:val="single" w:sz="4" w:space="0" w:color="000000"/>
            </w:tcBorders>
            <w:shd w:val="clear" w:color="auto" w:fill="auto"/>
            <w:vAlign w:val="center"/>
            <w:hideMark/>
          </w:tcPr>
          <w:p w14:paraId="6BB78698" w14:textId="4BC29710" w:rsidR="00060E91" w:rsidRPr="00BC081A" w:rsidRDefault="00B55EB9"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0.698</w:t>
            </w:r>
          </w:p>
        </w:tc>
      </w:tr>
      <w:tr w:rsidR="00060E91" w:rsidRPr="00BC081A" w14:paraId="41ED2A7F" w14:textId="77777777" w:rsidTr="00060E91">
        <w:trPr>
          <w:trHeight w:val="721"/>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4E3729D0"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Heightened Enjoyment</w:t>
            </w:r>
          </w:p>
        </w:tc>
        <w:tc>
          <w:tcPr>
            <w:tcW w:w="1178" w:type="dxa"/>
            <w:tcBorders>
              <w:top w:val="nil"/>
              <w:left w:val="nil"/>
              <w:bottom w:val="single" w:sz="4" w:space="0" w:color="000000"/>
              <w:right w:val="single" w:sz="4" w:space="0" w:color="000000"/>
            </w:tcBorders>
            <w:shd w:val="clear" w:color="auto" w:fill="auto"/>
            <w:vAlign w:val="center"/>
            <w:hideMark/>
          </w:tcPr>
          <w:p w14:paraId="354BF44B"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4</w:t>
            </w:r>
          </w:p>
        </w:tc>
        <w:tc>
          <w:tcPr>
            <w:tcW w:w="1113" w:type="dxa"/>
            <w:tcBorders>
              <w:top w:val="nil"/>
              <w:left w:val="nil"/>
              <w:bottom w:val="single" w:sz="4" w:space="0" w:color="000000"/>
              <w:right w:val="single" w:sz="4" w:space="0" w:color="000000"/>
            </w:tcBorders>
            <w:shd w:val="clear" w:color="auto" w:fill="auto"/>
            <w:vAlign w:val="center"/>
            <w:hideMark/>
          </w:tcPr>
          <w:p w14:paraId="3DE7B205" w14:textId="20E88409"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0.667</w:t>
            </w:r>
          </w:p>
        </w:tc>
        <w:tc>
          <w:tcPr>
            <w:tcW w:w="1242" w:type="dxa"/>
            <w:tcBorders>
              <w:top w:val="nil"/>
              <w:left w:val="nil"/>
              <w:bottom w:val="single" w:sz="4" w:space="0" w:color="000000"/>
              <w:right w:val="single" w:sz="4" w:space="0" w:color="000000"/>
            </w:tcBorders>
            <w:shd w:val="clear" w:color="auto" w:fill="auto"/>
            <w:vAlign w:val="center"/>
            <w:hideMark/>
          </w:tcPr>
          <w:p w14:paraId="7CA53C4F" w14:textId="2BACA646" w:rsidR="00060E91" w:rsidRPr="00BC081A" w:rsidRDefault="00557F2B"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0.870</w:t>
            </w:r>
          </w:p>
        </w:tc>
        <w:tc>
          <w:tcPr>
            <w:tcW w:w="1260" w:type="dxa"/>
            <w:tcBorders>
              <w:top w:val="nil"/>
              <w:left w:val="nil"/>
              <w:bottom w:val="single" w:sz="4" w:space="0" w:color="000000"/>
              <w:right w:val="single" w:sz="4" w:space="0" w:color="000000"/>
            </w:tcBorders>
            <w:shd w:val="clear" w:color="auto" w:fill="auto"/>
            <w:vAlign w:val="center"/>
            <w:hideMark/>
          </w:tcPr>
          <w:p w14:paraId="6A07A260" w14:textId="03E55A1B" w:rsidR="00060E91" w:rsidRPr="00BC081A" w:rsidRDefault="00B55EB9"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0.783</w:t>
            </w:r>
          </w:p>
        </w:tc>
      </w:tr>
      <w:tr w:rsidR="00060E91" w:rsidRPr="00BC081A" w14:paraId="4CE818E5" w14:textId="77777777" w:rsidTr="00060E91">
        <w:trPr>
          <w:trHeight w:val="688"/>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42841A03"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Temporal Dissociation</w:t>
            </w:r>
          </w:p>
        </w:tc>
        <w:tc>
          <w:tcPr>
            <w:tcW w:w="1178" w:type="dxa"/>
            <w:tcBorders>
              <w:top w:val="nil"/>
              <w:left w:val="nil"/>
              <w:bottom w:val="single" w:sz="4" w:space="0" w:color="000000"/>
              <w:right w:val="single" w:sz="4" w:space="0" w:color="000000"/>
            </w:tcBorders>
            <w:shd w:val="clear" w:color="auto" w:fill="auto"/>
            <w:vAlign w:val="center"/>
            <w:hideMark/>
          </w:tcPr>
          <w:p w14:paraId="60E6B0B1"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3</w:t>
            </w:r>
          </w:p>
        </w:tc>
        <w:tc>
          <w:tcPr>
            <w:tcW w:w="1113" w:type="dxa"/>
            <w:tcBorders>
              <w:top w:val="nil"/>
              <w:left w:val="nil"/>
              <w:bottom w:val="single" w:sz="4" w:space="0" w:color="000000"/>
              <w:right w:val="single" w:sz="4" w:space="0" w:color="000000"/>
            </w:tcBorders>
            <w:shd w:val="clear" w:color="auto" w:fill="auto"/>
            <w:vAlign w:val="center"/>
            <w:hideMark/>
          </w:tcPr>
          <w:p w14:paraId="0D155AB5" w14:textId="050EC306" w:rsidR="00060E91" w:rsidRPr="00BC081A" w:rsidRDefault="0030515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0.700</w:t>
            </w:r>
          </w:p>
        </w:tc>
        <w:tc>
          <w:tcPr>
            <w:tcW w:w="1242" w:type="dxa"/>
            <w:tcBorders>
              <w:top w:val="nil"/>
              <w:left w:val="nil"/>
              <w:bottom w:val="single" w:sz="4" w:space="0" w:color="000000"/>
              <w:right w:val="single" w:sz="4" w:space="0" w:color="000000"/>
            </w:tcBorders>
            <w:shd w:val="clear" w:color="auto" w:fill="auto"/>
            <w:vAlign w:val="center"/>
            <w:hideMark/>
          </w:tcPr>
          <w:p w14:paraId="07459485" w14:textId="6CBE7F3D" w:rsidR="00060E91" w:rsidRPr="00BC081A" w:rsidRDefault="009E589C"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0.875</w:t>
            </w:r>
          </w:p>
        </w:tc>
        <w:tc>
          <w:tcPr>
            <w:tcW w:w="1260" w:type="dxa"/>
            <w:tcBorders>
              <w:top w:val="nil"/>
              <w:left w:val="nil"/>
              <w:bottom w:val="single" w:sz="4" w:space="0" w:color="000000"/>
              <w:right w:val="single" w:sz="4" w:space="0" w:color="000000"/>
            </w:tcBorders>
            <w:shd w:val="clear" w:color="auto" w:fill="auto"/>
            <w:vAlign w:val="center"/>
            <w:hideMark/>
          </w:tcPr>
          <w:p w14:paraId="135F5FBA" w14:textId="7662F6CB" w:rsidR="00060E91" w:rsidRPr="00BC081A" w:rsidRDefault="00B55EB9"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0.792</w:t>
            </w:r>
          </w:p>
        </w:tc>
      </w:tr>
      <w:tr w:rsidR="00060E91" w:rsidRPr="00BC081A" w14:paraId="0D03C57E" w14:textId="77777777" w:rsidTr="00060E91">
        <w:trPr>
          <w:trHeight w:val="600"/>
          <w:jc w:val="center"/>
        </w:trPr>
        <w:tc>
          <w:tcPr>
            <w:tcW w:w="1683" w:type="dxa"/>
            <w:tcBorders>
              <w:top w:val="nil"/>
              <w:left w:val="single" w:sz="4" w:space="0" w:color="000000"/>
              <w:bottom w:val="single" w:sz="4" w:space="0" w:color="000000"/>
              <w:right w:val="single" w:sz="4" w:space="0" w:color="000000"/>
            </w:tcBorders>
            <w:shd w:val="clear" w:color="000000" w:fill="F2F2F2"/>
            <w:vAlign w:val="center"/>
            <w:hideMark/>
          </w:tcPr>
          <w:p w14:paraId="7F0FD71D"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Satisfaction</w:t>
            </w:r>
          </w:p>
        </w:tc>
        <w:tc>
          <w:tcPr>
            <w:tcW w:w="1178" w:type="dxa"/>
            <w:tcBorders>
              <w:top w:val="nil"/>
              <w:left w:val="nil"/>
              <w:bottom w:val="single" w:sz="4" w:space="0" w:color="000000"/>
              <w:right w:val="single" w:sz="4" w:space="0" w:color="000000"/>
            </w:tcBorders>
            <w:shd w:val="clear" w:color="auto" w:fill="auto"/>
            <w:vAlign w:val="center"/>
            <w:hideMark/>
          </w:tcPr>
          <w:p w14:paraId="1DBC7025"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2</w:t>
            </w:r>
          </w:p>
        </w:tc>
        <w:tc>
          <w:tcPr>
            <w:tcW w:w="1113" w:type="dxa"/>
            <w:tcBorders>
              <w:top w:val="nil"/>
              <w:left w:val="nil"/>
              <w:bottom w:val="single" w:sz="4" w:space="0" w:color="000000"/>
              <w:right w:val="single" w:sz="4" w:space="0" w:color="000000"/>
            </w:tcBorders>
            <w:shd w:val="clear" w:color="auto" w:fill="auto"/>
            <w:vAlign w:val="center"/>
            <w:hideMark/>
          </w:tcPr>
          <w:p w14:paraId="6126F19D"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0.919</w:t>
            </w:r>
          </w:p>
        </w:tc>
        <w:tc>
          <w:tcPr>
            <w:tcW w:w="1242" w:type="dxa"/>
            <w:tcBorders>
              <w:top w:val="nil"/>
              <w:left w:val="nil"/>
              <w:bottom w:val="single" w:sz="4" w:space="0" w:color="000000"/>
              <w:right w:val="single" w:sz="4" w:space="0" w:color="000000"/>
            </w:tcBorders>
            <w:shd w:val="clear" w:color="auto" w:fill="auto"/>
            <w:vAlign w:val="center"/>
            <w:hideMark/>
          </w:tcPr>
          <w:p w14:paraId="2E0FFA63"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0.958</w:t>
            </w:r>
          </w:p>
        </w:tc>
        <w:tc>
          <w:tcPr>
            <w:tcW w:w="1260" w:type="dxa"/>
            <w:tcBorders>
              <w:top w:val="nil"/>
              <w:left w:val="nil"/>
              <w:bottom w:val="single" w:sz="4" w:space="0" w:color="000000"/>
              <w:right w:val="single" w:sz="4" w:space="0" w:color="000000"/>
            </w:tcBorders>
            <w:shd w:val="clear" w:color="auto" w:fill="auto"/>
            <w:vAlign w:val="center"/>
            <w:hideMark/>
          </w:tcPr>
          <w:p w14:paraId="36058673" w14:textId="77777777" w:rsidR="00060E91" w:rsidRPr="00BC081A" w:rsidRDefault="00060E91" w:rsidP="00060E91">
            <w:pPr>
              <w:spacing w:line="240" w:lineRule="auto"/>
              <w:ind w:firstLine="0"/>
              <w:jc w:val="center"/>
              <w:rPr>
                <w:rFonts w:eastAsia="Times New Roman" w:cs="Times New Roman"/>
                <w:color w:val="000000"/>
                <w:sz w:val="22"/>
                <w:szCs w:val="22"/>
              </w:rPr>
            </w:pPr>
            <w:r w:rsidRPr="00BC081A">
              <w:rPr>
                <w:rFonts w:eastAsia="Times New Roman" w:cs="Times New Roman"/>
                <w:color w:val="000000"/>
                <w:sz w:val="22"/>
                <w:szCs w:val="22"/>
              </w:rPr>
              <w:t>0.912</w:t>
            </w:r>
          </w:p>
        </w:tc>
      </w:tr>
    </w:tbl>
    <w:p w14:paraId="4DF6477E" w14:textId="77777777" w:rsidR="00C073B0" w:rsidRPr="00BC081A" w:rsidRDefault="00C073B0" w:rsidP="005320A1">
      <w:pPr>
        <w:ind w:firstLine="0"/>
      </w:pPr>
    </w:p>
    <w:p w14:paraId="6181CCBA" w14:textId="5B879720" w:rsidR="00601C7F" w:rsidRPr="00BC081A" w:rsidRDefault="00601C7F" w:rsidP="00601C7F">
      <w:r w:rsidRPr="00BC081A">
        <w:lastRenderedPageBreak/>
        <w:fldChar w:fldCharType="begin" w:fldLock="1"/>
      </w:r>
      <w:r w:rsidR="00AC1F7D">
        <w:instrText>ADDIN CSL_CITATION { "citationItems" : [ { "id" : "ITEM-1", "itemData" : { "author" : [ { "dropping-particle" : "", "family" : "Fornell", "given" : "Claes", "non-dropping-particle" : "", "parse-names" : false, "suffix" : "" }, { "dropping-particle" : "", "family" : "Larcker", "given" : "David F", "non-dropping-particle" : "", "parse-names" : false, "suffix" : "" } ], "container-title" : "Journal of marketing research", "id" : "ITEM-1", "issued" : { "date-parts" : [ [ "1981" ] ] }, "page" : "39-50", "publisher" : "JSTOR", "title" : "Evaluating structural equation models with unobservable variables and measurement error", "type" : "article-journal" }, "uris" : [ "http://www.mendeley.com/documents/?uuid=625bcfad-5269-4ce3-8d41-a1a8fa1128b4" ] } ], "mendeley" : { "manualFormatting" : "Fornell &amp; Larcker (1981)", "previouslyFormattedCitation" : "(Fornell &amp; Larcker, 1981)" }, "properties" : { "noteIndex" : 0 }, "schema" : "https://github.com/citation-style-language/schema/raw/master/csl-citation.json" }</w:instrText>
      </w:r>
      <w:r w:rsidRPr="00BC081A">
        <w:fldChar w:fldCharType="separate"/>
      </w:r>
      <w:r w:rsidRPr="00BC081A">
        <w:rPr>
          <w:noProof/>
        </w:rPr>
        <w:t>Fornell &amp; Larcker (1981)</w:t>
      </w:r>
      <w:r w:rsidRPr="00BC081A">
        <w:fldChar w:fldCharType="end"/>
      </w:r>
      <w:r w:rsidRPr="00BC081A">
        <w:t xml:space="preserve"> explain that if a construct meets these requirements for reliability, </w:t>
      </w:r>
      <w:r w:rsidR="009C0EC9">
        <w:t>it</w:t>
      </w:r>
      <w:r w:rsidRPr="00BC081A">
        <w:t xml:space="preserve"> can </w:t>
      </w:r>
      <w:r w:rsidR="009C0EC9">
        <w:t xml:space="preserve">be </w:t>
      </w:r>
      <w:r w:rsidRPr="00BC081A">
        <w:t>conclude</w:t>
      </w:r>
      <w:r w:rsidR="009C0EC9">
        <w:t>d</w:t>
      </w:r>
      <w:r w:rsidRPr="00BC081A">
        <w:t xml:space="preserve"> that the construct has convergent validity. Therefore, </w:t>
      </w:r>
      <w:r w:rsidR="009C0EC9">
        <w:t xml:space="preserve">it </w:t>
      </w:r>
      <w:r w:rsidRPr="00BC081A">
        <w:t xml:space="preserve">can </w:t>
      </w:r>
      <w:r w:rsidR="009C0EC9">
        <w:t xml:space="preserve">be said </w:t>
      </w:r>
      <w:r w:rsidRPr="00BC081A">
        <w:t xml:space="preserve">that each of the items in </w:t>
      </w:r>
      <w:r w:rsidR="003D40C4">
        <w:t>the proposed</w:t>
      </w:r>
      <w:r w:rsidRPr="00BC081A">
        <w:t xml:space="preserve"> model loads on its own latent construct strongly, indicating high convergent validity. </w:t>
      </w:r>
    </w:p>
    <w:p w14:paraId="323AD163" w14:textId="6C9BCF8B" w:rsidR="00CC0234" w:rsidRPr="00BC081A" w:rsidRDefault="00A260C7" w:rsidP="002077A2">
      <w:r w:rsidRPr="00BC081A">
        <w:t xml:space="preserve">Discriminant validity </w:t>
      </w:r>
      <w:r w:rsidR="00E75210" w:rsidRPr="00BC081A">
        <w:t>enables us to check w</w:t>
      </w:r>
      <w:r w:rsidR="00EA2205" w:rsidRPr="00BC081A">
        <w:t>h</w:t>
      </w:r>
      <w:r w:rsidR="00E75210" w:rsidRPr="00BC081A">
        <w:t>et</w:t>
      </w:r>
      <w:r w:rsidR="00EA2205" w:rsidRPr="00BC081A">
        <w:t>h</w:t>
      </w:r>
      <w:r w:rsidR="00E75210" w:rsidRPr="00BC081A">
        <w:t xml:space="preserve">er the items of a construct are only related to that construct and no other construct in the model. </w:t>
      </w:r>
      <w:r w:rsidR="00CC0234" w:rsidRPr="00BC081A">
        <w:t>In order to test the discriminan</w:t>
      </w:r>
      <w:r w:rsidRPr="00BC081A">
        <w:t>t validity of</w:t>
      </w:r>
      <w:r w:rsidR="009C08EC" w:rsidRPr="00BC081A">
        <w:t xml:space="preserve"> the</w:t>
      </w:r>
      <w:r w:rsidRPr="00BC081A">
        <w:t xml:space="preserve"> </w:t>
      </w:r>
      <w:r w:rsidR="00E75210" w:rsidRPr="00BC081A">
        <w:t xml:space="preserve">evaluated </w:t>
      </w:r>
      <w:r w:rsidRPr="00BC081A">
        <w:t>constructs</w:t>
      </w:r>
      <w:r w:rsidR="00E75210" w:rsidRPr="00BC081A">
        <w:t xml:space="preserve">, </w:t>
      </w:r>
      <w:r w:rsidR="00301569" w:rsidRPr="00BC081A">
        <w:t xml:space="preserve">a confirmatory factor analysis </w:t>
      </w:r>
      <w:r w:rsidR="00124D67" w:rsidRPr="00BC081A">
        <w:t xml:space="preserve">(CFA) </w:t>
      </w:r>
      <w:r w:rsidR="00301569" w:rsidRPr="00BC081A">
        <w:t>was conducted to generate a</w:t>
      </w:r>
      <w:r w:rsidR="00E75210" w:rsidRPr="00BC081A">
        <w:t xml:space="preserve"> matrix of </w:t>
      </w:r>
      <w:r w:rsidR="001D68BE">
        <w:t xml:space="preserve">loadings and </w:t>
      </w:r>
      <w:r w:rsidR="00E75210" w:rsidRPr="00BC081A">
        <w:t>cross loadings</w:t>
      </w:r>
      <w:r w:rsidR="00E16301" w:rsidRPr="00BC081A">
        <w:t>. Each item was carefully examined and confirmed to load on</w:t>
      </w:r>
      <w:r w:rsidR="00E75210" w:rsidRPr="00BC081A">
        <w:t xml:space="preserve"> its corresponding construct stronger than other constructs</w:t>
      </w:r>
      <w:r w:rsidR="00C44C33" w:rsidRPr="00BC081A">
        <w:t xml:space="preserve"> </w:t>
      </w:r>
      <w:r w:rsidR="00E16301" w:rsidRPr="00BC081A">
        <w:t xml:space="preserve">as per the </w:t>
      </w:r>
      <w:proofErr w:type="spellStart"/>
      <w:r w:rsidR="006F2DEB" w:rsidRPr="00BC081A">
        <w:t>Gefen</w:t>
      </w:r>
      <w:proofErr w:type="spellEnd"/>
      <w:r w:rsidR="006F2DEB" w:rsidRPr="00BC081A">
        <w:t xml:space="preserve"> and Straub’s</w:t>
      </w:r>
      <w:r w:rsidR="0055735D" w:rsidRPr="00BC081A">
        <w:t xml:space="preserve"> </w:t>
      </w:r>
      <w:r w:rsidR="006F2DEB" w:rsidRPr="00BC081A">
        <w:fldChar w:fldCharType="begin" w:fldLock="1"/>
      </w:r>
      <w:r w:rsidR="00AC1F7D">
        <w:instrText>ADDIN CSL_CITATION { "citationItems" : [ { "id" : "ITEM-1", "itemData" : { "author" : [ { "dropping-particle" : "", "family" : "Gefen", "given" : "David", "non-dropping-particle" : "", "parse-names" : false, "suffix" : "" }, { "dropping-particle" : "", "family" : "Straub", "given" : "Detmar", "non-dropping-particle" : "", "parse-names" : false, "suffix" : "" } ], "container-title" : "Communications of the Association for Information systems", "id" : "ITEM-1", "issue" : "1", "issued" : { "date-parts" : [ [ "2005" ] ] }, "page" : "5", "title" : "A practical guide to factorial validity using PLS-Graph: Tutorial and annotated example", "type" : "article-journal", "volume" : "16" }, "suppress-author" : 1, "uris" : [ "http://www.mendeley.com/documents/?uuid=f4416d7b-a900-4572-aac5-1cd67f79ef80" ] } ], "mendeley" : { "previouslyFormattedCitation" : "(2005)" }, "properties" : { "noteIndex" : 0 }, "schema" : "https://github.com/citation-style-language/schema/raw/master/csl-citation.json" }</w:instrText>
      </w:r>
      <w:r w:rsidR="006F2DEB" w:rsidRPr="00BC081A">
        <w:fldChar w:fldCharType="separate"/>
      </w:r>
      <w:r w:rsidR="006F2DEB" w:rsidRPr="00BC081A">
        <w:rPr>
          <w:noProof/>
        </w:rPr>
        <w:t>(2005)</w:t>
      </w:r>
      <w:r w:rsidR="006F2DEB" w:rsidRPr="00BC081A">
        <w:fldChar w:fldCharType="end"/>
      </w:r>
      <w:r w:rsidR="006F2DEB" w:rsidRPr="00BC081A">
        <w:t xml:space="preserve"> guideline</w:t>
      </w:r>
      <w:r w:rsidR="00F130E1">
        <w:t xml:space="preserve"> of testing for CFA</w:t>
      </w:r>
      <w:r w:rsidR="003B5F34" w:rsidRPr="00BC081A">
        <w:t xml:space="preserve">. </w:t>
      </w:r>
      <w:r w:rsidR="002B4851" w:rsidRPr="00BC081A">
        <w:t xml:space="preserve">The only item that seems to be problematic is Heightened Enjoyment 1 (HE1: “Playing the game bored me”), </w:t>
      </w:r>
      <w:r w:rsidR="0021138A" w:rsidRPr="00BC081A">
        <w:t>which had to be removed f</w:t>
      </w:r>
      <w:r w:rsidR="00D74F09">
        <w:t>rom</w:t>
      </w:r>
      <w:r w:rsidR="0021138A" w:rsidRPr="00BC081A">
        <w:t xml:space="preserve"> the rest of the analysis </w:t>
      </w:r>
      <w:r w:rsidR="00D74F09">
        <w:t xml:space="preserve">as its loading on the HE construct was not at least one order of magnitude larger than its cross-loading on other constructs. </w:t>
      </w:r>
    </w:p>
    <w:p w14:paraId="4828384F" w14:textId="1251243C" w:rsidR="00E21C44" w:rsidRPr="00BC081A" w:rsidRDefault="00E21C44" w:rsidP="00C92D78">
      <w:pPr>
        <w:pStyle w:val="Caption"/>
      </w:pPr>
      <w:bookmarkStart w:id="77" w:name="_Ref267327824"/>
      <w:bookmarkStart w:id="78" w:name="_Toc275209763"/>
      <w:r w:rsidRPr="00BC081A">
        <w:t xml:space="preserve">Table </w:t>
      </w:r>
      <w:r w:rsidR="007804FF">
        <w:fldChar w:fldCharType="begin"/>
      </w:r>
      <w:r w:rsidR="007804FF">
        <w:instrText xml:space="preserve"> SEQ Table \* ARABIC </w:instrText>
      </w:r>
      <w:r w:rsidR="007804FF">
        <w:fldChar w:fldCharType="separate"/>
      </w:r>
      <w:r w:rsidR="008C71FB">
        <w:rPr>
          <w:noProof/>
        </w:rPr>
        <w:t>5</w:t>
      </w:r>
      <w:r w:rsidR="007804FF">
        <w:rPr>
          <w:noProof/>
        </w:rPr>
        <w:fldChar w:fldCharType="end"/>
      </w:r>
      <w:bookmarkEnd w:id="77"/>
      <w:r w:rsidRPr="00BC081A">
        <w:t xml:space="preserve"> – Cross Loadings Matrix for al the First-Order Constructs (significant at 0.001)</w:t>
      </w:r>
      <w:bookmarkEnd w:id="78"/>
    </w:p>
    <w:tbl>
      <w:tblPr>
        <w:tblW w:w="8754" w:type="dxa"/>
        <w:jc w:val="center"/>
        <w:tblInd w:w="93" w:type="dxa"/>
        <w:tblLook w:val="04A0" w:firstRow="1" w:lastRow="0" w:firstColumn="1" w:lastColumn="0" w:noHBand="0" w:noVBand="1"/>
      </w:tblPr>
      <w:tblGrid>
        <w:gridCol w:w="1095"/>
        <w:gridCol w:w="974"/>
        <w:gridCol w:w="841"/>
        <w:gridCol w:w="953"/>
        <w:gridCol w:w="803"/>
        <w:gridCol w:w="761"/>
        <w:gridCol w:w="826"/>
        <w:gridCol w:w="761"/>
        <w:gridCol w:w="854"/>
        <w:gridCol w:w="886"/>
      </w:tblGrid>
      <w:tr w:rsidR="003B5F34" w:rsidRPr="00BC081A" w14:paraId="594CBBDC" w14:textId="77777777" w:rsidTr="008C71FB">
        <w:trPr>
          <w:trHeight w:val="300"/>
          <w:jc w:val="center"/>
        </w:trPr>
        <w:tc>
          <w:tcPr>
            <w:tcW w:w="10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2E2FD1"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 </w:t>
            </w:r>
          </w:p>
        </w:tc>
        <w:tc>
          <w:tcPr>
            <w:tcW w:w="925"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01ED2AEA" w14:textId="37810F38"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t>DCompt</w:t>
            </w:r>
            <w:proofErr w:type="spellEnd"/>
          </w:p>
        </w:tc>
        <w:tc>
          <w:tcPr>
            <w:tcW w:w="858"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0293F927"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w:t>
            </w:r>
          </w:p>
        </w:tc>
        <w:tc>
          <w:tcPr>
            <w:tcW w:w="934"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01C9EBBF" w14:textId="47058854"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t>SCompt</w:t>
            </w:r>
            <w:proofErr w:type="spellEnd"/>
          </w:p>
        </w:tc>
        <w:tc>
          <w:tcPr>
            <w:tcW w:w="812"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3A65A6B2"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t>Ch</w:t>
            </w:r>
            <w:proofErr w:type="spellEnd"/>
          </w:p>
        </w:tc>
        <w:tc>
          <w:tcPr>
            <w:tcW w:w="761"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68B8C23C"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w:t>
            </w:r>
          </w:p>
        </w:tc>
        <w:tc>
          <w:tcPr>
            <w:tcW w:w="840"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13006B0A"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FI</w:t>
            </w:r>
          </w:p>
        </w:tc>
        <w:tc>
          <w:tcPr>
            <w:tcW w:w="761"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1217200C"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w:t>
            </w:r>
          </w:p>
        </w:tc>
        <w:tc>
          <w:tcPr>
            <w:tcW w:w="873"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1C3535CB"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TD</w:t>
            </w:r>
          </w:p>
        </w:tc>
        <w:tc>
          <w:tcPr>
            <w:tcW w:w="912"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14:paraId="405D6086"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SA</w:t>
            </w:r>
          </w:p>
        </w:tc>
      </w:tr>
      <w:tr w:rsidR="003B5F34" w:rsidRPr="00BC081A" w14:paraId="6D84B75A"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CFD630" w14:textId="3D47D458"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D</w:t>
            </w:r>
            <w:r w:rsidR="00E21C44" w:rsidRPr="00BC081A">
              <w:rPr>
                <w:rFonts w:ascii="Verdana" w:eastAsia="Times New Roman" w:hAnsi="Verdana" w:cs="Times New Roman"/>
                <w:b/>
                <w:bCs/>
                <w:color w:val="000000"/>
                <w:sz w:val="17"/>
                <w:szCs w:val="17"/>
              </w:rPr>
              <w:t>Compt1</w:t>
            </w:r>
          </w:p>
        </w:tc>
        <w:tc>
          <w:tcPr>
            <w:tcW w:w="925" w:type="dxa"/>
            <w:tcBorders>
              <w:top w:val="nil"/>
              <w:left w:val="nil"/>
              <w:bottom w:val="single" w:sz="6" w:space="0" w:color="auto"/>
              <w:right w:val="single" w:sz="6" w:space="0" w:color="auto"/>
            </w:tcBorders>
            <w:shd w:val="clear" w:color="auto" w:fill="auto"/>
            <w:vAlign w:val="center"/>
            <w:hideMark/>
          </w:tcPr>
          <w:p w14:paraId="1358E587"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0.583</w:t>
            </w:r>
          </w:p>
        </w:tc>
        <w:tc>
          <w:tcPr>
            <w:tcW w:w="858" w:type="dxa"/>
            <w:tcBorders>
              <w:top w:val="nil"/>
              <w:left w:val="nil"/>
              <w:bottom w:val="single" w:sz="6" w:space="0" w:color="auto"/>
              <w:right w:val="single" w:sz="6" w:space="0" w:color="auto"/>
            </w:tcBorders>
            <w:shd w:val="clear" w:color="auto" w:fill="auto"/>
            <w:vAlign w:val="center"/>
            <w:hideMark/>
          </w:tcPr>
          <w:p w14:paraId="546A29B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0.052</w:t>
            </w:r>
          </w:p>
        </w:tc>
        <w:tc>
          <w:tcPr>
            <w:tcW w:w="934" w:type="dxa"/>
            <w:tcBorders>
              <w:top w:val="nil"/>
              <w:left w:val="nil"/>
              <w:bottom w:val="single" w:sz="6" w:space="0" w:color="auto"/>
              <w:right w:val="single" w:sz="6" w:space="0" w:color="auto"/>
            </w:tcBorders>
            <w:shd w:val="clear" w:color="auto" w:fill="auto"/>
            <w:vAlign w:val="center"/>
            <w:hideMark/>
          </w:tcPr>
          <w:p w14:paraId="07CEF16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0.181</w:t>
            </w:r>
          </w:p>
        </w:tc>
        <w:tc>
          <w:tcPr>
            <w:tcW w:w="812" w:type="dxa"/>
            <w:tcBorders>
              <w:top w:val="nil"/>
              <w:left w:val="nil"/>
              <w:bottom w:val="single" w:sz="6" w:space="0" w:color="auto"/>
              <w:right w:val="single" w:sz="6" w:space="0" w:color="auto"/>
            </w:tcBorders>
            <w:shd w:val="clear" w:color="auto" w:fill="auto"/>
            <w:vAlign w:val="center"/>
            <w:hideMark/>
          </w:tcPr>
          <w:p w14:paraId="290FBE6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0.054</w:t>
            </w:r>
          </w:p>
        </w:tc>
        <w:tc>
          <w:tcPr>
            <w:tcW w:w="761" w:type="dxa"/>
            <w:tcBorders>
              <w:top w:val="nil"/>
              <w:left w:val="nil"/>
              <w:bottom w:val="single" w:sz="6" w:space="0" w:color="auto"/>
              <w:right w:val="single" w:sz="6" w:space="0" w:color="auto"/>
            </w:tcBorders>
            <w:shd w:val="clear" w:color="auto" w:fill="auto"/>
            <w:vAlign w:val="center"/>
            <w:hideMark/>
          </w:tcPr>
          <w:p w14:paraId="5C095CC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0.167</w:t>
            </w:r>
          </w:p>
        </w:tc>
        <w:tc>
          <w:tcPr>
            <w:tcW w:w="840" w:type="dxa"/>
            <w:tcBorders>
              <w:top w:val="nil"/>
              <w:left w:val="nil"/>
              <w:bottom w:val="single" w:sz="6" w:space="0" w:color="auto"/>
              <w:right w:val="single" w:sz="6" w:space="0" w:color="auto"/>
            </w:tcBorders>
            <w:shd w:val="clear" w:color="auto" w:fill="auto"/>
            <w:vAlign w:val="center"/>
            <w:hideMark/>
          </w:tcPr>
          <w:p w14:paraId="6E38F77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0.066</w:t>
            </w:r>
          </w:p>
        </w:tc>
        <w:tc>
          <w:tcPr>
            <w:tcW w:w="761" w:type="dxa"/>
            <w:tcBorders>
              <w:top w:val="nil"/>
              <w:left w:val="nil"/>
              <w:bottom w:val="single" w:sz="4" w:space="0" w:color="auto"/>
              <w:right w:val="single" w:sz="4" w:space="0" w:color="auto"/>
            </w:tcBorders>
            <w:shd w:val="clear" w:color="auto" w:fill="auto"/>
            <w:vAlign w:val="center"/>
            <w:hideMark/>
          </w:tcPr>
          <w:p w14:paraId="1A7A5A6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0.142</w:t>
            </w:r>
          </w:p>
        </w:tc>
        <w:tc>
          <w:tcPr>
            <w:tcW w:w="873" w:type="dxa"/>
            <w:tcBorders>
              <w:top w:val="nil"/>
              <w:left w:val="nil"/>
              <w:bottom w:val="single" w:sz="6" w:space="0" w:color="auto"/>
              <w:right w:val="single" w:sz="6" w:space="0" w:color="auto"/>
            </w:tcBorders>
            <w:shd w:val="clear" w:color="auto" w:fill="auto"/>
            <w:vAlign w:val="center"/>
            <w:hideMark/>
          </w:tcPr>
          <w:p w14:paraId="62EB416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0.084</w:t>
            </w:r>
          </w:p>
        </w:tc>
        <w:tc>
          <w:tcPr>
            <w:tcW w:w="912" w:type="dxa"/>
            <w:tcBorders>
              <w:top w:val="nil"/>
              <w:left w:val="nil"/>
              <w:bottom w:val="single" w:sz="4" w:space="0" w:color="auto"/>
              <w:right w:val="single" w:sz="4" w:space="0" w:color="auto"/>
            </w:tcBorders>
            <w:shd w:val="clear" w:color="auto" w:fill="auto"/>
            <w:vAlign w:val="center"/>
            <w:hideMark/>
          </w:tcPr>
          <w:p w14:paraId="76386B9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0.249</w:t>
            </w:r>
          </w:p>
        </w:tc>
      </w:tr>
      <w:tr w:rsidR="003B5F34" w:rsidRPr="00BC081A" w14:paraId="676153F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7AF1C2" w14:textId="2553362A"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DCompt</w:t>
            </w:r>
            <w:r w:rsidR="00E21C44" w:rsidRPr="00BC081A">
              <w:rPr>
                <w:rFonts w:ascii="Verdana" w:eastAsia="Times New Roman" w:hAnsi="Verdana" w:cs="Times New Roman"/>
                <w:b/>
                <w:bCs/>
                <w:color w:val="000000"/>
                <w:sz w:val="17"/>
                <w:szCs w:val="17"/>
              </w:rPr>
              <w:t>2</w:t>
            </w:r>
          </w:p>
        </w:tc>
        <w:tc>
          <w:tcPr>
            <w:tcW w:w="925" w:type="dxa"/>
            <w:tcBorders>
              <w:top w:val="nil"/>
              <w:left w:val="nil"/>
              <w:bottom w:val="single" w:sz="6" w:space="0" w:color="auto"/>
              <w:right w:val="single" w:sz="6" w:space="0" w:color="auto"/>
            </w:tcBorders>
            <w:shd w:val="clear" w:color="auto" w:fill="auto"/>
            <w:vAlign w:val="center"/>
            <w:hideMark/>
          </w:tcPr>
          <w:p w14:paraId="62994EE8"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0.823</w:t>
            </w:r>
          </w:p>
        </w:tc>
        <w:tc>
          <w:tcPr>
            <w:tcW w:w="858" w:type="dxa"/>
            <w:tcBorders>
              <w:top w:val="nil"/>
              <w:left w:val="nil"/>
              <w:bottom w:val="single" w:sz="6" w:space="0" w:color="auto"/>
              <w:right w:val="single" w:sz="6" w:space="0" w:color="auto"/>
            </w:tcBorders>
            <w:shd w:val="clear" w:color="auto" w:fill="auto"/>
            <w:vAlign w:val="center"/>
            <w:hideMark/>
          </w:tcPr>
          <w:p w14:paraId="2E74F34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0.089</w:t>
            </w:r>
          </w:p>
        </w:tc>
        <w:tc>
          <w:tcPr>
            <w:tcW w:w="934" w:type="dxa"/>
            <w:tcBorders>
              <w:top w:val="nil"/>
              <w:left w:val="nil"/>
              <w:bottom w:val="single" w:sz="6" w:space="0" w:color="auto"/>
              <w:right w:val="single" w:sz="6" w:space="0" w:color="auto"/>
            </w:tcBorders>
            <w:shd w:val="clear" w:color="auto" w:fill="auto"/>
            <w:vAlign w:val="center"/>
            <w:hideMark/>
          </w:tcPr>
          <w:p w14:paraId="57A67C5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0.243</w:t>
            </w:r>
          </w:p>
        </w:tc>
        <w:tc>
          <w:tcPr>
            <w:tcW w:w="812" w:type="dxa"/>
            <w:tcBorders>
              <w:top w:val="nil"/>
              <w:left w:val="nil"/>
              <w:bottom w:val="single" w:sz="6" w:space="0" w:color="auto"/>
              <w:right w:val="single" w:sz="6" w:space="0" w:color="auto"/>
            </w:tcBorders>
            <w:shd w:val="clear" w:color="auto" w:fill="auto"/>
            <w:vAlign w:val="center"/>
            <w:hideMark/>
          </w:tcPr>
          <w:p w14:paraId="28FD8F6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0.140</w:t>
            </w:r>
          </w:p>
        </w:tc>
        <w:tc>
          <w:tcPr>
            <w:tcW w:w="761" w:type="dxa"/>
            <w:tcBorders>
              <w:top w:val="nil"/>
              <w:left w:val="nil"/>
              <w:bottom w:val="single" w:sz="6" w:space="0" w:color="auto"/>
              <w:right w:val="single" w:sz="6" w:space="0" w:color="auto"/>
            </w:tcBorders>
            <w:shd w:val="clear" w:color="auto" w:fill="auto"/>
            <w:vAlign w:val="center"/>
            <w:hideMark/>
          </w:tcPr>
          <w:p w14:paraId="2273C5F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0.166</w:t>
            </w:r>
          </w:p>
        </w:tc>
        <w:tc>
          <w:tcPr>
            <w:tcW w:w="840" w:type="dxa"/>
            <w:tcBorders>
              <w:top w:val="nil"/>
              <w:left w:val="nil"/>
              <w:bottom w:val="single" w:sz="6" w:space="0" w:color="auto"/>
              <w:right w:val="single" w:sz="6" w:space="0" w:color="auto"/>
            </w:tcBorders>
            <w:shd w:val="clear" w:color="auto" w:fill="auto"/>
            <w:vAlign w:val="center"/>
            <w:hideMark/>
          </w:tcPr>
          <w:p w14:paraId="4E7ED3F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0.049</w:t>
            </w:r>
          </w:p>
        </w:tc>
        <w:tc>
          <w:tcPr>
            <w:tcW w:w="761" w:type="dxa"/>
            <w:tcBorders>
              <w:top w:val="nil"/>
              <w:left w:val="nil"/>
              <w:bottom w:val="single" w:sz="4" w:space="0" w:color="auto"/>
              <w:right w:val="single" w:sz="4" w:space="0" w:color="auto"/>
            </w:tcBorders>
            <w:shd w:val="clear" w:color="auto" w:fill="auto"/>
            <w:vAlign w:val="center"/>
            <w:hideMark/>
          </w:tcPr>
          <w:p w14:paraId="7295D9B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0.223</w:t>
            </w:r>
          </w:p>
        </w:tc>
        <w:tc>
          <w:tcPr>
            <w:tcW w:w="873" w:type="dxa"/>
            <w:tcBorders>
              <w:top w:val="nil"/>
              <w:left w:val="nil"/>
              <w:bottom w:val="single" w:sz="6" w:space="0" w:color="auto"/>
              <w:right w:val="single" w:sz="6" w:space="0" w:color="auto"/>
            </w:tcBorders>
            <w:shd w:val="clear" w:color="auto" w:fill="auto"/>
            <w:vAlign w:val="center"/>
            <w:hideMark/>
          </w:tcPr>
          <w:p w14:paraId="79CECD9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0.060</w:t>
            </w:r>
          </w:p>
        </w:tc>
        <w:tc>
          <w:tcPr>
            <w:tcW w:w="912" w:type="dxa"/>
            <w:tcBorders>
              <w:top w:val="nil"/>
              <w:left w:val="nil"/>
              <w:bottom w:val="single" w:sz="4" w:space="0" w:color="auto"/>
              <w:right w:val="single" w:sz="4" w:space="0" w:color="auto"/>
            </w:tcBorders>
            <w:shd w:val="clear" w:color="auto" w:fill="auto"/>
            <w:vAlign w:val="center"/>
            <w:hideMark/>
          </w:tcPr>
          <w:p w14:paraId="0DB156F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0.111</w:t>
            </w:r>
          </w:p>
        </w:tc>
      </w:tr>
      <w:tr w:rsidR="003B5F34" w:rsidRPr="00BC081A" w14:paraId="1D9BD611"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DEDA3D" w14:textId="22310C41"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DCompt</w:t>
            </w:r>
            <w:r w:rsidR="00E21C44" w:rsidRPr="00BC081A">
              <w:rPr>
                <w:rFonts w:ascii="Verdana" w:eastAsia="Times New Roman" w:hAnsi="Verdana" w:cs="Times New Roman"/>
                <w:b/>
                <w:bCs/>
                <w:color w:val="000000"/>
                <w:sz w:val="17"/>
                <w:szCs w:val="17"/>
              </w:rPr>
              <w:t>3</w:t>
            </w:r>
          </w:p>
        </w:tc>
        <w:tc>
          <w:tcPr>
            <w:tcW w:w="925" w:type="dxa"/>
            <w:tcBorders>
              <w:top w:val="nil"/>
              <w:left w:val="nil"/>
              <w:bottom w:val="single" w:sz="6" w:space="0" w:color="auto"/>
              <w:right w:val="single" w:sz="6" w:space="0" w:color="auto"/>
            </w:tcBorders>
            <w:shd w:val="clear" w:color="auto" w:fill="auto"/>
            <w:vAlign w:val="center"/>
            <w:hideMark/>
          </w:tcPr>
          <w:p w14:paraId="4F670FC8"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0.717</w:t>
            </w:r>
          </w:p>
        </w:tc>
        <w:tc>
          <w:tcPr>
            <w:tcW w:w="858" w:type="dxa"/>
            <w:tcBorders>
              <w:top w:val="nil"/>
              <w:left w:val="nil"/>
              <w:bottom w:val="single" w:sz="6" w:space="0" w:color="auto"/>
              <w:right w:val="single" w:sz="6" w:space="0" w:color="auto"/>
            </w:tcBorders>
            <w:shd w:val="clear" w:color="auto" w:fill="auto"/>
            <w:vAlign w:val="center"/>
            <w:hideMark/>
          </w:tcPr>
          <w:p w14:paraId="3FD5394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0.146</w:t>
            </w:r>
          </w:p>
        </w:tc>
        <w:tc>
          <w:tcPr>
            <w:tcW w:w="934" w:type="dxa"/>
            <w:tcBorders>
              <w:top w:val="nil"/>
              <w:left w:val="nil"/>
              <w:bottom w:val="single" w:sz="6" w:space="0" w:color="auto"/>
              <w:right w:val="single" w:sz="6" w:space="0" w:color="auto"/>
            </w:tcBorders>
            <w:shd w:val="clear" w:color="auto" w:fill="auto"/>
            <w:vAlign w:val="center"/>
            <w:hideMark/>
          </w:tcPr>
          <w:p w14:paraId="72035FE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0.154</w:t>
            </w:r>
          </w:p>
        </w:tc>
        <w:tc>
          <w:tcPr>
            <w:tcW w:w="812" w:type="dxa"/>
            <w:tcBorders>
              <w:top w:val="nil"/>
              <w:left w:val="nil"/>
              <w:bottom w:val="single" w:sz="6" w:space="0" w:color="auto"/>
              <w:right w:val="single" w:sz="6" w:space="0" w:color="auto"/>
            </w:tcBorders>
            <w:shd w:val="clear" w:color="auto" w:fill="auto"/>
            <w:vAlign w:val="center"/>
            <w:hideMark/>
          </w:tcPr>
          <w:p w14:paraId="0682746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0.066</w:t>
            </w:r>
          </w:p>
        </w:tc>
        <w:tc>
          <w:tcPr>
            <w:tcW w:w="761" w:type="dxa"/>
            <w:tcBorders>
              <w:top w:val="nil"/>
              <w:left w:val="nil"/>
              <w:bottom w:val="single" w:sz="6" w:space="0" w:color="auto"/>
              <w:right w:val="single" w:sz="6" w:space="0" w:color="auto"/>
            </w:tcBorders>
            <w:shd w:val="clear" w:color="auto" w:fill="auto"/>
            <w:vAlign w:val="center"/>
            <w:hideMark/>
          </w:tcPr>
          <w:p w14:paraId="55B8BE2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0.112</w:t>
            </w:r>
          </w:p>
        </w:tc>
        <w:tc>
          <w:tcPr>
            <w:tcW w:w="840" w:type="dxa"/>
            <w:tcBorders>
              <w:top w:val="nil"/>
              <w:left w:val="nil"/>
              <w:bottom w:val="single" w:sz="6" w:space="0" w:color="auto"/>
              <w:right w:val="single" w:sz="6" w:space="0" w:color="auto"/>
            </w:tcBorders>
            <w:shd w:val="clear" w:color="auto" w:fill="auto"/>
            <w:vAlign w:val="center"/>
            <w:hideMark/>
          </w:tcPr>
          <w:p w14:paraId="2B64C2F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0.039</w:t>
            </w:r>
          </w:p>
        </w:tc>
        <w:tc>
          <w:tcPr>
            <w:tcW w:w="761" w:type="dxa"/>
            <w:tcBorders>
              <w:top w:val="nil"/>
              <w:left w:val="nil"/>
              <w:bottom w:val="single" w:sz="4" w:space="0" w:color="auto"/>
              <w:right w:val="single" w:sz="4" w:space="0" w:color="auto"/>
            </w:tcBorders>
            <w:shd w:val="clear" w:color="auto" w:fill="auto"/>
            <w:vAlign w:val="center"/>
            <w:hideMark/>
          </w:tcPr>
          <w:p w14:paraId="5398C99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0.127</w:t>
            </w:r>
          </w:p>
        </w:tc>
        <w:tc>
          <w:tcPr>
            <w:tcW w:w="873" w:type="dxa"/>
            <w:tcBorders>
              <w:top w:val="nil"/>
              <w:left w:val="nil"/>
              <w:bottom w:val="single" w:sz="6" w:space="0" w:color="auto"/>
              <w:right w:val="single" w:sz="6" w:space="0" w:color="auto"/>
            </w:tcBorders>
            <w:shd w:val="clear" w:color="auto" w:fill="auto"/>
            <w:vAlign w:val="center"/>
            <w:hideMark/>
          </w:tcPr>
          <w:p w14:paraId="277B48E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0.076</w:t>
            </w:r>
          </w:p>
        </w:tc>
        <w:tc>
          <w:tcPr>
            <w:tcW w:w="912" w:type="dxa"/>
            <w:tcBorders>
              <w:top w:val="nil"/>
              <w:left w:val="nil"/>
              <w:bottom w:val="single" w:sz="4" w:space="0" w:color="auto"/>
              <w:right w:val="single" w:sz="4" w:space="0" w:color="auto"/>
            </w:tcBorders>
            <w:shd w:val="clear" w:color="auto" w:fill="auto"/>
            <w:vAlign w:val="center"/>
            <w:hideMark/>
          </w:tcPr>
          <w:p w14:paraId="3FA7A61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-0.043</w:t>
            </w:r>
          </w:p>
        </w:tc>
      </w:tr>
      <w:tr w:rsidR="003B5F34" w:rsidRPr="00BC081A" w14:paraId="08976D54"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6FFA80" w14:textId="493EFE52"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DCompt</w:t>
            </w:r>
            <w:r w:rsidR="00E21C44" w:rsidRPr="00BC081A">
              <w:rPr>
                <w:rFonts w:ascii="Verdana" w:eastAsia="Times New Roman" w:hAnsi="Verdana" w:cs="Times New Roman"/>
                <w:b/>
                <w:bCs/>
                <w:color w:val="000000"/>
                <w:sz w:val="17"/>
                <w:szCs w:val="17"/>
              </w:rPr>
              <w:t>4</w:t>
            </w:r>
          </w:p>
        </w:tc>
        <w:tc>
          <w:tcPr>
            <w:tcW w:w="925" w:type="dxa"/>
            <w:tcBorders>
              <w:top w:val="nil"/>
              <w:left w:val="nil"/>
              <w:bottom w:val="single" w:sz="6" w:space="0" w:color="auto"/>
              <w:right w:val="single" w:sz="6" w:space="0" w:color="auto"/>
            </w:tcBorders>
            <w:shd w:val="clear" w:color="auto" w:fill="auto"/>
            <w:vAlign w:val="center"/>
            <w:hideMark/>
          </w:tcPr>
          <w:p w14:paraId="28EA06C6"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0.669</w:t>
            </w:r>
          </w:p>
        </w:tc>
        <w:tc>
          <w:tcPr>
            <w:tcW w:w="858" w:type="dxa"/>
            <w:tcBorders>
              <w:top w:val="nil"/>
              <w:left w:val="nil"/>
              <w:bottom w:val="single" w:sz="6" w:space="0" w:color="auto"/>
              <w:right w:val="single" w:sz="6" w:space="0" w:color="auto"/>
            </w:tcBorders>
            <w:shd w:val="clear" w:color="auto" w:fill="auto"/>
            <w:vAlign w:val="center"/>
            <w:hideMark/>
          </w:tcPr>
          <w:p w14:paraId="3512A09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0.034</w:t>
            </w:r>
          </w:p>
        </w:tc>
        <w:tc>
          <w:tcPr>
            <w:tcW w:w="934" w:type="dxa"/>
            <w:tcBorders>
              <w:top w:val="nil"/>
              <w:left w:val="nil"/>
              <w:bottom w:val="single" w:sz="6" w:space="0" w:color="auto"/>
              <w:right w:val="single" w:sz="6" w:space="0" w:color="auto"/>
            </w:tcBorders>
            <w:shd w:val="clear" w:color="auto" w:fill="auto"/>
            <w:vAlign w:val="center"/>
            <w:hideMark/>
          </w:tcPr>
          <w:p w14:paraId="26A77F5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0.097</w:t>
            </w:r>
          </w:p>
        </w:tc>
        <w:tc>
          <w:tcPr>
            <w:tcW w:w="812" w:type="dxa"/>
            <w:tcBorders>
              <w:top w:val="nil"/>
              <w:left w:val="nil"/>
              <w:bottom w:val="single" w:sz="6" w:space="0" w:color="auto"/>
              <w:right w:val="single" w:sz="6" w:space="0" w:color="auto"/>
            </w:tcBorders>
            <w:shd w:val="clear" w:color="auto" w:fill="auto"/>
            <w:vAlign w:val="center"/>
            <w:hideMark/>
          </w:tcPr>
          <w:p w14:paraId="02CD3F8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0.094</w:t>
            </w:r>
          </w:p>
        </w:tc>
        <w:tc>
          <w:tcPr>
            <w:tcW w:w="761" w:type="dxa"/>
            <w:tcBorders>
              <w:top w:val="nil"/>
              <w:left w:val="nil"/>
              <w:bottom w:val="single" w:sz="6" w:space="0" w:color="auto"/>
              <w:right w:val="single" w:sz="6" w:space="0" w:color="auto"/>
            </w:tcBorders>
            <w:shd w:val="clear" w:color="auto" w:fill="auto"/>
            <w:vAlign w:val="center"/>
            <w:hideMark/>
          </w:tcPr>
          <w:p w14:paraId="170B728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0.066</w:t>
            </w:r>
          </w:p>
        </w:tc>
        <w:tc>
          <w:tcPr>
            <w:tcW w:w="840" w:type="dxa"/>
            <w:tcBorders>
              <w:top w:val="nil"/>
              <w:left w:val="nil"/>
              <w:bottom w:val="single" w:sz="6" w:space="0" w:color="auto"/>
              <w:right w:val="single" w:sz="6" w:space="0" w:color="auto"/>
            </w:tcBorders>
            <w:shd w:val="clear" w:color="auto" w:fill="auto"/>
            <w:vAlign w:val="center"/>
            <w:hideMark/>
          </w:tcPr>
          <w:p w14:paraId="2D35F71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0.029</w:t>
            </w:r>
          </w:p>
        </w:tc>
        <w:tc>
          <w:tcPr>
            <w:tcW w:w="761" w:type="dxa"/>
            <w:tcBorders>
              <w:top w:val="nil"/>
              <w:left w:val="nil"/>
              <w:bottom w:val="single" w:sz="4" w:space="0" w:color="auto"/>
              <w:right w:val="single" w:sz="4" w:space="0" w:color="auto"/>
            </w:tcBorders>
            <w:shd w:val="clear" w:color="auto" w:fill="auto"/>
            <w:vAlign w:val="center"/>
            <w:hideMark/>
          </w:tcPr>
          <w:p w14:paraId="0A543D5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0.259</w:t>
            </w:r>
          </w:p>
        </w:tc>
        <w:tc>
          <w:tcPr>
            <w:tcW w:w="873" w:type="dxa"/>
            <w:tcBorders>
              <w:top w:val="nil"/>
              <w:left w:val="nil"/>
              <w:bottom w:val="single" w:sz="6" w:space="0" w:color="auto"/>
              <w:right w:val="single" w:sz="6" w:space="0" w:color="auto"/>
            </w:tcBorders>
            <w:shd w:val="clear" w:color="auto" w:fill="auto"/>
            <w:vAlign w:val="center"/>
            <w:hideMark/>
          </w:tcPr>
          <w:p w14:paraId="5CC1F73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0.046</w:t>
            </w:r>
          </w:p>
        </w:tc>
        <w:tc>
          <w:tcPr>
            <w:tcW w:w="912" w:type="dxa"/>
            <w:tcBorders>
              <w:top w:val="nil"/>
              <w:left w:val="nil"/>
              <w:bottom w:val="single" w:sz="4" w:space="0" w:color="auto"/>
              <w:right w:val="single" w:sz="4" w:space="0" w:color="auto"/>
            </w:tcBorders>
            <w:shd w:val="clear" w:color="auto" w:fill="auto"/>
            <w:vAlign w:val="center"/>
            <w:hideMark/>
          </w:tcPr>
          <w:p w14:paraId="1836C7B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0.058</w:t>
            </w:r>
          </w:p>
        </w:tc>
      </w:tr>
      <w:tr w:rsidR="003B5F34" w:rsidRPr="00BC081A" w14:paraId="1566ACCF"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49E072" w14:textId="34D01306"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DCompt</w:t>
            </w:r>
            <w:r w:rsidR="00E21C44" w:rsidRPr="00BC081A">
              <w:rPr>
                <w:rFonts w:ascii="Verdana" w:eastAsia="Times New Roman" w:hAnsi="Verdana" w:cs="Times New Roman"/>
                <w:b/>
                <w:bCs/>
                <w:color w:val="000000"/>
                <w:sz w:val="17"/>
                <w:szCs w:val="17"/>
              </w:rPr>
              <w:t>5</w:t>
            </w:r>
          </w:p>
        </w:tc>
        <w:tc>
          <w:tcPr>
            <w:tcW w:w="925" w:type="dxa"/>
            <w:tcBorders>
              <w:top w:val="nil"/>
              <w:left w:val="nil"/>
              <w:bottom w:val="single" w:sz="6" w:space="0" w:color="auto"/>
              <w:right w:val="single" w:sz="6" w:space="0" w:color="auto"/>
            </w:tcBorders>
            <w:shd w:val="clear" w:color="auto" w:fill="auto"/>
            <w:vAlign w:val="center"/>
            <w:hideMark/>
          </w:tcPr>
          <w:p w14:paraId="11344058"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0.852</w:t>
            </w:r>
          </w:p>
        </w:tc>
        <w:tc>
          <w:tcPr>
            <w:tcW w:w="858" w:type="dxa"/>
            <w:tcBorders>
              <w:top w:val="nil"/>
              <w:left w:val="nil"/>
              <w:bottom w:val="single" w:sz="6" w:space="0" w:color="auto"/>
              <w:right w:val="single" w:sz="6" w:space="0" w:color="auto"/>
            </w:tcBorders>
            <w:shd w:val="clear" w:color="auto" w:fill="auto"/>
            <w:vAlign w:val="center"/>
            <w:hideMark/>
          </w:tcPr>
          <w:p w14:paraId="1C953C0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0.105</w:t>
            </w:r>
          </w:p>
        </w:tc>
        <w:tc>
          <w:tcPr>
            <w:tcW w:w="934" w:type="dxa"/>
            <w:tcBorders>
              <w:top w:val="nil"/>
              <w:left w:val="nil"/>
              <w:bottom w:val="single" w:sz="6" w:space="0" w:color="auto"/>
              <w:right w:val="single" w:sz="6" w:space="0" w:color="auto"/>
            </w:tcBorders>
            <w:shd w:val="clear" w:color="auto" w:fill="auto"/>
            <w:vAlign w:val="center"/>
            <w:hideMark/>
          </w:tcPr>
          <w:p w14:paraId="242C73A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0.402</w:t>
            </w:r>
          </w:p>
        </w:tc>
        <w:tc>
          <w:tcPr>
            <w:tcW w:w="812" w:type="dxa"/>
            <w:tcBorders>
              <w:top w:val="nil"/>
              <w:left w:val="nil"/>
              <w:bottom w:val="single" w:sz="6" w:space="0" w:color="auto"/>
              <w:right w:val="single" w:sz="6" w:space="0" w:color="auto"/>
            </w:tcBorders>
            <w:shd w:val="clear" w:color="auto" w:fill="auto"/>
            <w:vAlign w:val="center"/>
            <w:hideMark/>
          </w:tcPr>
          <w:p w14:paraId="585E378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0.267</w:t>
            </w:r>
          </w:p>
        </w:tc>
        <w:tc>
          <w:tcPr>
            <w:tcW w:w="761" w:type="dxa"/>
            <w:tcBorders>
              <w:top w:val="nil"/>
              <w:left w:val="nil"/>
              <w:bottom w:val="single" w:sz="6" w:space="0" w:color="auto"/>
              <w:right w:val="single" w:sz="6" w:space="0" w:color="auto"/>
            </w:tcBorders>
            <w:shd w:val="clear" w:color="auto" w:fill="auto"/>
            <w:vAlign w:val="center"/>
            <w:hideMark/>
          </w:tcPr>
          <w:p w14:paraId="3184BF5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0.112</w:t>
            </w:r>
          </w:p>
        </w:tc>
        <w:tc>
          <w:tcPr>
            <w:tcW w:w="840" w:type="dxa"/>
            <w:tcBorders>
              <w:top w:val="nil"/>
              <w:left w:val="nil"/>
              <w:bottom w:val="single" w:sz="6" w:space="0" w:color="auto"/>
              <w:right w:val="single" w:sz="6" w:space="0" w:color="auto"/>
            </w:tcBorders>
            <w:shd w:val="clear" w:color="auto" w:fill="auto"/>
            <w:vAlign w:val="center"/>
            <w:hideMark/>
          </w:tcPr>
          <w:p w14:paraId="4CAD0DC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0.072</w:t>
            </w:r>
          </w:p>
        </w:tc>
        <w:tc>
          <w:tcPr>
            <w:tcW w:w="761" w:type="dxa"/>
            <w:tcBorders>
              <w:top w:val="nil"/>
              <w:left w:val="nil"/>
              <w:bottom w:val="single" w:sz="4" w:space="0" w:color="auto"/>
              <w:right w:val="single" w:sz="4" w:space="0" w:color="auto"/>
            </w:tcBorders>
            <w:shd w:val="clear" w:color="auto" w:fill="auto"/>
            <w:vAlign w:val="center"/>
            <w:hideMark/>
          </w:tcPr>
          <w:p w14:paraId="25F736D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0.144</w:t>
            </w:r>
          </w:p>
        </w:tc>
        <w:tc>
          <w:tcPr>
            <w:tcW w:w="873" w:type="dxa"/>
            <w:tcBorders>
              <w:top w:val="nil"/>
              <w:left w:val="nil"/>
              <w:bottom w:val="single" w:sz="6" w:space="0" w:color="auto"/>
              <w:right w:val="single" w:sz="6" w:space="0" w:color="auto"/>
            </w:tcBorders>
            <w:shd w:val="clear" w:color="auto" w:fill="auto"/>
            <w:vAlign w:val="center"/>
            <w:hideMark/>
          </w:tcPr>
          <w:p w14:paraId="1800510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0.059</w:t>
            </w:r>
          </w:p>
        </w:tc>
        <w:tc>
          <w:tcPr>
            <w:tcW w:w="912" w:type="dxa"/>
            <w:tcBorders>
              <w:top w:val="nil"/>
              <w:left w:val="nil"/>
              <w:bottom w:val="single" w:sz="4" w:space="0" w:color="auto"/>
              <w:right w:val="single" w:sz="4" w:space="0" w:color="auto"/>
            </w:tcBorders>
            <w:shd w:val="clear" w:color="auto" w:fill="auto"/>
            <w:vAlign w:val="center"/>
            <w:hideMark/>
          </w:tcPr>
          <w:p w14:paraId="5F31D28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0.158</w:t>
            </w:r>
          </w:p>
        </w:tc>
      </w:tr>
      <w:tr w:rsidR="003B5F34" w:rsidRPr="00BC081A" w14:paraId="0EBA4A22"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004F47"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SP1</w:t>
            </w:r>
          </w:p>
        </w:tc>
        <w:tc>
          <w:tcPr>
            <w:tcW w:w="925" w:type="dxa"/>
            <w:tcBorders>
              <w:top w:val="nil"/>
              <w:left w:val="nil"/>
              <w:bottom w:val="single" w:sz="6" w:space="0" w:color="auto"/>
              <w:right w:val="single" w:sz="6" w:space="0" w:color="auto"/>
            </w:tcBorders>
            <w:shd w:val="clear" w:color="auto" w:fill="auto"/>
            <w:vAlign w:val="center"/>
            <w:hideMark/>
          </w:tcPr>
          <w:p w14:paraId="69EE149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0.104</w:t>
            </w:r>
          </w:p>
        </w:tc>
        <w:tc>
          <w:tcPr>
            <w:tcW w:w="858" w:type="dxa"/>
            <w:tcBorders>
              <w:top w:val="nil"/>
              <w:left w:val="nil"/>
              <w:bottom w:val="single" w:sz="6" w:space="0" w:color="auto"/>
              <w:right w:val="single" w:sz="6" w:space="0" w:color="auto"/>
            </w:tcBorders>
            <w:shd w:val="clear" w:color="auto" w:fill="auto"/>
            <w:vAlign w:val="center"/>
            <w:hideMark/>
          </w:tcPr>
          <w:p w14:paraId="6D9978E4"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0.816</w:t>
            </w:r>
          </w:p>
        </w:tc>
        <w:tc>
          <w:tcPr>
            <w:tcW w:w="934" w:type="dxa"/>
            <w:tcBorders>
              <w:top w:val="nil"/>
              <w:left w:val="nil"/>
              <w:bottom w:val="single" w:sz="6" w:space="0" w:color="auto"/>
              <w:right w:val="single" w:sz="6" w:space="0" w:color="auto"/>
            </w:tcBorders>
            <w:shd w:val="clear" w:color="auto" w:fill="auto"/>
            <w:vAlign w:val="center"/>
            <w:hideMark/>
          </w:tcPr>
          <w:p w14:paraId="33BFA2F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0.415</w:t>
            </w:r>
          </w:p>
        </w:tc>
        <w:tc>
          <w:tcPr>
            <w:tcW w:w="812" w:type="dxa"/>
            <w:tcBorders>
              <w:top w:val="nil"/>
              <w:left w:val="nil"/>
              <w:bottom w:val="single" w:sz="6" w:space="0" w:color="auto"/>
              <w:right w:val="single" w:sz="6" w:space="0" w:color="auto"/>
            </w:tcBorders>
            <w:shd w:val="clear" w:color="auto" w:fill="auto"/>
            <w:vAlign w:val="center"/>
            <w:hideMark/>
          </w:tcPr>
          <w:p w14:paraId="59DB930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0.168</w:t>
            </w:r>
          </w:p>
        </w:tc>
        <w:tc>
          <w:tcPr>
            <w:tcW w:w="761" w:type="dxa"/>
            <w:tcBorders>
              <w:top w:val="nil"/>
              <w:left w:val="nil"/>
              <w:bottom w:val="single" w:sz="6" w:space="0" w:color="auto"/>
              <w:right w:val="single" w:sz="6" w:space="0" w:color="auto"/>
            </w:tcBorders>
            <w:shd w:val="clear" w:color="auto" w:fill="auto"/>
            <w:vAlign w:val="center"/>
            <w:hideMark/>
          </w:tcPr>
          <w:p w14:paraId="57A36CD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0.185</w:t>
            </w:r>
          </w:p>
        </w:tc>
        <w:tc>
          <w:tcPr>
            <w:tcW w:w="840" w:type="dxa"/>
            <w:tcBorders>
              <w:top w:val="nil"/>
              <w:left w:val="nil"/>
              <w:bottom w:val="single" w:sz="6" w:space="0" w:color="auto"/>
              <w:right w:val="single" w:sz="6" w:space="0" w:color="auto"/>
            </w:tcBorders>
            <w:shd w:val="clear" w:color="auto" w:fill="auto"/>
            <w:vAlign w:val="center"/>
            <w:hideMark/>
          </w:tcPr>
          <w:p w14:paraId="33929DD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-0.055</w:t>
            </w:r>
          </w:p>
        </w:tc>
        <w:tc>
          <w:tcPr>
            <w:tcW w:w="761" w:type="dxa"/>
            <w:tcBorders>
              <w:top w:val="nil"/>
              <w:left w:val="nil"/>
              <w:bottom w:val="single" w:sz="4" w:space="0" w:color="auto"/>
              <w:right w:val="single" w:sz="4" w:space="0" w:color="auto"/>
            </w:tcBorders>
            <w:shd w:val="clear" w:color="auto" w:fill="auto"/>
            <w:vAlign w:val="center"/>
            <w:hideMark/>
          </w:tcPr>
          <w:p w14:paraId="1ABEFE8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0.270</w:t>
            </w:r>
          </w:p>
        </w:tc>
        <w:tc>
          <w:tcPr>
            <w:tcW w:w="873" w:type="dxa"/>
            <w:tcBorders>
              <w:top w:val="nil"/>
              <w:left w:val="nil"/>
              <w:bottom w:val="single" w:sz="6" w:space="0" w:color="auto"/>
              <w:right w:val="single" w:sz="6" w:space="0" w:color="auto"/>
            </w:tcBorders>
            <w:shd w:val="clear" w:color="auto" w:fill="auto"/>
            <w:vAlign w:val="center"/>
            <w:hideMark/>
          </w:tcPr>
          <w:p w14:paraId="2C365ED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0.326</w:t>
            </w:r>
          </w:p>
        </w:tc>
        <w:tc>
          <w:tcPr>
            <w:tcW w:w="912" w:type="dxa"/>
            <w:tcBorders>
              <w:top w:val="nil"/>
              <w:left w:val="nil"/>
              <w:bottom w:val="single" w:sz="4" w:space="0" w:color="auto"/>
              <w:right w:val="single" w:sz="4" w:space="0" w:color="auto"/>
            </w:tcBorders>
            <w:shd w:val="clear" w:color="auto" w:fill="auto"/>
            <w:vAlign w:val="center"/>
            <w:hideMark/>
          </w:tcPr>
          <w:p w14:paraId="3CE094D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0.209</w:t>
            </w:r>
          </w:p>
        </w:tc>
      </w:tr>
      <w:tr w:rsidR="003B5F34" w:rsidRPr="00BC081A" w14:paraId="183C5B62"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BAA7E9"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SP2</w:t>
            </w:r>
          </w:p>
        </w:tc>
        <w:tc>
          <w:tcPr>
            <w:tcW w:w="925" w:type="dxa"/>
            <w:tcBorders>
              <w:top w:val="nil"/>
              <w:left w:val="nil"/>
              <w:bottom w:val="single" w:sz="6" w:space="0" w:color="auto"/>
              <w:right w:val="single" w:sz="6" w:space="0" w:color="auto"/>
            </w:tcBorders>
            <w:shd w:val="clear" w:color="auto" w:fill="auto"/>
            <w:vAlign w:val="center"/>
            <w:hideMark/>
          </w:tcPr>
          <w:p w14:paraId="62C859E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0.082</w:t>
            </w:r>
          </w:p>
        </w:tc>
        <w:tc>
          <w:tcPr>
            <w:tcW w:w="858" w:type="dxa"/>
            <w:tcBorders>
              <w:top w:val="nil"/>
              <w:left w:val="nil"/>
              <w:bottom w:val="single" w:sz="6" w:space="0" w:color="auto"/>
              <w:right w:val="single" w:sz="6" w:space="0" w:color="auto"/>
            </w:tcBorders>
            <w:shd w:val="clear" w:color="auto" w:fill="auto"/>
            <w:vAlign w:val="center"/>
            <w:hideMark/>
          </w:tcPr>
          <w:p w14:paraId="3B2DDEF7"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0.731</w:t>
            </w:r>
          </w:p>
        </w:tc>
        <w:tc>
          <w:tcPr>
            <w:tcW w:w="934" w:type="dxa"/>
            <w:tcBorders>
              <w:top w:val="nil"/>
              <w:left w:val="nil"/>
              <w:bottom w:val="single" w:sz="6" w:space="0" w:color="auto"/>
              <w:right w:val="single" w:sz="6" w:space="0" w:color="auto"/>
            </w:tcBorders>
            <w:shd w:val="clear" w:color="auto" w:fill="auto"/>
            <w:vAlign w:val="center"/>
            <w:hideMark/>
          </w:tcPr>
          <w:p w14:paraId="69CF80B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0.307</w:t>
            </w:r>
          </w:p>
        </w:tc>
        <w:tc>
          <w:tcPr>
            <w:tcW w:w="812" w:type="dxa"/>
            <w:tcBorders>
              <w:top w:val="nil"/>
              <w:left w:val="nil"/>
              <w:bottom w:val="single" w:sz="6" w:space="0" w:color="auto"/>
              <w:right w:val="single" w:sz="6" w:space="0" w:color="auto"/>
            </w:tcBorders>
            <w:shd w:val="clear" w:color="auto" w:fill="auto"/>
            <w:vAlign w:val="center"/>
            <w:hideMark/>
          </w:tcPr>
          <w:p w14:paraId="588A0EA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0.203</w:t>
            </w:r>
          </w:p>
        </w:tc>
        <w:tc>
          <w:tcPr>
            <w:tcW w:w="761" w:type="dxa"/>
            <w:tcBorders>
              <w:top w:val="nil"/>
              <w:left w:val="nil"/>
              <w:bottom w:val="single" w:sz="6" w:space="0" w:color="auto"/>
              <w:right w:val="single" w:sz="6" w:space="0" w:color="auto"/>
            </w:tcBorders>
            <w:shd w:val="clear" w:color="auto" w:fill="auto"/>
            <w:vAlign w:val="center"/>
            <w:hideMark/>
          </w:tcPr>
          <w:p w14:paraId="435FECA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0.126</w:t>
            </w:r>
          </w:p>
        </w:tc>
        <w:tc>
          <w:tcPr>
            <w:tcW w:w="840" w:type="dxa"/>
            <w:tcBorders>
              <w:top w:val="nil"/>
              <w:left w:val="nil"/>
              <w:bottom w:val="single" w:sz="6" w:space="0" w:color="auto"/>
              <w:right w:val="single" w:sz="6" w:space="0" w:color="auto"/>
            </w:tcBorders>
            <w:shd w:val="clear" w:color="auto" w:fill="auto"/>
            <w:vAlign w:val="center"/>
            <w:hideMark/>
          </w:tcPr>
          <w:p w14:paraId="5206F5B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-0.073</w:t>
            </w:r>
          </w:p>
        </w:tc>
        <w:tc>
          <w:tcPr>
            <w:tcW w:w="761" w:type="dxa"/>
            <w:tcBorders>
              <w:top w:val="nil"/>
              <w:left w:val="nil"/>
              <w:bottom w:val="single" w:sz="4" w:space="0" w:color="auto"/>
              <w:right w:val="single" w:sz="4" w:space="0" w:color="auto"/>
            </w:tcBorders>
            <w:shd w:val="clear" w:color="auto" w:fill="auto"/>
            <w:vAlign w:val="center"/>
            <w:hideMark/>
          </w:tcPr>
          <w:p w14:paraId="700E7ED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0.140</w:t>
            </w:r>
          </w:p>
        </w:tc>
        <w:tc>
          <w:tcPr>
            <w:tcW w:w="873" w:type="dxa"/>
            <w:tcBorders>
              <w:top w:val="nil"/>
              <w:left w:val="nil"/>
              <w:bottom w:val="single" w:sz="6" w:space="0" w:color="auto"/>
              <w:right w:val="single" w:sz="6" w:space="0" w:color="auto"/>
            </w:tcBorders>
            <w:shd w:val="clear" w:color="auto" w:fill="auto"/>
            <w:vAlign w:val="center"/>
            <w:hideMark/>
          </w:tcPr>
          <w:p w14:paraId="77260CB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0.131</w:t>
            </w:r>
          </w:p>
        </w:tc>
        <w:tc>
          <w:tcPr>
            <w:tcW w:w="912" w:type="dxa"/>
            <w:tcBorders>
              <w:top w:val="nil"/>
              <w:left w:val="nil"/>
              <w:bottom w:val="single" w:sz="4" w:space="0" w:color="auto"/>
              <w:right w:val="single" w:sz="4" w:space="0" w:color="auto"/>
            </w:tcBorders>
            <w:shd w:val="clear" w:color="auto" w:fill="auto"/>
            <w:vAlign w:val="center"/>
            <w:hideMark/>
          </w:tcPr>
          <w:p w14:paraId="09C2FBA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0.146</w:t>
            </w:r>
          </w:p>
        </w:tc>
      </w:tr>
      <w:tr w:rsidR="003B5F34" w:rsidRPr="00BC081A" w14:paraId="4414A092"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E8A76CC"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SP3</w:t>
            </w:r>
          </w:p>
        </w:tc>
        <w:tc>
          <w:tcPr>
            <w:tcW w:w="925" w:type="dxa"/>
            <w:tcBorders>
              <w:top w:val="nil"/>
              <w:left w:val="nil"/>
              <w:bottom w:val="single" w:sz="6" w:space="0" w:color="auto"/>
              <w:right w:val="single" w:sz="6" w:space="0" w:color="auto"/>
            </w:tcBorders>
            <w:shd w:val="clear" w:color="auto" w:fill="auto"/>
            <w:vAlign w:val="center"/>
            <w:hideMark/>
          </w:tcPr>
          <w:p w14:paraId="00FC52C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-0.004</w:t>
            </w:r>
          </w:p>
        </w:tc>
        <w:tc>
          <w:tcPr>
            <w:tcW w:w="858" w:type="dxa"/>
            <w:tcBorders>
              <w:top w:val="nil"/>
              <w:left w:val="nil"/>
              <w:bottom w:val="single" w:sz="6" w:space="0" w:color="auto"/>
              <w:right w:val="single" w:sz="6" w:space="0" w:color="auto"/>
            </w:tcBorders>
            <w:shd w:val="clear" w:color="auto" w:fill="auto"/>
            <w:vAlign w:val="center"/>
            <w:hideMark/>
          </w:tcPr>
          <w:p w14:paraId="6B00F1B0"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0.783</w:t>
            </w:r>
          </w:p>
        </w:tc>
        <w:tc>
          <w:tcPr>
            <w:tcW w:w="934" w:type="dxa"/>
            <w:tcBorders>
              <w:top w:val="nil"/>
              <w:left w:val="nil"/>
              <w:bottom w:val="single" w:sz="6" w:space="0" w:color="auto"/>
              <w:right w:val="single" w:sz="6" w:space="0" w:color="auto"/>
            </w:tcBorders>
            <w:shd w:val="clear" w:color="auto" w:fill="auto"/>
            <w:vAlign w:val="center"/>
            <w:hideMark/>
          </w:tcPr>
          <w:p w14:paraId="1E44D2C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0.375</w:t>
            </w:r>
          </w:p>
        </w:tc>
        <w:tc>
          <w:tcPr>
            <w:tcW w:w="812" w:type="dxa"/>
            <w:tcBorders>
              <w:top w:val="nil"/>
              <w:left w:val="nil"/>
              <w:bottom w:val="single" w:sz="6" w:space="0" w:color="auto"/>
              <w:right w:val="single" w:sz="6" w:space="0" w:color="auto"/>
            </w:tcBorders>
            <w:shd w:val="clear" w:color="auto" w:fill="auto"/>
            <w:vAlign w:val="center"/>
            <w:hideMark/>
          </w:tcPr>
          <w:p w14:paraId="515688E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0.152</w:t>
            </w:r>
          </w:p>
        </w:tc>
        <w:tc>
          <w:tcPr>
            <w:tcW w:w="761" w:type="dxa"/>
            <w:tcBorders>
              <w:top w:val="nil"/>
              <w:left w:val="nil"/>
              <w:bottom w:val="single" w:sz="6" w:space="0" w:color="auto"/>
              <w:right w:val="single" w:sz="6" w:space="0" w:color="auto"/>
            </w:tcBorders>
            <w:shd w:val="clear" w:color="auto" w:fill="auto"/>
            <w:vAlign w:val="center"/>
            <w:hideMark/>
          </w:tcPr>
          <w:p w14:paraId="7FCE4494"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0.185</w:t>
            </w:r>
          </w:p>
        </w:tc>
        <w:tc>
          <w:tcPr>
            <w:tcW w:w="840" w:type="dxa"/>
            <w:tcBorders>
              <w:top w:val="nil"/>
              <w:left w:val="nil"/>
              <w:bottom w:val="single" w:sz="6" w:space="0" w:color="auto"/>
              <w:right w:val="single" w:sz="6" w:space="0" w:color="auto"/>
            </w:tcBorders>
            <w:shd w:val="clear" w:color="auto" w:fill="auto"/>
            <w:vAlign w:val="center"/>
            <w:hideMark/>
          </w:tcPr>
          <w:p w14:paraId="2729D2F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0.023</w:t>
            </w:r>
          </w:p>
        </w:tc>
        <w:tc>
          <w:tcPr>
            <w:tcW w:w="761" w:type="dxa"/>
            <w:tcBorders>
              <w:top w:val="nil"/>
              <w:left w:val="nil"/>
              <w:bottom w:val="single" w:sz="4" w:space="0" w:color="auto"/>
              <w:right w:val="single" w:sz="4" w:space="0" w:color="auto"/>
            </w:tcBorders>
            <w:shd w:val="clear" w:color="auto" w:fill="auto"/>
            <w:vAlign w:val="center"/>
            <w:hideMark/>
          </w:tcPr>
          <w:p w14:paraId="0A8FD2B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0.186</w:t>
            </w:r>
          </w:p>
        </w:tc>
        <w:tc>
          <w:tcPr>
            <w:tcW w:w="873" w:type="dxa"/>
            <w:tcBorders>
              <w:top w:val="nil"/>
              <w:left w:val="nil"/>
              <w:bottom w:val="single" w:sz="6" w:space="0" w:color="auto"/>
              <w:right w:val="single" w:sz="6" w:space="0" w:color="auto"/>
            </w:tcBorders>
            <w:shd w:val="clear" w:color="auto" w:fill="auto"/>
            <w:vAlign w:val="center"/>
            <w:hideMark/>
          </w:tcPr>
          <w:p w14:paraId="4A93365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0.224</w:t>
            </w:r>
          </w:p>
        </w:tc>
        <w:tc>
          <w:tcPr>
            <w:tcW w:w="912" w:type="dxa"/>
            <w:tcBorders>
              <w:top w:val="nil"/>
              <w:left w:val="nil"/>
              <w:bottom w:val="single" w:sz="4" w:space="0" w:color="auto"/>
              <w:right w:val="single" w:sz="4" w:space="0" w:color="auto"/>
            </w:tcBorders>
            <w:shd w:val="clear" w:color="auto" w:fill="auto"/>
            <w:vAlign w:val="center"/>
            <w:hideMark/>
          </w:tcPr>
          <w:p w14:paraId="0C9826C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0.124</w:t>
            </w:r>
          </w:p>
        </w:tc>
      </w:tr>
      <w:tr w:rsidR="003B5F34" w:rsidRPr="00BC081A" w14:paraId="2385F3E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60D9AD"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SP4</w:t>
            </w:r>
          </w:p>
        </w:tc>
        <w:tc>
          <w:tcPr>
            <w:tcW w:w="925" w:type="dxa"/>
            <w:tcBorders>
              <w:top w:val="nil"/>
              <w:left w:val="nil"/>
              <w:bottom w:val="single" w:sz="6" w:space="0" w:color="auto"/>
              <w:right w:val="single" w:sz="6" w:space="0" w:color="auto"/>
            </w:tcBorders>
            <w:shd w:val="clear" w:color="auto" w:fill="auto"/>
            <w:vAlign w:val="center"/>
            <w:hideMark/>
          </w:tcPr>
          <w:p w14:paraId="2C8BBD7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0.179</w:t>
            </w:r>
          </w:p>
        </w:tc>
        <w:tc>
          <w:tcPr>
            <w:tcW w:w="858" w:type="dxa"/>
            <w:tcBorders>
              <w:top w:val="nil"/>
              <w:left w:val="nil"/>
              <w:bottom w:val="single" w:sz="6" w:space="0" w:color="auto"/>
              <w:right w:val="single" w:sz="6" w:space="0" w:color="auto"/>
            </w:tcBorders>
            <w:shd w:val="clear" w:color="auto" w:fill="auto"/>
            <w:vAlign w:val="center"/>
            <w:hideMark/>
          </w:tcPr>
          <w:p w14:paraId="07F0E64A"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0.788</w:t>
            </w:r>
          </w:p>
        </w:tc>
        <w:tc>
          <w:tcPr>
            <w:tcW w:w="934" w:type="dxa"/>
            <w:tcBorders>
              <w:top w:val="nil"/>
              <w:left w:val="nil"/>
              <w:bottom w:val="single" w:sz="6" w:space="0" w:color="auto"/>
              <w:right w:val="single" w:sz="6" w:space="0" w:color="auto"/>
            </w:tcBorders>
            <w:shd w:val="clear" w:color="auto" w:fill="auto"/>
            <w:vAlign w:val="center"/>
            <w:hideMark/>
          </w:tcPr>
          <w:p w14:paraId="3FBF46C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0.281</w:t>
            </w:r>
          </w:p>
        </w:tc>
        <w:tc>
          <w:tcPr>
            <w:tcW w:w="812" w:type="dxa"/>
            <w:tcBorders>
              <w:top w:val="nil"/>
              <w:left w:val="nil"/>
              <w:bottom w:val="single" w:sz="6" w:space="0" w:color="auto"/>
              <w:right w:val="single" w:sz="6" w:space="0" w:color="auto"/>
            </w:tcBorders>
            <w:shd w:val="clear" w:color="auto" w:fill="auto"/>
            <w:vAlign w:val="center"/>
            <w:hideMark/>
          </w:tcPr>
          <w:p w14:paraId="280A117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0.137</w:t>
            </w:r>
          </w:p>
        </w:tc>
        <w:tc>
          <w:tcPr>
            <w:tcW w:w="761" w:type="dxa"/>
            <w:tcBorders>
              <w:top w:val="nil"/>
              <w:left w:val="nil"/>
              <w:bottom w:val="single" w:sz="6" w:space="0" w:color="auto"/>
              <w:right w:val="single" w:sz="6" w:space="0" w:color="auto"/>
            </w:tcBorders>
            <w:shd w:val="clear" w:color="auto" w:fill="auto"/>
            <w:vAlign w:val="center"/>
            <w:hideMark/>
          </w:tcPr>
          <w:p w14:paraId="254DA4C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0.148</w:t>
            </w:r>
          </w:p>
        </w:tc>
        <w:tc>
          <w:tcPr>
            <w:tcW w:w="840" w:type="dxa"/>
            <w:tcBorders>
              <w:top w:val="nil"/>
              <w:left w:val="nil"/>
              <w:bottom w:val="single" w:sz="6" w:space="0" w:color="auto"/>
              <w:right w:val="single" w:sz="6" w:space="0" w:color="auto"/>
            </w:tcBorders>
            <w:shd w:val="clear" w:color="auto" w:fill="auto"/>
            <w:vAlign w:val="center"/>
            <w:hideMark/>
          </w:tcPr>
          <w:p w14:paraId="2EB835C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-0.101</w:t>
            </w:r>
          </w:p>
        </w:tc>
        <w:tc>
          <w:tcPr>
            <w:tcW w:w="761" w:type="dxa"/>
            <w:tcBorders>
              <w:top w:val="nil"/>
              <w:left w:val="nil"/>
              <w:bottom w:val="single" w:sz="4" w:space="0" w:color="auto"/>
              <w:right w:val="single" w:sz="4" w:space="0" w:color="auto"/>
            </w:tcBorders>
            <w:shd w:val="clear" w:color="auto" w:fill="auto"/>
            <w:vAlign w:val="center"/>
            <w:hideMark/>
          </w:tcPr>
          <w:p w14:paraId="6BF2C21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0.147</w:t>
            </w:r>
          </w:p>
        </w:tc>
        <w:tc>
          <w:tcPr>
            <w:tcW w:w="873" w:type="dxa"/>
            <w:tcBorders>
              <w:top w:val="nil"/>
              <w:left w:val="nil"/>
              <w:bottom w:val="single" w:sz="6" w:space="0" w:color="auto"/>
              <w:right w:val="single" w:sz="6" w:space="0" w:color="auto"/>
            </w:tcBorders>
            <w:shd w:val="clear" w:color="auto" w:fill="auto"/>
            <w:vAlign w:val="center"/>
            <w:hideMark/>
          </w:tcPr>
          <w:p w14:paraId="5B0CE72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0.206</w:t>
            </w:r>
          </w:p>
        </w:tc>
        <w:tc>
          <w:tcPr>
            <w:tcW w:w="912" w:type="dxa"/>
            <w:tcBorders>
              <w:top w:val="nil"/>
              <w:left w:val="nil"/>
              <w:bottom w:val="single" w:sz="4" w:space="0" w:color="auto"/>
              <w:right w:val="single" w:sz="4" w:space="0" w:color="auto"/>
            </w:tcBorders>
            <w:shd w:val="clear" w:color="auto" w:fill="auto"/>
            <w:vAlign w:val="center"/>
            <w:hideMark/>
          </w:tcPr>
          <w:p w14:paraId="190D050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0.131</w:t>
            </w:r>
          </w:p>
        </w:tc>
      </w:tr>
      <w:tr w:rsidR="003B5F34" w:rsidRPr="00BC081A" w14:paraId="56277DC3"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EA6DAF"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SP5</w:t>
            </w:r>
          </w:p>
        </w:tc>
        <w:tc>
          <w:tcPr>
            <w:tcW w:w="925" w:type="dxa"/>
            <w:tcBorders>
              <w:top w:val="nil"/>
              <w:left w:val="nil"/>
              <w:bottom w:val="single" w:sz="6" w:space="0" w:color="auto"/>
              <w:right w:val="single" w:sz="6" w:space="0" w:color="auto"/>
            </w:tcBorders>
            <w:shd w:val="clear" w:color="auto" w:fill="auto"/>
            <w:vAlign w:val="center"/>
            <w:hideMark/>
          </w:tcPr>
          <w:p w14:paraId="107EB61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0.154</w:t>
            </w:r>
          </w:p>
        </w:tc>
        <w:tc>
          <w:tcPr>
            <w:tcW w:w="858" w:type="dxa"/>
            <w:tcBorders>
              <w:top w:val="nil"/>
              <w:left w:val="nil"/>
              <w:bottom w:val="single" w:sz="6" w:space="0" w:color="auto"/>
              <w:right w:val="single" w:sz="6" w:space="0" w:color="auto"/>
            </w:tcBorders>
            <w:shd w:val="clear" w:color="auto" w:fill="auto"/>
            <w:vAlign w:val="center"/>
            <w:hideMark/>
          </w:tcPr>
          <w:p w14:paraId="681BFF7F"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0.757</w:t>
            </w:r>
          </w:p>
        </w:tc>
        <w:tc>
          <w:tcPr>
            <w:tcW w:w="934" w:type="dxa"/>
            <w:tcBorders>
              <w:top w:val="nil"/>
              <w:left w:val="nil"/>
              <w:bottom w:val="single" w:sz="6" w:space="0" w:color="auto"/>
              <w:right w:val="single" w:sz="6" w:space="0" w:color="auto"/>
            </w:tcBorders>
            <w:shd w:val="clear" w:color="auto" w:fill="auto"/>
            <w:vAlign w:val="center"/>
            <w:hideMark/>
          </w:tcPr>
          <w:p w14:paraId="15258A0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0.260</w:t>
            </w:r>
          </w:p>
        </w:tc>
        <w:tc>
          <w:tcPr>
            <w:tcW w:w="812" w:type="dxa"/>
            <w:tcBorders>
              <w:top w:val="nil"/>
              <w:left w:val="nil"/>
              <w:bottom w:val="single" w:sz="6" w:space="0" w:color="auto"/>
              <w:right w:val="single" w:sz="6" w:space="0" w:color="auto"/>
            </w:tcBorders>
            <w:shd w:val="clear" w:color="auto" w:fill="auto"/>
            <w:vAlign w:val="center"/>
            <w:hideMark/>
          </w:tcPr>
          <w:p w14:paraId="5C2BD3D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0.074</w:t>
            </w:r>
          </w:p>
        </w:tc>
        <w:tc>
          <w:tcPr>
            <w:tcW w:w="761" w:type="dxa"/>
            <w:tcBorders>
              <w:top w:val="nil"/>
              <w:left w:val="nil"/>
              <w:bottom w:val="single" w:sz="6" w:space="0" w:color="auto"/>
              <w:right w:val="single" w:sz="6" w:space="0" w:color="auto"/>
            </w:tcBorders>
            <w:shd w:val="clear" w:color="auto" w:fill="auto"/>
            <w:vAlign w:val="center"/>
            <w:hideMark/>
          </w:tcPr>
          <w:p w14:paraId="186A3DD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0.048</w:t>
            </w:r>
          </w:p>
        </w:tc>
        <w:tc>
          <w:tcPr>
            <w:tcW w:w="840" w:type="dxa"/>
            <w:tcBorders>
              <w:top w:val="nil"/>
              <w:left w:val="nil"/>
              <w:bottom w:val="single" w:sz="6" w:space="0" w:color="auto"/>
              <w:right w:val="single" w:sz="6" w:space="0" w:color="auto"/>
            </w:tcBorders>
            <w:shd w:val="clear" w:color="auto" w:fill="auto"/>
            <w:vAlign w:val="center"/>
            <w:hideMark/>
          </w:tcPr>
          <w:p w14:paraId="3ED3221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-0.199</w:t>
            </w:r>
          </w:p>
        </w:tc>
        <w:tc>
          <w:tcPr>
            <w:tcW w:w="761" w:type="dxa"/>
            <w:tcBorders>
              <w:top w:val="nil"/>
              <w:left w:val="nil"/>
              <w:bottom w:val="single" w:sz="4" w:space="0" w:color="auto"/>
              <w:right w:val="single" w:sz="4" w:space="0" w:color="auto"/>
            </w:tcBorders>
            <w:shd w:val="clear" w:color="auto" w:fill="auto"/>
            <w:vAlign w:val="center"/>
            <w:hideMark/>
          </w:tcPr>
          <w:p w14:paraId="44CED28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0.076</w:t>
            </w:r>
          </w:p>
        </w:tc>
        <w:tc>
          <w:tcPr>
            <w:tcW w:w="873" w:type="dxa"/>
            <w:tcBorders>
              <w:top w:val="nil"/>
              <w:left w:val="nil"/>
              <w:bottom w:val="single" w:sz="6" w:space="0" w:color="auto"/>
              <w:right w:val="single" w:sz="6" w:space="0" w:color="auto"/>
            </w:tcBorders>
            <w:shd w:val="clear" w:color="auto" w:fill="auto"/>
            <w:vAlign w:val="center"/>
            <w:hideMark/>
          </w:tcPr>
          <w:p w14:paraId="4D6F2B2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0.200</w:t>
            </w:r>
          </w:p>
        </w:tc>
        <w:tc>
          <w:tcPr>
            <w:tcW w:w="912" w:type="dxa"/>
            <w:tcBorders>
              <w:top w:val="nil"/>
              <w:left w:val="nil"/>
              <w:bottom w:val="single" w:sz="4" w:space="0" w:color="auto"/>
              <w:right w:val="single" w:sz="4" w:space="0" w:color="auto"/>
            </w:tcBorders>
            <w:shd w:val="clear" w:color="auto" w:fill="auto"/>
            <w:vAlign w:val="center"/>
            <w:hideMark/>
          </w:tcPr>
          <w:p w14:paraId="3CD86F0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0.083</w:t>
            </w:r>
          </w:p>
        </w:tc>
      </w:tr>
      <w:tr w:rsidR="003B5F34" w:rsidRPr="00BC081A" w14:paraId="06E5E214"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107A1B" w14:textId="0CA6567D"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SCompt</w:t>
            </w:r>
            <w:r w:rsidR="00E21C44" w:rsidRPr="00BC081A">
              <w:rPr>
                <w:rFonts w:ascii="Verdana" w:eastAsia="Times New Roman" w:hAnsi="Verdana" w:cs="Times New Roman"/>
                <w:b/>
                <w:bCs/>
                <w:color w:val="000000"/>
                <w:sz w:val="17"/>
                <w:szCs w:val="17"/>
              </w:rPr>
              <w:t>1</w:t>
            </w:r>
          </w:p>
        </w:tc>
        <w:tc>
          <w:tcPr>
            <w:tcW w:w="925" w:type="dxa"/>
            <w:tcBorders>
              <w:top w:val="nil"/>
              <w:left w:val="nil"/>
              <w:bottom w:val="single" w:sz="6" w:space="0" w:color="auto"/>
              <w:right w:val="single" w:sz="6" w:space="0" w:color="auto"/>
            </w:tcBorders>
            <w:shd w:val="clear" w:color="auto" w:fill="auto"/>
            <w:vAlign w:val="center"/>
            <w:hideMark/>
          </w:tcPr>
          <w:p w14:paraId="4729369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0.305</w:t>
            </w:r>
          </w:p>
        </w:tc>
        <w:tc>
          <w:tcPr>
            <w:tcW w:w="858" w:type="dxa"/>
            <w:tcBorders>
              <w:top w:val="nil"/>
              <w:left w:val="nil"/>
              <w:bottom w:val="single" w:sz="6" w:space="0" w:color="auto"/>
              <w:right w:val="single" w:sz="6" w:space="0" w:color="auto"/>
            </w:tcBorders>
            <w:shd w:val="clear" w:color="auto" w:fill="auto"/>
            <w:vAlign w:val="center"/>
            <w:hideMark/>
          </w:tcPr>
          <w:p w14:paraId="13206EC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0.478</w:t>
            </w:r>
          </w:p>
        </w:tc>
        <w:tc>
          <w:tcPr>
            <w:tcW w:w="934" w:type="dxa"/>
            <w:tcBorders>
              <w:top w:val="nil"/>
              <w:left w:val="nil"/>
              <w:bottom w:val="single" w:sz="6" w:space="0" w:color="auto"/>
              <w:right w:val="single" w:sz="6" w:space="0" w:color="auto"/>
            </w:tcBorders>
            <w:shd w:val="clear" w:color="auto" w:fill="auto"/>
            <w:vAlign w:val="center"/>
            <w:hideMark/>
          </w:tcPr>
          <w:p w14:paraId="5E4701BD"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0.869</w:t>
            </w:r>
          </w:p>
        </w:tc>
        <w:tc>
          <w:tcPr>
            <w:tcW w:w="812" w:type="dxa"/>
            <w:tcBorders>
              <w:top w:val="nil"/>
              <w:left w:val="nil"/>
              <w:bottom w:val="single" w:sz="6" w:space="0" w:color="auto"/>
              <w:right w:val="single" w:sz="6" w:space="0" w:color="auto"/>
            </w:tcBorders>
            <w:shd w:val="clear" w:color="auto" w:fill="auto"/>
            <w:vAlign w:val="center"/>
            <w:hideMark/>
          </w:tcPr>
          <w:p w14:paraId="651A9F0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0.363</w:t>
            </w:r>
          </w:p>
        </w:tc>
        <w:tc>
          <w:tcPr>
            <w:tcW w:w="761" w:type="dxa"/>
            <w:tcBorders>
              <w:top w:val="nil"/>
              <w:left w:val="nil"/>
              <w:bottom w:val="single" w:sz="6" w:space="0" w:color="auto"/>
              <w:right w:val="single" w:sz="6" w:space="0" w:color="auto"/>
            </w:tcBorders>
            <w:shd w:val="clear" w:color="auto" w:fill="auto"/>
            <w:vAlign w:val="center"/>
            <w:hideMark/>
          </w:tcPr>
          <w:p w14:paraId="4952C00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0.330</w:t>
            </w:r>
          </w:p>
        </w:tc>
        <w:tc>
          <w:tcPr>
            <w:tcW w:w="840" w:type="dxa"/>
            <w:tcBorders>
              <w:top w:val="nil"/>
              <w:left w:val="nil"/>
              <w:bottom w:val="single" w:sz="6" w:space="0" w:color="auto"/>
              <w:right w:val="single" w:sz="6" w:space="0" w:color="auto"/>
            </w:tcBorders>
            <w:shd w:val="clear" w:color="auto" w:fill="auto"/>
            <w:vAlign w:val="center"/>
            <w:hideMark/>
          </w:tcPr>
          <w:p w14:paraId="069EB8F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0.084</w:t>
            </w:r>
          </w:p>
        </w:tc>
        <w:tc>
          <w:tcPr>
            <w:tcW w:w="761" w:type="dxa"/>
            <w:tcBorders>
              <w:top w:val="nil"/>
              <w:left w:val="nil"/>
              <w:bottom w:val="single" w:sz="4" w:space="0" w:color="auto"/>
              <w:right w:val="single" w:sz="4" w:space="0" w:color="auto"/>
            </w:tcBorders>
            <w:shd w:val="clear" w:color="auto" w:fill="auto"/>
            <w:vAlign w:val="center"/>
            <w:hideMark/>
          </w:tcPr>
          <w:p w14:paraId="122BD54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0.337</w:t>
            </w:r>
          </w:p>
        </w:tc>
        <w:tc>
          <w:tcPr>
            <w:tcW w:w="873" w:type="dxa"/>
            <w:tcBorders>
              <w:top w:val="nil"/>
              <w:left w:val="nil"/>
              <w:bottom w:val="single" w:sz="6" w:space="0" w:color="auto"/>
              <w:right w:val="single" w:sz="6" w:space="0" w:color="auto"/>
            </w:tcBorders>
            <w:shd w:val="clear" w:color="auto" w:fill="auto"/>
            <w:vAlign w:val="center"/>
            <w:hideMark/>
          </w:tcPr>
          <w:p w14:paraId="36A2831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0.270</w:t>
            </w:r>
          </w:p>
        </w:tc>
        <w:tc>
          <w:tcPr>
            <w:tcW w:w="912" w:type="dxa"/>
            <w:tcBorders>
              <w:top w:val="nil"/>
              <w:left w:val="nil"/>
              <w:bottom w:val="single" w:sz="4" w:space="0" w:color="auto"/>
              <w:right w:val="single" w:sz="4" w:space="0" w:color="auto"/>
            </w:tcBorders>
            <w:shd w:val="clear" w:color="auto" w:fill="auto"/>
            <w:vAlign w:val="center"/>
            <w:hideMark/>
          </w:tcPr>
          <w:p w14:paraId="138C42A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0.350</w:t>
            </w:r>
          </w:p>
        </w:tc>
      </w:tr>
      <w:tr w:rsidR="003B5F34" w:rsidRPr="00BC081A" w14:paraId="0E114330"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1ED1D6" w14:textId="08F67042"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SCompt</w:t>
            </w:r>
            <w:r w:rsidR="00E21C44" w:rsidRPr="00BC081A">
              <w:rPr>
                <w:rFonts w:ascii="Verdana" w:eastAsia="Times New Roman" w:hAnsi="Verdana" w:cs="Times New Roman"/>
                <w:b/>
                <w:bCs/>
                <w:color w:val="000000"/>
                <w:sz w:val="17"/>
                <w:szCs w:val="17"/>
              </w:rPr>
              <w:t>2</w:t>
            </w:r>
          </w:p>
        </w:tc>
        <w:tc>
          <w:tcPr>
            <w:tcW w:w="925" w:type="dxa"/>
            <w:tcBorders>
              <w:top w:val="nil"/>
              <w:left w:val="nil"/>
              <w:bottom w:val="single" w:sz="6" w:space="0" w:color="auto"/>
              <w:right w:val="single" w:sz="6" w:space="0" w:color="auto"/>
            </w:tcBorders>
            <w:shd w:val="clear" w:color="auto" w:fill="auto"/>
            <w:vAlign w:val="center"/>
            <w:hideMark/>
          </w:tcPr>
          <w:p w14:paraId="0564DDE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0.349</w:t>
            </w:r>
          </w:p>
        </w:tc>
        <w:tc>
          <w:tcPr>
            <w:tcW w:w="858" w:type="dxa"/>
            <w:tcBorders>
              <w:top w:val="nil"/>
              <w:left w:val="nil"/>
              <w:bottom w:val="single" w:sz="6" w:space="0" w:color="auto"/>
              <w:right w:val="single" w:sz="6" w:space="0" w:color="auto"/>
            </w:tcBorders>
            <w:shd w:val="clear" w:color="auto" w:fill="auto"/>
            <w:vAlign w:val="center"/>
            <w:hideMark/>
          </w:tcPr>
          <w:p w14:paraId="09A1B49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0.297</w:t>
            </w:r>
          </w:p>
        </w:tc>
        <w:tc>
          <w:tcPr>
            <w:tcW w:w="934" w:type="dxa"/>
            <w:tcBorders>
              <w:top w:val="nil"/>
              <w:left w:val="nil"/>
              <w:bottom w:val="single" w:sz="6" w:space="0" w:color="auto"/>
              <w:right w:val="single" w:sz="6" w:space="0" w:color="auto"/>
            </w:tcBorders>
            <w:shd w:val="clear" w:color="auto" w:fill="auto"/>
            <w:vAlign w:val="center"/>
            <w:hideMark/>
          </w:tcPr>
          <w:p w14:paraId="1B9AF91A"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0.836</w:t>
            </w:r>
          </w:p>
        </w:tc>
        <w:tc>
          <w:tcPr>
            <w:tcW w:w="812" w:type="dxa"/>
            <w:tcBorders>
              <w:top w:val="nil"/>
              <w:left w:val="nil"/>
              <w:bottom w:val="single" w:sz="6" w:space="0" w:color="auto"/>
              <w:right w:val="single" w:sz="6" w:space="0" w:color="auto"/>
            </w:tcBorders>
            <w:shd w:val="clear" w:color="auto" w:fill="auto"/>
            <w:vAlign w:val="center"/>
            <w:hideMark/>
          </w:tcPr>
          <w:p w14:paraId="23531CE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0.402</w:t>
            </w:r>
          </w:p>
        </w:tc>
        <w:tc>
          <w:tcPr>
            <w:tcW w:w="761" w:type="dxa"/>
            <w:tcBorders>
              <w:top w:val="nil"/>
              <w:left w:val="nil"/>
              <w:bottom w:val="single" w:sz="6" w:space="0" w:color="auto"/>
              <w:right w:val="single" w:sz="6" w:space="0" w:color="auto"/>
            </w:tcBorders>
            <w:shd w:val="clear" w:color="auto" w:fill="auto"/>
            <w:vAlign w:val="center"/>
            <w:hideMark/>
          </w:tcPr>
          <w:p w14:paraId="4688CE8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0.387</w:t>
            </w:r>
          </w:p>
        </w:tc>
        <w:tc>
          <w:tcPr>
            <w:tcW w:w="840" w:type="dxa"/>
            <w:tcBorders>
              <w:top w:val="nil"/>
              <w:left w:val="nil"/>
              <w:bottom w:val="single" w:sz="6" w:space="0" w:color="auto"/>
              <w:right w:val="single" w:sz="6" w:space="0" w:color="auto"/>
            </w:tcBorders>
            <w:shd w:val="clear" w:color="auto" w:fill="auto"/>
            <w:vAlign w:val="center"/>
            <w:hideMark/>
          </w:tcPr>
          <w:p w14:paraId="0968714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0.084</w:t>
            </w:r>
          </w:p>
        </w:tc>
        <w:tc>
          <w:tcPr>
            <w:tcW w:w="761" w:type="dxa"/>
            <w:tcBorders>
              <w:top w:val="nil"/>
              <w:left w:val="nil"/>
              <w:bottom w:val="single" w:sz="4" w:space="0" w:color="auto"/>
              <w:right w:val="single" w:sz="4" w:space="0" w:color="auto"/>
            </w:tcBorders>
            <w:shd w:val="clear" w:color="auto" w:fill="auto"/>
            <w:vAlign w:val="center"/>
            <w:hideMark/>
          </w:tcPr>
          <w:p w14:paraId="06CF89C4"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0.363</w:t>
            </w:r>
          </w:p>
        </w:tc>
        <w:tc>
          <w:tcPr>
            <w:tcW w:w="873" w:type="dxa"/>
            <w:tcBorders>
              <w:top w:val="nil"/>
              <w:left w:val="nil"/>
              <w:bottom w:val="single" w:sz="6" w:space="0" w:color="auto"/>
              <w:right w:val="single" w:sz="6" w:space="0" w:color="auto"/>
            </w:tcBorders>
            <w:shd w:val="clear" w:color="auto" w:fill="auto"/>
            <w:vAlign w:val="center"/>
            <w:hideMark/>
          </w:tcPr>
          <w:p w14:paraId="62E4E22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0.317</w:t>
            </w:r>
          </w:p>
        </w:tc>
        <w:tc>
          <w:tcPr>
            <w:tcW w:w="912" w:type="dxa"/>
            <w:tcBorders>
              <w:top w:val="nil"/>
              <w:left w:val="nil"/>
              <w:bottom w:val="single" w:sz="4" w:space="0" w:color="auto"/>
              <w:right w:val="single" w:sz="4" w:space="0" w:color="auto"/>
            </w:tcBorders>
            <w:shd w:val="clear" w:color="auto" w:fill="auto"/>
            <w:vAlign w:val="center"/>
            <w:hideMark/>
          </w:tcPr>
          <w:p w14:paraId="01C56DC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0.405</w:t>
            </w:r>
          </w:p>
        </w:tc>
      </w:tr>
      <w:tr w:rsidR="003B5F34" w:rsidRPr="00BC081A" w14:paraId="6B82AAF7"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4B3E63" w14:textId="56050928"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SCompt</w:t>
            </w:r>
            <w:r w:rsidR="00E21C44" w:rsidRPr="00BC081A">
              <w:rPr>
                <w:rFonts w:ascii="Verdana" w:eastAsia="Times New Roman" w:hAnsi="Verdana" w:cs="Times New Roman"/>
                <w:b/>
                <w:bCs/>
                <w:color w:val="000000"/>
                <w:sz w:val="17"/>
                <w:szCs w:val="17"/>
              </w:rPr>
              <w:t>3</w:t>
            </w:r>
          </w:p>
        </w:tc>
        <w:tc>
          <w:tcPr>
            <w:tcW w:w="925" w:type="dxa"/>
            <w:tcBorders>
              <w:top w:val="nil"/>
              <w:left w:val="nil"/>
              <w:bottom w:val="single" w:sz="6" w:space="0" w:color="auto"/>
              <w:right w:val="single" w:sz="6" w:space="0" w:color="auto"/>
            </w:tcBorders>
            <w:shd w:val="clear" w:color="auto" w:fill="auto"/>
            <w:vAlign w:val="center"/>
            <w:hideMark/>
          </w:tcPr>
          <w:p w14:paraId="2CA5446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0.279</w:t>
            </w:r>
          </w:p>
        </w:tc>
        <w:tc>
          <w:tcPr>
            <w:tcW w:w="858" w:type="dxa"/>
            <w:tcBorders>
              <w:top w:val="nil"/>
              <w:left w:val="nil"/>
              <w:bottom w:val="single" w:sz="6" w:space="0" w:color="auto"/>
              <w:right w:val="single" w:sz="6" w:space="0" w:color="auto"/>
            </w:tcBorders>
            <w:shd w:val="clear" w:color="auto" w:fill="auto"/>
            <w:vAlign w:val="center"/>
            <w:hideMark/>
          </w:tcPr>
          <w:p w14:paraId="5B3E784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0.369</w:t>
            </w:r>
          </w:p>
        </w:tc>
        <w:tc>
          <w:tcPr>
            <w:tcW w:w="934" w:type="dxa"/>
            <w:tcBorders>
              <w:top w:val="nil"/>
              <w:left w:val="nil"/>
              <w:bottom w:val="single" w:sz="6" w:space="0" w:color="auto"/>
              <w:right w:val="single" w:sz="6" w:space="0" w:color="auto"/>
            </w:tcBorders>
            <w:shd w:val="clear" w:color="auto" w:fill="auto"/>
            <w:vAlign w:val="center"/>
            <w:hideMark/>
          </w:tcPr>
          <w:p w14:paraId="06998A4D"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0.847</w:t>
            </w:r>
          </w:p>
        </w:tc>
        <w:tc>
          <w:tcPr>
            <w:tcW w:w="812" w:type="dxa"/>
            <w:tcBorders>
              <w:top w:val="nil"/>
              <w:left w:val="nil"/>
              <w:bottom w:val="single" w:sz="6" w:space="0" w:color="auto"/>
              <w:right w:val="single" w:sz="6" w:space="0" w:color="auto"/>
            </w:tcBorders>
            <w:shd w:val="clear" w:color="auto" w:fill="auto"/>
            <w:vAlign w:val="center"/>
            <w:hideMark/>
          </w:tcPr>
          <w:p w14:paraId="4B5B502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0.464</w:t>
            </w:r>
          </w:p>
        </w:tc>
        <w:tc>
          <w:tcPr>
            <w:tcW w:w="761" w:type="dxa"/>
            <w:tcBorders>
              <w:top w:val="nil"/>
              <w:left w:val="nil"/>
              <w:bottom w:val="single" w:sz="6" w:space="0" w:color="auto"/>
              <w:right w:val="single" w:sz="6" w:space="0" w:color="auto"/>
            </w:tcBorders>
            <w:shd w:val="clear" w:color="auto" w:fill="auto"/>
            <w:vAlign w:val="center"/>
            <w:hideMark/>
          </w:tcPr>
          <w:p w14:paraId="091F2AD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0.359</w:t>
            </w:r>
          </w:p>
        </w:tc>
        <w:tc>
          <w:tcPr>
            <w:tcW w:w="840" w:type="dxa"/>
            <w:tcBorders>
              <w:top w:val="nil"/>
              <w:left w:val="nil"/>
              <w:bottom w:val="single" w:sz="6" w:space="0" w:color="auto"/>
              <w:right w:val="single" w:sz="6" w:space="0" w:color="auto"/>
            </w:tcBorders>
            <w:shd w:val="clear" w:color="auto" w:fill="auto"/>
            <w:vAlign w:val="center"/>
            <w:hideMark/>
          </w:tcPr>
          <w:p w14:paraId="0BBB037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0.021</w:t>
            </w:r>
          </w:p>
        </w:tc>
        <w:tc>
          <w:tcPr>
            <w:tcW w:w="761" w:type="dxa"/>
            <w:tcBorders>
              <w:top w:val="nil"/>
              <w:left w:val="nil"/>
              <w:bottom w:val="single" w:sz="4" w:space="0" w:color="auto"/>
              <w:right w:val="single" w:sz="4" w:space="0" w:color="auto"/>
            </w:tcBorders>
            <w:shd w:val="clear" w:color="auto" w:fill="auto"/>
            <w:vAlign w:val="center"/>
            <w:hideMark/>
          </w:tcPr>
          <w:p w14:paraId="2081077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0.259</w:t>
            </w:r>
          </w:p>
        </w:tc>
        <w:tc>
          <w:tcPr>
            <w:tcW w:w="873" w:type="dxa"/>
            <w:tcBorders>
              <w:top w:val="nil"/>
              <w:left w:val="nil"/>
              <w:bottom w:val="single" w:sz="6" w:space="0" w:color="auto"/>
              <w:right w:val="single" w:sz="6" w:space="0" w:color="auto"/>
            </w:tcBorders>
            <w:shd w:val="clear" w:color="auto" w:fill="auto"/>
            <w:vAlign w:val="center"/>
            <w:hideMark/>
          </w:tcPr>
          <w:p w14:paraId="1108E15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0.201</w:t>
            </w:r>
          </w:p>
        </w:tc>
        <w:tc>
          <w:tcPr>
            <w:tcW w:w="912" w:type="dxa"/>
            <w:tcBorders>
              <w:top w:val="nil"/>
              <w:left w:val="nil"/>
              <w:bottom w:val="single" w:sz="4" w:space="0" w:color="auto"/>
              <w:right w:val="single" w:sz="4" w:space="0" w:color="auto"/>
            </w:tcBorders>
            <w:shd w:val="clear" w:color="auto" w:fill="auto"/>
            <w:vAlign w:val="center"/>
            <w:hideMark/>
          </w:tcPr>
          <w:p w14:paraId="1CB8758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0.280</w:t>
            </w:r>
          </w:p>
        </w:tc>
      </w:tr>
      <w:tr w:rsidR="003B5F34" w:rsidRPr="00BC081A" w14:paraId="483F82B9"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E5B288" w14:textId="38FAF063" w:rsidR="00E21C44" w:rsidRPr="00BC081A" w:rsidRDefault="005624B9"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SCompt</w:t>
            </w:r>
            <w:r w:rsidR="00E21C44" w:rsidRPr="00BC081A">
              <w:rPr>
                <w:rFonts w:ascii="Verdana" w:eastAsia="Times New Roman" w:hAnsi="Verdana" w:cs="Times New Roman"/>
                <w:b/>
                <w:bCs/>
                <w:color w:val="000000"/>
                <w:sz w:val="17"/>
                <w:szCs w:val="17"/>
              </w:rPr>
              <w:t>4</w:t>
            </w:r>
          </w:p>
        </w:tc>
        <w:tc>
          <w:tcPr>
            <w:tcW w:w="925" w:type="dxa"/>
            <w:tcBorders>
              <w:top w:val="nil"/>
              <w:left w:val="nil"/>
              <w:bottom w:val="single" w:sz="6" w:space="0" w:color="auto"/>
              <w:right w:val="single" w:sz="6" w:space="0" w:color="auto"/>
            </w:tcBorders>
            <w:shd w:val="clear" w:color="auto" w:fill="auto"/>
            <w:vAlign w:val="center"/>
            <w:hideMark/>
          </w:tcPr>
          <w:p w14:paraId="1CFEB4F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0.268</w:t>
            </w:r>
          </w:p>
        </w:tc>
        <w:tc>
          <w:tcPr>
            <w:tcW w:w="858" w:type="dxa"/>
            <w:tcBorders>
              <w:top w:val="nil"/>
              <w:left w:val="nil"/>
              <w:bottom w:val="single" w:sz="6" w:space="0" w:color="auto"/>
              <w:right w:val="single" w:sz="6" w:space="0" w:color="auto"/>
            </w:tcBorders>
            <w:shd w:val="clear" w:color="auto" w:fill="auto"/>
            <w:vAlign w:val="center"/>
            <w:hideMark/>
          </w:tcPr>
          <w:p w14:paraId="727246D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0.350</w:t>
            </w:r>
          </w:p>
        </w:tc>
        <w:tc>
          <w:tcPr>
            <w:tcW w:w="934" w:type="dxa"/>
            <w:tcBorders>
              <w:top w:val="nil"/>
              <w:left w:val="nil"/>
              <w:bottom w:val="single" w:sz="6" w:space="0" w:color="auto"/>
              <w:right w:val="single" w:sz="6" w:space="0" w:color="auto"/>
            </w:tcBorders>
            <w:shd w:val="clear" w:color="auto" w:fill="auto"/>
            <w:vAlign w:val="center"/>
            <w:hideMark/>
          </w:tcPr>
          <w:p w14:paraId="2514ACC1"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0.887</w:t>
            </w:r>
          </w:p>
        </w:tc>
        <w:tc>
          <w:tcPr>
            <w:tcW w:w="812" w:type="dxa"/>
            <w:tcBorders>
              <w:top w:val="nil"/>
              <w:left w:val="nil"/>
              <w:bottom w:val="single" w:sz="6" w:space="0" w:color="auto"/>
              <w:right w:val="single" w:sz="6" w:space="0" w:color="auto"/>
            </w:tcBorders>
            <w:shd w:val="clear" w:color="auto" w:fill="auto"/>
            <w:vAlign w:val="center"/>
            <w:hideMark/>
          </w:tcPr>
          <w:p w14:paraId="25342B5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0.468</w:t>
            </w:r>
          </w:p>
        </w:tc>
        <w:tc>
          <w:tcPr>
            <w:tcW w:w="761" w:type="dxa"/>
            <w:tcBorders>
              <w:top w:val="nil"/>
              <w:left w:val="nil"/>
              <w:bottom w:val="single" w:sz="6" w:space="0" w:color="auto"/>
              <w:right w:val="single" w:sz="6" w:space="0" w:color="auto"/>
            </w:tcBorders>
            <w:shd w:val="clear" w:color="auto" w:fill="auto"/>
            <w:vAlign w:val="center"/>
            <w:hideMark/>
          </w:tcPr>
          <w:p w14:paraId="5D6EE65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0.359</w:t>
            </w:r>
          </w:p>
        </w:tc>
        <w:tc>
          <w:tcPr>
            <w:tcW w:w="840" w:type="dxa"/>
            <w:tcBorders>
              <w:top w:val="nil"/>
              <w:left w:val="nil"/>
              <w:bottom w:val="single" w:sz="6" w:space="0" w:color="auto"/>
              <w:right w:val="single" w:sz="6" w:space="0" w:color="auto"/>
            </w:tcBorders>
            <w:shd w:val="clear" w:color="auto" w:fill="auto"/>
            <w:vAlign w:val="center"/>
            <w:hideMark/>
          </w:tcPr>
          <w:p w14:paraId="02888E7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0.090</w:t>
            </w:r>
          </w:p>
        </w:tc>
        <w:tc>
          <w:tcPr>
            <w:tcW w:w="761" w:type="dxa"/>
            <w:tcBorders>
              <w:top w:val="nil"/>
              <w:left w:val="nil"/>
              <w:bottom w:val="single" w:sz="4" w:space="0" w:color="auto"/>
              <w:right w:val="single" w:sz="4" w:space="0" w:color="auto"/>
            </w:tcBorders>
            <w:shd w:val="clear" w:color="auto" w:fill="auto"/>
            <w:vAlign w:val="center"/>
            <w:hideMark/>
          </w:tcPr>
          <w:p w14:paraId="4BCE882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0.292</w:t>
            </w:r>
          </w:p>
        </w:tc>
        <w:tc>
          <w:tcPr>
            <w:tcW w:w="873" w:type="dxa"/>
            <w:tcBorders>
              <w:top w:val="nil"/>
              <w:left w:val="nil"/>
              <w:bottom w:val="single" w:sz="6" w:space="0" w:color="auto"/>
              <w:right w:val="single" w:sz="6" w:space="0" w:color="auto"/>
            </w:tcBorders>
            <w:shd w:val="clear" w:color="auto" w:fill="auto"/>
            <w:vAlign w:val="center"/>
            <w:hideMark/>
          </w:tcPr>
          <w:p w14:paraId="4D49417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0.194</w:t>
            </w:r>
          </w:p>
        </w:tc>
        <w:tc>
          <w:tcPr>
            <w:tcW w:w="912" w:type="dxa"/>
            <w:tcBorders>
              <w:top w:val="nil"/>
              <w:left w:val="nil"/>
              <w:bottom w:val="single" w:sz="4" w:space="0" w:color="auto"/>
              <w:right w:val="single" w:sz="4" w:space="0" w:color="auto"/>
            </w:tcBorders>
            <w:shd w:val="clear" w:color="auto" w:fill="auto"/>
            <w:vAlign w:val="center"/>
            <w:hideMark/>
          </w:tcPr>
          <w:p w14:paraId="0E615D2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0.272</w:t>
            </w:r>
          </w:p>
        </w:tc>
      </w:tr>
      <w:tr w:rsidR="003B5F34" w:rsidRPr="00BC081A" w14:paraId="5FA21851"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86E014"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lastRenderedPageBreak/>
              <w:t>CH1</w:t>
            </w:r>
          </w:p>
        </w:tc>
        <w:tc>
          <w:tcPr>
            <w:tcW w:w="925" w:type="dxa"/>
            <w:tcBorders>
              <w:top w:val="nil"/>
              <w:left w:val="nil"/>
              <w:bottom w:val="single" w:sz="6" w:space="0" w:color="auto"/>
              <w:right w:val="single" w:sz="6" w:space="0" w:color="auto"/>
            </w:tcBorders>
            <w:shd w:val="clear" w:color="auto" w:fill="auto"/>
            <w:vAlign w:val="center"/>
            <w:hideMark/>
          </w:tcPr>
          <w:p w14:paraId="1C4F362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0.217</w:t>
            </w:r>
          </w:p>
        </w:tc>
        <w:tc>
          <w:tcPr>
            <w:tcW w:w="858" w:type="dxa"/>
            <w:tcBorders>
              <w:top w:val="nil"/>
              <w:left w:val="nil"/>
              <w:bottom w:val="single" w:sz="6" w:space="0" w:color="auto"/>
              <w:right w:val="single" w:sz="6" w:space="0" w:color="auto"/>
            </w:tcBorders>
            <w:shd w:val="clear" w:color="auto" w:fill="auto"/>
            <w:vAlign w:val="center"/>
            <w:hideMark/>
          </w:tcPr>
          <w:p w14:paraId="25DE778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0.160</w:t>
            </w:r>
          </w:p>
        </w:tc>
        <w:tc>
          <w:tcPr>
            <w:tcW w:w="934" w:type="dxa"/>
            <w:tcBorders>
              <w:top w:val="nil"/>
              <w:left w:val="nil"/>
              <w:bottom w:val="single" w:sz="6" w:space="0" w:color="auto"/>
              <w:right w:val="single" w:sz="6" w:space="0" w:color="auto"/>
            </w:tcBorders>
            <w:shd w:val="clear" w:color="auto" w:fill="auto"/>
            <w:vAlign w:val="center"/>
            <w:hideMark/>
          </w:tcPr>
          <w:p w14:paraId="629C305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0.526</w:t>
            </w:r>
          </w:p>
        </w:tc>
        <w:tc>
          <w:tcPr>
            <w:tcW w:w="812" w:type="dxa"/>
            <w:tcBorders>
              <w:top w:val="nil"/>
              <w:left w:val="nil"/>
              <w:bottom w:val="single" w:sz="6" w:space="0" w:color="auto"/>
              <w:right w:val="single" w:sz="6" w:space="0" w:color="auto"/>
            </w:tcBorders>
            <w:shd w:val="clear" w:color="auto" w:fill="auto"/>
            <w:vAlign w:val="center"/>
            <w:hideMark/>
          </w:tcPr>
          <w:p w14:paraId="1CF73939"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0.901</w:t>
            </w:r>
          </w:p>
        </w:tc>
        <w:tc>
          <w:tcPr>
            <w:tcW w:w="761" w:type="dxa"/>
            <w:tcBorders>
              <w:top w:val="nil"/>
              <w:left w:val="nil"/>
              <w:bottom w:val="single" w:sz="6" w:space="0" w:color="auto"/>
              <w:right w:val="single" w:sz="6" w:space="0" w:color="auto"/>
            </w:tcBorders>
            <w:shd w:val="clear" w:color="auto" w:fill="auto"/>
            <w:vAlign w:val="center"/>
            <w:hideMark/>
          </w:tcPr>
          <w:p w14:paraId="535AFB5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0.440</w:t>
            </w:r>
          </w:p>
        </w:tc>
        <w:tc>
          <w:tcPr>
            <w:tcW w:w="840" w:type="dxa"/>
            <w:tcBorders>
              <w:top w:val="nil"/>
              <w:left w:val="nil"/>
              <w:bottom w:val="single" w:sz="6" w:space="0" w:color="auto"/>
              <w:right w:val="single" w:sz="6" w:space="0" w:color="auto"/>
            </w:tcBorders>
            <w:shd w:val="clear" w:color="auto" w:fill="auto"/>
            <w:vAlign w:val="center"/>
            <w:hideMark/>
          </w:tcPr>
          <w:p w14:paraId="646975A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0.273</w:t>
            </w:r>
          </w:p>
        </w:tc>
        <w:tc>
          <w:tcPr>
            <w:tcW w:w="761" w:type="dxa"/>
            <w:tcBorders>
              <w:top w:val="nil"/>
              <w:left w:val="nil"/>
              <w:bottom w:val="single" w:sz="4" w:space="0" w:color="auto"/>
              <w:right w:val="single" w:sz="4" w:space="0" w:color="auto"/>
            </w:tcBorders>
            <w:shd w:val="clear" w:color="auto" w:fill="auto"/>
            <w:vAlign w:val="center"/>
            <w:hideMark/>
          </w:tcPr>
          <w:p w14:paraId="3CD345D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0.329</w:t>
            </w:r>
          </w:p>
        </w:tc>
        <w:tc>
          <w:tcPr>
            <w:tcW w:w="873" w:type="dxa"/>
            <w:tcBorders>
              <w:top w:val="nil"/>
              <w:left w:val="nil"/>
              <w:bottom w:val="single" w:sz="6" w:space="0" w:color="auto"/>
              <w:right w:val="single" w:sz="6" w:space="0" w:color="auto"/>
            </w:tcBorders>
            <w:shd w:val="clear" w:color="auto" w:fill="auto"/>
            <w:vAlign w:val="center"/>
            <w:hideMark/>
          </w:tcPr>
          <w:p w14:paraId="102BD99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0.301</w:t>
            </w:r>
          </w:p>
        </w:tc>
        <w:tc>
          <w:tcPr>
            <w:tcW w:w="912" w:type="dxa"/>
            <w:tcBorders>
              <w:top w:val="nil"/>
              <w:left w:val="nil"/>
              <w:bottom w:val="single" w:sz="4" w:space="0" w:color="auto"/>
              <w:right w:val="single" w:sz="4" w:space="0" w:color="auto"/>
            </w:tcBorders>
            <w:shd w:val="clear" w:color="auto" w:fill="auto"/>
            <w:vAlign w:val="center"/>
            <w:hideMark/>
          </w:tcPr>
          <w:p w14:paraId="7D48744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0.490</w:t>
            </w:r>
          </w:p>
        </w:tc>
      </w:tr>
      <w:tr w:rsidR="003B5F34" w:rsidRPr="00BC081A" w14:paraId="2FECD83B"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8BC8BE"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CH2</w:t>
            </w:r>
          </w:p>
        </w:tc>
        <w:tc>
          <w:tcPr>
            <w:tcW w:w="925" w:type="dxa"/>
            <w:tcBorders>
              <w:top w:val="nil"/>
              <w:left w:val="nil"/>
              <w:bottom w:val="single" w:sz="6" w:space="0" w:color="auto"/>
              <w:right w:val="single" w:sz="6" w:space="0" w:color="auto"/>
            </w:tcBorders>
            <w:shd w:val="clear" w:color="auto" w:fill="auto"/>
            <w:vAlign w:val="center"/>
            <w:hideMark/>
          </w:tcPr>
          <w:p w14:paraId="55A121C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0.156</w:t>
            </w:r>
          </w:p>
        </w:tc>
        <w:tc>
          <w:tcPr>
            <w:tcW w:w="858" w:type="dxa"/>
            <w:tcBorders>
              <w:top w:val="nil"/>
              <w:left w:val="nil"/>
              <w:bottom w:val="single" w:sz="6" w:space="0" w:color="auto"/>
              <w:right w:val="single" w:sz="6" w:space="0" w:color="auto"/>
            </w:tcBorders>
            <w:shd w:val="clear" w:color="auto" w:fill="auto"/>
            <w:vAlign w:val="center"/>
            <w:hideMark/>
          </w:tcPr>
          <w:p w14:paraId="21989ED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0.146</w:t>
            </w:r>
          </w:p>
        </w:tc>
        <w:tc>
          <w:tcPr>
            <w:tcW w:w="934" w:type="dxa"/>
            <w:tcBorders>
              <w:top w:val="nil"/>
              <w:left w:val="nil"/>
              <w:bottom w:val="single" w:sz="6" w:space="0" w:color="auto"/>
              <w:right w:val="single" w:sz="6" w:space="0" w:color="auto"/>
            </w:tcBorders>
            <w:shd w:val="clear" w:color="auto" w:fill="auto"/>
            <w:vAlign w:val="center"/>
            <w:hideMark/>
          </w:tcPr>
          <w:p w14:paraId="77125AA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0.351</w:t>
            </w:r>
          </w:p>
        </w:tc>
        <w:tc>
          <w:tcPr>
            <w:tcW w:w="812" w:type="dxa"/>
            <w:tcBorders>
              <w:top w:val="nil"/>
              <w:left w:val="nil"/>
              <w:bottom w:val="single" w:sz="6" w:space="0" w:color="auto"/>
              <w:right w:val="single" w:sz="6" w:space="0" w:color="auto"/>
            </w:tcBorders>
            <w:shd w:val="clear" w:color="auto" w:fill="auto"/>
            <w:vAlign w:val="center"/>
            <w:hideMark/>
          </w:tcPr>
          <w:p w14:paraId="162C6328"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0.839</w:t>
            </w:r>
          </w:p>
        </w:tc>
        <w:tc>
          <w:tcPr>
            <w:tcW w:w="761" w:type="dxa"/>
            <w:tcBorders>
              <w:top w:val="nil"/>
              <w:left w:val="nil"/>
              <w:bottom w:val="single" w:sz="6" w:space="0" w:color="auto"/>
              <w:right w:val="single" w:sz="6" w:space="0" w:color="auto"/>
            </w:tcBorders>
            <w:shd w:val="clear" w:color="auto" w:fill="auto"/>
            <w:vAlign w:val="center"/>
            <w:hideMark/>
          </w:tcPr>
          <w:p w14:paraId="3FE4A8B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0.197</w:t>
            </w:r>
          </w:p>
        </w:tc>
        <w:tc>
          <w:tcPr>
            <w:tcW w:w="840" w:type="dxa"/>
            <w:tcBorders>
              <w:top w:val="nil"/>
              <w:left w:val="nil"/>
              <w:bottom w:val="single" w:sz="6" w:space="0" w:color="auto"/>
              <w:right w:val="single" w:sz="6" w:space="0" w:color="auto"/>
            </w:tcBorders>
            <w:shd w:val="clear" w:color="auto" w:fill="auto"/>
            <w:vAlign w:val="center"/>
            <w:hideMark/>
          </w:tcPr>
          <w:p w14:paraId="422903E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0.166</w:t>
            </w:r>
          </w:p>
        </w:tc>
        <w:tc>
          <w:tcPr>
            <w:tcW w:w="761" w:type="dxa"/>
            <w:tcBorders>
              <w:top w:val="nil"/>
              <w:left w:val="nil"/>
              <w:bottom w:val="single" w:sz="4" w:space="0" w:color="auto"/>
              <w:right w:val="single" w:sz="4" w:space="0" w:color="auto"/>
            </w:tcBorders>
            <w:shd w:val="clear" w:color="auto" w:fill="auto"/>
            <w:vAlign w:val="center"/>
            <w:hideMark/>
          </w:tcPr>
          <w:p w14:paraId="3A8811E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0.162</w:t>
            </w:r>
          </w:p>
        </w:tc>
        <w:tc>
          <w:tcPr>
            <w:tcW w:w="873" w:type="dxa"/>
            <w:tcBorders>
              <w:top w:val="nil"/>
              <w:left w:val="nil"/>
              <w:bottom w:val="single" w:sz="6" w:space="0" w:color="auto"/>
              <w:right w:val="single" w:sz="6" w:space="0" w:color="auto"/>
            </w:tcBorders>
            <w:shd w:val="clear" w:color="auto" w:fill="auto"/>
            <w:vAlign w:val="center"/>
            <w:hideMark/>
          </w:tcPr>
          <w:p w14:paraId="1122D7D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0.150</w:t>
            </w:r>
          </w:p>
        </w:tc>
        <w:tc>
          <w:tcPr>
            <w:tcW w:w="912" w:type="dxa"/>
            <w:tcBorders>
              <w:top w:val="nil"/>
              <w:left w:val="nil"/>
              <w:bottom w:val="single" w:sz="4" w:space="0" w:color="auto"/>
              <w:right w:val="single" w:sz="4" w:space="0" w:color="auto"/>
            </w:tcBorders>
            <w:shd w:val="clear" w:color="auto" w:fill="auto"/>
            <w:vAlign w:val="center"/>
            <w:hideMark/>
          </w:tcPr>
          <w:p w14:paraId="00BEB9D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0.326</w:t>
            </w:r>
          </w:p>
        </w:tc>
      </w:tr>
      <w:tr w:rsidR="003B5F34" w:rsidRPr="00BC081A" w14:paraId="6E44B432"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3028D3"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CH3</w:t>
            </w:r>
          </w:p>
        </w:tc>
        <w:tc>
          <w:tcPr>
            <w:tcW w:w="925" w:type="dxa"/>
            <w:tcBorders>
              <w:top w:val="nil"/>
              <w:left w:val="nil"/>
              <w:bottom w:val="single" w:sz="6" w:space="0" w:color="auto"/>
              <w:right w:val="single" w:sz="6" w:space="0" w:color="auto"/>
            </w:tcBorders>
            <w:shd w:val="clear" w:color="auto" w:fill="auto"/>
            <w:vAlign w:val="center"/>
            <w:hideMark/>
          </w:tcPr>
          <w:p w14:paraId="4E9B006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0.142</w:t>
            </w:r>
          </w:p>
        </w:tc>
        <w:tc>
          <w:tcPr>
            <w:tcW w:w="858" w:type="dxa"/>
            <w:tcBorders>
              <w:top w:val="nil"/>
              <w:left w:val="nil"/>
              <w:bottom w:val="single" w:sz="6" w:space="0" w:color="auto"/>
              <w:right w:val="single" w:sz="6" w:space="0" w:color="auto"/>
            </w:tcBorders>
            <w:shd w:val="clear" w:color="auto" w:fill="auto"/>
            <w:vAlign w:val="center"/>
            <w:hideMark/>
          </w:tcPr>
          <w:p w14:paraId="2B6A63A4"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0.201</w:t>
            </w:r>
          </w:p>
        </w:tc>
        <w:tc>
          <w:tcPr>
            <w:tcW w:w="934" w:type="dxa"/>
            <w:tcBorders>
              <w:top w:val="nil"/>
              <w:left w:val="nil"/>
              <w:bottom w:val="single" w:sz="6" w:space="0" w:color="auto"/>
              <w:right w:val="single" w:sz="6" w:space="0" w:color="auto"/>
            </w:tcBorders>
            <w:shd w:val="clear" w:color="auto" w:fill="auto"/>
            <w:vAlign w:val="center"/>
            <w:hideMark/>
          </w:tcPr>
          <w:p w14:paraId="2B7D570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0.343</w:t>
            </w:r>
          </w:p>
        </w:tc>
        <w:tc>
          <w:tcPr>
            <w:tcW w:w="812" w:type="dxa"/>
            <w:tcBorders>
              <w:top w:val="nil"/>
              <w:left w:val="nil"/>
              <w:bottom w:val="single" w:sz="6" w:space="0" w:color="auto"/>
              <w:right w:val="single" w:sz="6" w:space="0" w:color="auto"/>
            </w:tcBorders>
            <w:shd w:val="clear" w:color="auto" w:fill="auto"/>
            <w:vAlign w:val="center"/>
            <w:hideMark/>
          </w:tcPr>
          <w:p w14:paraId="027FA5B2"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0.839</w:t>
            </w:r>
          </w:p>
        </w:tc>
        <w:tc>
          <w:tcPr>
            <w:tcW w:w="761" w:type="dxa"/>
            <w:tcBorders>
              <w:top w:val="nil"/>
              <w:left w:val="nil"/>
              <w:bottom w:val="single" w:sz="6" w:space="0" w:color="auto"/>
              <w:right w:val="single" w:sz="6" w:space="0" w:color="auto"/>
            </w:tcBorders>
            <w:shd w:val="clear" w:color="auto" w:fill="auto"/>
            <w:vAlign w:val="center"/>
            <w:hideMark/>
          </w:tcPr>
          <w:p w14:paraId="76045974"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0.280</w:t>
            </w:r>
          </w:p>
        </w:tc>
        <w:tc>
          <w:tcPr>
            <w:tcW w:w="840" w:type="dxa"/>
            <w:tcBorders>
              <w:top w:val="nil"/>
              <w:left w:val="nil"/>
              <w:bottom w:val="single" w:sz="6" w:space="0" w:color="auto"/>
              <w:right w:val="single" w:sz="6" w:space="0" w:color="auto"/>
            </w:tcBorders>
            <w:shd w:val="clear" w:color="auto" w:fill="auto"/>
            <w:vAlign w:val="center"/>
            <w:hideMark/>
          </w:tcPr>
          <w:p w14:paraId="1FE8B56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0.136</w:t>
            </w:r>
          </w:p>
        </w:tc>
        <w:tc>
          <w:tcPr>
            <w:tcW w:w="761" w:type="dxa"/>
            <w:tcBorders>
              <w:top w:val="nil"/>
              <w:left w:val="nil"/>
              <w:bottom w:val="single" w:sz="4" w:space="0" w:color="auto"/>
              <w:right w:val="single" w:sz="4" w:space="0" w:color="auto"/>
            </w:tcBorders>
            <w:shd w:val="clear" w:color="auto" w:fill="auto"/>
            <w:vAlign w:val="center"/>
            <w:hideMark/>
          </w:tcPr>
          <w:p w14:paraId="3D83D70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0.253</w:t>
            </w:r>
          </w:p>
        </w:tc>
        <w:tc>
          <w:tcPr>
            <w:tcW w:w="873" w:type="dxa"/>
            <w:tcBorders>
              <w:top w:val="nil"/>
              <w:left w:val="nil"/>
              <w:bottom w:val="single" w:sz="6" w:space="0" w:color="auto"/>
              <w:right w:val="single" w:sz="6" w:space="0" w:color="auto"/>
            </w:tcBorders>
            <w:shd w:val="clear" w:color="auto" w:fill="auto"/>
            <w:vAlign w:val="center"/>
            <w:hideMark/>
          </w:tcPr>
          <w:p w14:paraId="05DC301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0.261</w:t>
            </w:r>
          </w:p>
        </w:tc>
        <w:tc>
          <w:tcPr>
            <w:tcW w:w="912" w:type="dxa"/>
            <w:tcBorders>
              <w:top w:val="nil"/>
              <w:left w:val="nil"/>
              <w:bottom w:val="single" w:sz="4" w:space="0" w:color="auto"/>
              <w:right w:val="single" w:sz="4" w:space="0" w:color="auto"/>
            </w:tcBorders>
            <w:shd w:val="clear" w:color="auto" w:fill="auto"/>
            <w:vAlign w:val="center"/>
            <w:hideMark/>
          </w:tcPr>
          <w:p w14:paraId="6B2E677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0.402</w:t>
            </w:r>
          </w:p>
        </w:tc>
      </w:tr>
      <w:tr w:rsidR="003B5F34" w:rsidRPr="00BC081A" w14:paraId="4DBA8C1E"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C1CC30"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AR1</w:t>
            </w:r>
          </w:p>
        </w:tc>
        <w:tc>
          <w:tcPr>
            <w:tcW w:w="925" w:type="dxa"/>
            <w:tcBorders>
              <w:top w:val="nil"/>
              <w:left w:val="nil"/>
              <w:bottom w:val="single" w:sz="6" w:space="0" w:color="auto"/>
              <w:right w:val="single" w:sz="6" w:space="0" w:color="auto"/>
            </w:tcBorders>
            <w:shd w:val="clear" w:color="auto" w:fill="auto"/>
            <w:vAlign w:val="center"/>
            <w:hideMark/>
          </w:tcPr>
          <w:p w14:paraId="11C3282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0.156</w:t>
            </w:r>
          </w:p>
        </w:tc>
        <w:tc>
          <w:tcPr>
            <w:tcW w:w="858" w:type="dxa"/>
            <w:tcBorders>
              <w:top w:val="nil"/>
              <w:left w:val="nil"/>
              <w:bottom w:val="single" w:sz="6" w:space="0" w:color="auto"/>
              <w:right w:val="single" w:sz="6" w:space="0" w:color="auto"/>
            </w:tcBorders>
            <w:shd w:val="clear" w:color="auto" w:fill="auto"/>
            <w:vAlign w:val="center"/>
            <w:hideMark/>
          </w:tcPr>
          <w:p w14:paraId="06E91EE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0.161</w:t>
            </w:r>
          </w:p>
        </w:tc>
        <w:tc>
          <w:tcPr>
            <w:tcW w:w="934" w:type="dxa"/>
            <w:tcBorders>
              <w:top w:val="nil"/>
              <w:left w:val="nil"/>
              <w:bottom w:val="single" w:sz="6" w:space="0" w:color="auto"/>
              <w:right w:val="single" w:sz="6" w:space="0" w:color="auto"/>
            </w:tcBorders>
            <w:shd w:val="clear" w:color="auto" w:fill="auto"/>
            <w:vAlign w:val="center"/>
            <w:hideMark/>
          </w:tcPr>
          <w:p w14:paraId="3853C54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0.297</w:t>
            </w:r>
          </w:p>
        </w:tc>
        <w:tc>
          <w:tcPr>
            <w:tcW w:w="812" w:type="dxa"/>
            <w:tcBorders>
              <w:top w:val="nil"/>
              <w:left w:val="nil"/>
              <w:bottom w:val="single" w:sz="6" w:space="0" w:color="auto"/>
              <w:right w:val="single" w:sz="6" w:space="0" w:color="auto"/>
            </w:tcBorders>
            <w:shd w:val="clear" w:color="auto" w:fill="auto"/>
            <w:vAlign w:val="center"/>
            <w:hideMark/>
          </w:tcPr>
          <w:p w14:paraId="00C53A6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0.305</w:t>
            </w:r>
          </w:p>
        </w:tc>
        <w:tc>
          <w:tcPr>
            <w:tcW w:w="761" w:type="dxa"/>
            <w:tcBorders>
              <w:top w:val="nil"/>
              <w:left w:val="nil"/>
              <w:bottom w:val="single" w:sz="6" w:space="0" w:color="auto"/>
              <w:right w:val="single" w:sz="6" w:space="0" w:color="auto"/>
            </w:tcBorders>
            <w:shd w:val="clear" w:color="auto" w:fill="auto"/>
            <w:vAlign w:val="center"/>
            <w:hideMark/>
          </w:tcPr>
          <w:p w14:paraId="295F0918"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0.786</w:t>
            </w:r>
          </w:p>
        </w:tc>
        <w:tc>
          <w:tcPr>
            <w:tcW w:w="840" w:type="dxa"/>
            <w:tcBorders>
              <w:top w:val="nil"/>
              <w:left w:val="nil"/>
              <w:bottom w:val="single" w:sz="6" w:space="0" w:color="auto"/>
              <w:right w:val="single" w:sz="6" w:space="0" w:color="auto"/>
            </w:tcBorders>
            <w:shd w:val="clear" w:color="auto" w:fill="auto"/>
            <w:vAlign w:val="center"/>
            <w:hideMark/>
          </w:tcPr>
          <w:p w14:paraId="3DEC989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0.290</w:t>
            </w:r>
          </w:p>
        </w:tc>
        <w:tc>
          <w:tcPr>
            <w:tcW w:w="761" w:type="dxa"/>
            <w:tcBorders>
              <w:top w:val="nil"/>
              <w:left w:val="nil"/>
              <w:bottom w:val="single" w:sz="4" w:space="0" w:color="auto"/>
              <w:right w:val="single" w:sz="4" w:space="0" w:color="auto"/>
            </w:tcBorders>
            <w:shd w:val="clear" w:color="auto" w:fill="auto"/>
            <w:vAlign w:val="center"/>
            <w:hideMark/>
          </w:tcPr>
          <w:p w14:paraId="38A79B8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0.493</w:t>
            </w:r>
          </w:p>
        </w:tc>
        <w:tc>
          <w:tcPr>
            <w:tcW w:w="873" w:type="dxa"/>
            <w:tcBorders>
              <w:top w:val="nil"/>
              <w:left w:val="nil"/>
              <w:bottom w:val="single" w:sz="6" w:space="0" w:color="auto"/>
              <w:right w:val="single" w:sz="6" w:space="0" w:color="auto"/>
            </w:tcBorders>
            <w:shd w:val="clear" w:color="auto" w:fill="auto"/>
            <w:vAlign w:val="center"/>
            <w:hideMark/>
          </w:tcPr>
          <w:p w14:paraId="1106A67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0.267</w:t>
            </w:r>
          </w:p>
        </w:tc>
        <w:tc>
          <w:tcPr>
            <w:tcW w:w="912" w:type="dxa"/>
            <w:tcBorders>
              <w:top w:val="nil"/>
              <w:left w:val="nil"/>
              <w:bottom w:val="single" w:sz="4" w:space="0" w:color="auto"/>
              <w:right w:val="single" w:sz="4" w:space="0" w:color="auto"/>
            </w:tcBorders>
            <w:shd w:val="clear" w:color="auto" w:fill="auto"/>
            <w:vAlign w:val="center"/>
            <w:hideMark/>
          </w:tcPr>
          <w:p w14:paraId="472E13C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0.487</w:t>
            </w:r>
          </w:p>
        </w:tc>
      </w:tr>
      <w:tr w:rsidR="003B5F34" w:rsidRPr="00BC081A" w14:paraId="045A02E7"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9E4347"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AR2</w:t>
            </w:r>
          </w:p>
        </w:tc>
        <w:tc>
          <w:tcPr>
            <w:tcW w:w="925" w:type="dxa"/>
            <w:tcBorders>
              <w:top w:val="nil"/>
              <w:left w:val="nil"/>
              <w:bottom w:val="single" w:sz="6" w:space="0" w:color="auto"/>
              <w:right w:val="single" w:sz="6" w:space="0" w:color="auto"/>
            </w:tcBorders>
            <w:shd w:val="clear" w:color="auto" w:fill="auto"/>
            <w:vAlign w:val="center"/>
            <w:hideMark/>
          </w:tcPr>
          <w:p w14:paraId="3A87AF3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0.123</w:t>
            </w:r>
          </w:p>
        </w:tc>
        <w:tc>
          <w:tcPr>
            <w:tcW w:w="858" w:type="dxa"/>
            <w:tcBorders>
              <w:top w:val="nil"/>
              <w:left w:val="nil"/>
              <w:bottom w:val="single" w:sz="6" w:space="0" w:color="auto"/>
              <w:right w:val="single" w:sz="6" w:space="0" w:color="auto"/>
            </w:tcBorders>
            <w:shd w:val="clear" w:color="auto" w:fill="auto"/>
            <w:vAlign w:val="center"/>
            <w:hideMark/>
          </w:tcPr>
          <w:p w14:paraId="025ABD1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0.154</w:t>
            </w:r>
          </w:p>
        </w:tc>
        <w:tc>
          <w:tcPr>
            <w:tcW w:w="934" w:type="dxa"/>
            <w:tcBorders>
              <w:top w:val="nil"/>
              <w:left w:val="nil"/>
              <w:bottom w:val="single" w:sz="6" w:space="0" w:color="auto"/>
              <w:right w:val="single" w:sz="6" w:space="0" w:color="auto"/>
            </w:tcBorders>
            <w:shd w:val="clear" w:color="auto" w:fill="auto"/>
            <w:vAlign w:val="center"/>
            <w:hideMark/>
          </w:tcPr>
          <w:p w14:paraId="6E13B2A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0.319</w:t>
            </w:r>
          </w:p>
        </w:tc>
        <w:tc>
          <w:tcPr>
            <w:tcW w:w="812" w:type="dxa"/>
            <w:tcBorders>
              <w:top w:val="nil"/>
              <w:left w:val="nil"/>
              <w:bottom w:val="single" w:sz="6" w:space="0" w:color="auto"/>
              <w:right w:val="single" w:sz="6" w:space="0" w:color="auto"/>
            </w:tcBorders>
            <w:shd w:val="clear" w:color="auto" w:fill="auto"/>
            <w:vAlign w:val="center"/>
            <w:hideMark/>
          </w:tcPr>
          <w:p w14:paraId="04B89D9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0.313</w:t>
            </w:r>
          </w:p>
        </w:tc>
        <w:tc>
          <w:tcPr>
            <w:tcW w:w="761" w:type="dxa"/>
            <w:tcBorders>
              <w:top w:val="nil"/>
              <w:left w:val="nil"/>
              <w:bottom w:val="single" w:sz="6" w:space="0" w:color="auto"/>
              <w:right w:val="single" w:sz="6" w:space="0" w:color="auto"/>
            </w:tcBorders>
            <w:shd w:val="clear" w:color="auto" w:fill="auto"/>
            <w:vAlign w:val="center"/>
            <w:hideMark/>
          </w:tcPr>
          <w:p w14:paraId="39825ED5"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0.896</w:t>
            </w:r>
          </w:p>
        </w:tc>
        <w:tc>
          <w:tcPr>
            <w:tcW w:w="840" w:type="dxa"/>
            <w:tcBorders>
              <w:top w:val="nil"/>
              <w:left w:val="nil"/>
              <w:bottom w:val="single" w:sz="6" w:space="0" w:color="auto"/>
              <w:right w:val="single" w:sz="6" w:space="0" w:color="auto"/>
            </w:tcBorders>
            <w:shd w:val="clear" w:color="auto" w:fill="auto"/>
            <w:vAlign w:val="center"/>
            <w:hideMark/>
          </w:tcPr>
          <w:p w14:paraId="597CD4F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0.359</w:t>
            </w:r>
          </w:p>
        </w:tc>
        <w:tc>
          <w:tcPr>
            <w:tcW w:w="761" w:type="dxa"/>
            <w:tcBorders>
              <w:top w:val="nil"/>
              <w:left w:val="nil"/>
              <w:bottom w:val="single" w:sz="4" w:space="0" w:color="auto"/>
              <w:right w:val="single" w:sz="4" w:space="0" w:color="auto"/>
            </w:tcBorders>
            <w:shd w:val="clear" w:color="auto" w:fill="auto"/>
            <w:vAlign w:val="center"/>
            <w:hideMark/>
          </w:tcPr>
          <w:p w14:paraId="2502DB6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0.614</w:t>
            </w:r>
          </w:p>
        </w:tc>
        <w:tc>
          <w:tcPr>
            <w:tcW w:w="873" w:type="dxa"/>
            <w:tcBorders>
              <w:top w:val="nil"/>
              <w:left w:val="nil"/>
              <w:bottom w:val="single" w:sz="6" w:space="0" w:color="auto"/>
              <w:right w:val="single" w:sz="6" w:space="0" w:color="auto"/>
            </w:tcBorders>
            <w:shd w:val="clear" w:color="auto" w:fill="auto"/>
            <w:vAlign w:val="center"/>
            <w:hideMark/>
          </w:tcPr>
          <w:p w14:paraId="79A8BA5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0.397</w:t>
            </w:r>
          </w:p>
        </w:tc>
        <w:tc>
          <w:tcPr>
            <w:tcW w:w="912" w:type="dxa"/>
            <w:tcBorders>
              <w:top w:val="nil"/>
              <w:left w:val="nil"/>
              <w:bottom w:val="single" w:sz="4" w:space="0" w:color="auto"/>
              <w:right w:val="single" w:sz="4" w:space="0" w:color="auto"/>
            </w:tcBorders>
            <w:shd w:val="clear" w:color="auto" w:fill="auto"/>
            <w:vAlign w:val="center"/>
            <w:hideMark/>
          </w:tcPr>
          <w:p w14:paraId="5900877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0.573</w:t>
            </w:r>
          </w:p>
        </w:tc>
      </w:tr>
      <w:tr w:rsidR="003B5F34" w:rsidRPr="00BC081A" w14:paraId="64353426"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2E1882"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AR3</w:t>
            </w:r>
          </w:p>
        </w:tc>
        <w:tc>
          <w:tcPr>
            <w:tcW w:w="925" w:type="dxa"/>
            <w:tcBorders>
              <w:top w:val="nil"/>
              <w:left w:val="nil"/>
              <w:bottom w:val="single" w:sz="6" w:space="0" w:color="auto"/>
              <w:right w:val="single" w:sz="6" w:space="0" w:color="auto"/>
            </w:tcBorders>
            <w:shd w:val="clear" w:color="auto" w:fill="auto"/>
            <w:vAlign w:val="center"/>
            <w:hideMark/>
          </w:tcPr>
          <w:p w14:paraId="5F6EFCB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0.088</w:t>
            </w:r>
          </w:p>
        </w:tc>
        <w:tc>
          <w:tcPr>
            <w:tcW w:w="858" w:type="dxa"/>
            <w:tcBorders>
              <w:top w:val="nil"/>
              <w:left w:val="nil"/>
              <w:bottom w:val="single" w:sz="6" w:space="0" w:color="auto"/>
              <w:right w:val="single" w:sz="6" w:space="0" w:color="auto"/>
            </w:tcBorders>
            <w:shd w:val="clear" w:color="auto" w:fill="auto"/>
            <w:vAlign w:val="center"/>
            <w:hideMark/>
          </w:tcPr>
          <w:p w14:paraId="3FE2730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0.150</w:t>
            </w:r>
          </w:p>
        </w:tc>
        <w:tc>
          <w:tcPr>
            <w:tcW w:w="934" w:type="dxa"/>
            <w:tcBorders>
              <w:top w:val="nil"/>
              <w:left w:val="nil"/>
              <w:bottom w:val="single" w:sz="6" w:space="0" w:color="auto"/>
              <w:right w:val="single" w:sz="6" w:space="0" w:color="auto"/>
            </w:tcBorders>
            <w:shd w:val="clear" w:color="auto" w:fill="auto"/>
            <w:vAlign w:val="center"/>
            <w:hideMark/>
          </w:tcPr>
          <w:p w14:paraId="6D64300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0.347</w:t>
            </w:r>
          </w:p>
        </w:tc>
        <w:tc>
          <w:tcPr>
            <w:tcW w:w="812" w:type="dxa"/>
            <w:tcBorders>
              <w:top w:val="nil"/>
              <w:left w:val="nil"/>
              <w:bottom w:val="single" w:sz="6" w:space="0" w:color="auto"/>
              <w:right w:val="single" w:sz="6" w:space="0" w:color="auto"/>
            </w:tcBorders>
            <w:shd w:val="clear" w:color="auto" w:fill="auto"/>
            <w:vAlign w:val="center"/>
            <w:hideMark/>
          </w:tcPr>
          <w:p w14:paraId="379478B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0.340</w:t>
            </w:r>
          </w:p>
        </w:tc>
        <w:tc>
          <w:tcPr>
            <w:tcW w:w="761" w:type="dxa"/>
            <w:tcBorders>
              <w:top w:val="nil"/>
              <w:left w:val="nil"/>
              <w:bottom w:val="single" w:sz="6" w:space="0" w:color="auto"/>
              <w:right w:val="single" w:sz="6" w:space="0" w:color="auto"/>
            </w:tcBorders>
            <w:shd w:val="clear" w:color="auto" w:fill="auto"/>
            <w:vAlign w:val="center"/>
            <w:hideMark/>
          </w:tcPr>
          <w:p w14:paraId="55E86A49"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0.851</w:t>
            </w:r>
          </w:p>
        </w:tc>
        <w:tc>
          <w:tcPr>
            <w:tcW w:w="840" w:type="dxa"/>
            <w:tcBorders>
              <w:top w:val="nil"/>
              <w:left w:val="nil"/>
              <w:bottom w:val="single" w:sz="6" w:space="0" w:color="auto"/>
              <w:right w:val="single" w:sz="6" w:space="0" w:color="auto"/>
            </w:tcBorders>
            <w:shd w:val="clear" w:color="auto" w:fill="auto"/>
            <w:vAlign w:val="center"/>
            <w:hideMark/>
          </w:tcPr>
          <w:p w14:paraId="50424FE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0.318</w:t>
            </w:r>
          </w:p>
        </w:tc>
        <w:tc>
          <w:tcPr>
            <w:tcW w:w="761" w:type="dxa"/>
            <w:tcBorders>
              <w:top w:val="nil"/>
              <w:left w:val="nil"/>
              <w:bottom w:val="single" w:sz="4" w:space="0" w:color="auto"/>
              <w:right w:val="single" w:sz="4" w:space="0" w:color="auto"/>
            </w:tcBorders>
            <w:shd w:val="clear" w:color="auto" w:fill="auto"/>
            <w:vAlign w:val="center"/>
            <w:hideMark/>
          </w:tcPr>
          <w:p w14:paraId="1AFF510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0.565</w:t>
            </w:r>
          </w:p>
        </w:tc>
        <w:tc>
          <w:tcPr>
            <w:tcW w:w="873" w:type="dxa"/>
            <w:tcBorders>
              <w:top w:val="nil"/>
              <w:left w:val="nil"/>
              <w:bottom w:val="single" w:sz="6" w:space="0" w:color="auto"/>
              <w:right w:val="single" w:sz="6" w:space="0" w:color="auto"/>
            </w:tcBorders>
            <w:shd w:val="clear" w:color="auto" w:fill="auto"/>
            <w:vAlign w:val="center"/>
            <w:hideMark/>
          </w:tcPr>
          <w:p w14:paraId="4FD3DDF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0.337</w:t>
            </w:r>
          </w:p>
        </w:tc>
        <w:tc>
          <w:tcPr>
            <w:tcW w:w="912" w:type="dxa"/>
            <w:tcBorders>
              <w:top w:val="nil"/>
              <w:left w:val="nil"/>
              <w:bottom w:val="single" w:sz="4" w:space="0" w:color="auto"/>
              <w:right w:val="single" w:sz="4" w:space="0" w:color="auto"/>
            </w:tcBorders>
            <w:shd w:val="clear" w:color="auto" w:fill="auto"/>
            <w:vAlign w:val="center"/>
            <w:hideMark/>
          </w:tcPr>
          <w:p w14:paraId="0DF752E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0.580</w:t>
            </w:r>
          </w:p>
        </w:tc>
      </w:tr>
      <w:tr w:rsidR="003B5F34" w:rsidRPr="00BC081A" w14:paraId="6511A45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1E7EC7"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AR4</w:t>
            </w:r>
          </w:p>
        </w:tc>
        <w:tc>
          <w:tcPr>
            <w:tcW w:w="925" w:type="dxa"/>
            <w:tcBorders>
              <w:top w:val="nil"/>
              <w:left w:val="nil"/>
              <w:bottom w:val="single" w:sz="6" w:space="0" w:color="auto"/>
              <w:right w:val="single" w:sz="6" w:space="0" w:color="auto"/>
            </w:tcBorders>
            <w:shd w:val="clear" w:color="auto" w:fill="auto"/>
            <w:vAlign w:val="center"/>
            <w:hideMark/>
          </w:tcPr>
          <w:p w14:paraId="74F2847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0.115</w:t>
            </w:r>
          </w:p>
        </w:tc>
        <w:tc>
          <w:tcPr>
            <w:tcW w:w="858" w:type="dxa"/>
            <w:tcBorders>
              <w:top w:val="nil"/>
              <w:left w:val="nil"/>
              <w:bottom w:val="single" w:sz="6" w:space="0" w:color="auto"/>
              <w:right w:val="single" w:sz="6" w:space="0" w:color="auto"/>
            </w:tcBorders>
            <w:shd w:val="clear" w:color="auto" w:fill="auto"/>
            <w:vAlign w:val="center"/>
            <w:hideMark/>
          </w:tcPr>
          <w:p w14:paraId="16D1945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0.051</w:t>
            </w:r>
          </w:p>
        </w:tc>
        <w:tc>
          <w:tcPr>
            <w:tcW w:w="934" w:type="dxa"/>
            <w:tcBorders>
              <w:top w:val="nil"/>
              <w:left w:val="nil"/>
              <w:bottom w:val="single" w:sz="6" w:space="0" w:color="auto"/>
              <w:right w:val="single" w:sz="6" w:space="0" w:color="auto"/>
            </w:tcBorders>
            <w:shd w:val="clear" w:color="auto" w:fill="auto"/>
            <w:vAlign w:val="center"/>
            <w:hideMark/>
          </w:tcPr>
          <w:p w14:paraId="01349AD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0.272</w:t>
            </w:r>
          </w:p>
        </w:tc>
        <w:tc>
          <w:tcPr>
            <w:tcW w:w="812" w:type="dxa"/>
            <w:tcBorders>
              <w:top w:val="nil"/>
              <w:left w:val="nil"/>
              <w:bottom w:val="single" w:sz="6" w:space="0" w:color="auto"/>
              <w:right w:val="single" w:sz="6" w:space="0" w:color="auto"/>
            </w:tcBorders>
            <w:shd w:val="clear" w:color="auto" w:fill="auto"/>
            <w:vAlign w:val="center"/>
            <w:hideMark/>
          </w:tcPr>
          <w:p w14:paraId="5A25A7D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0.254</w:t>
            </w:r>
          </w:p>
        </w:tc>
        <w:tc>
          <w:tcPr>
            <w:tcW w:w="761" w:type="dxa"/>
            <w:tcBorders>
              <w:top w:val="nil"/>
              <w:left w:val="nil"/>
              <w:bottom w:val="single" w:sz="6" w:space="0" w:color="auto"/>
              <w:right w:val="single" w:sz="6" w:space="0" w:color="auto"/>
            </w:tcBorders>
            <w:shd w:val="clear" w:color="auto" w:fill="auto"/>
            <w:vAlign w:val="center"/>
            <w:hideMark/>
          </w:tcPr>
          <w:p w14:paraId="71A3B1C0"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0.500</w:t>
            </w:r>
          </w:p>
        </w:tc>
        <w:tc>
          <w:tcPr>
            <w:tcW w:w="840" w:type="dxa"/>
            <w:tcBorders>
              <w:top w:val="nil"/>
              <w:left w:val="nil"/>
              <w:bottom w:val="single" w:sz="6" w:space="0" w:color="auto"/>
              <w:right w:val="single" w:sz="6" w:space="0" w:color="auto"/>
            </w:tcBorders>
            <w:shd w:val="clear" w:color="auto" w:fill="auto"/>
            <w:vAlign w:val="center"/>
            <w:hideMark/>
          </w:tcPr>
          <w:p w14:paraId="2FE6FA3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0.194</w:t>
            </w:r>
          </w:p>
        </w:tc>
        <w:tc>
          <w:tcPr>
            <w:tcW w:w="761" w:type="dxa"/>
            <w:tcBorders>
              <w:top w:val="nil"/>
              <w:left w:val="nil"/>
              <w:bottom w:val="single" w:sz="4" w:space="0" w:color="auto"/>
              <w:right w:val="single" w:sz="4" w:space="0" w:color="auto"/>
            </w:tcBorders>
            <w:shd w:val="clear" w:color="auto" w:fill="auto"/>
            <w:vAlign w:val="center"/>
            <w:hideMark/>
          </w:tcPr>
          <w:p w14:paraId="4B1A571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0.281</w:t>
            </w:r>
          </w:p>
        </w:tc>
        <w:tc>
          <w:tcPr>
            <w:tcW w:w="873" w:type="dxa"/>
            <w:tcBorders>
              <w:top w:val="nil"/>
              <w:left w:val="nil"/>
              <w:bottom w:val="single" w:sz="6" w:space="0" w:color="auto"/>
              <w:right w:val="single" w:sz="6" w:space="0" w:color="auto"/>
            </w:tcBorders>
            <w:shd w:val="clear" w:color="auto" w:fill="auto"/>
            <w:vAlign w:val="center"/>
            <w:hideMark/>
          </w:tcPr>
          <w:p w14:paraId="4C8AF26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0.250</w:t>
            </w:r>
          </w:p>
        </w:tc>
        <w:tc>
          <w:tcPr>
            <w:tcW w:w="912" w:type="dxa"/>
            <w:tcBorders>
              <w:top w:val="nil"/>
              <w:left w:val="nil"/>
              <w:bottom w:val="single" w:sz="4" w:space="0" w:color="auto"/>
              <w:right w:val="single" w:sz="4" w:space="0" w:color="auto"/>
            </w:tcBorders>
            <w:shd w:val="clear" w:color="auto" w:fill="auto"/>
            <w:vAlign w:val="center"/>
            <w:hideMark/>
          </w:tcPr>
          <w:p w14:paraId="0982415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0.358</w:t>
            </w:r>
          </w:p>
        </w:tc>
      </w:tr>
      <w:tr w:rsidR="003B5F34" w:rsidRPr="00BC081A" w14:paraId="63624FCC"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DA4923"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AR5</w:t>
            </w:r>
          </w:p>
        </w:tc>
        <w:tc>
          <w:tcPr>
            <w:tcW w:w="925" w:type="dxa"/>
            <w:tcBorders>
              <w:top w:val="nil"/>
              <w:left w:val="nil"/>
              <w:bottom w:val="single" w:sz="6" w:space="0" w:color="auto"/>
              <w:right w:val="single" w:sz="6" w:space="0" w:color="auto"/>
            </w:tcBorders>
            <w:shd w:val="clear" w:color="auto" w:fill="auto"/>
            <w:vAlign w:val="center"/>
            <w:hideMark/>
          </w:tcPr>
          <w:p w14:paraId="0134B20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0.177</w:t>
            </w:r>
          </w:p>
        </w:tc>
        <w:tc>
          <w:tcPr>
            <w:tcW w:w="858" w:type="dxa"/>
            <w:tcBorders>
              <w:top w:val="nil"/>
              <w:left w:val="nil"/>
              <w:bottom w:val="single" w:sz="6" w:space="0" w:color="auto"/>
              <w:right w:val="single" w:sz="6" w:space="0" w:color="auto"/>
            </w:tcBorders>
            <w:shd w:val="clear" w:color="auto" w:fill="auto"/>
            <w:vAlign w:val="center"/>
            <w:hideMark/>
          </w:tcPr>
          <w:p w14:paraId="5D9DDEF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0.193</w:t>
            </w:r>
          </w:p>
        </w:tc>
        <w:tc>
          <w:tcPr>
            <w:tcW w:w="934" w:type="dxa"/>
            <w:tcBorders>
              <w:top w:val="nil"/>
              <w:left w:val="nil"/>
              <w:bottom w:val="single" w:sz="6" w:space="0" w:color="auto"/>
              <w:right w:val="single" w:sz="6" w:space="0" w:color="auto"/>
            </w:tcBorders>
            <w:shd w:val="clear" w:color="auto" w:fill="auto"/>
            <w:vAlign w:val="center"/>
            <w:hideMark/>
          </w:tcPr>
          <w:p w14:paraId="0C7F038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0.370</w:t>
            </w:r>
          </w:p>
        </w:tc>
        <w:tc>
          <w:tcPr>
            <w:tcW w:w="812" w:type="dxa"/>
            <w:tcBorders>
              <w:top w:val="nil"/>
              <w:left w:val="nil"/>
              <w:bottom w:val="single" w:sz="6" w:space="0" w:color="auto"/>
              <w:right w:val="single" w:sz="6" w:space="0" w:color="auto"/>
            </w:tcBorders>
            <w:shd w:val="clear" w:color="auto" w:fill="auto"/>
            <w:vAlign w:val="center"/>
            <w:hideMark/>
          </w:tcPr>
          <w:p w14:paraId="7FB6D23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0.266</w:t>
            </w:r>
          </w:p>
        </w:tc>
        <w:tc>
          <w:tcPr>
            <w:tcW w:w="761" w:type="dxa"/>
            <w:tcBorders>
              <w:top w:val="nil"/>
              <w:left w:val="nil"/>
              <w:bottom w:val="single" w:sz="6" w:space="0" w:color="auto"/>
              <w:right w:val="single" w:sz="6" w:space="0" w:color="auto"/>
            </w:tcBorders>
            <w:shd w:val="clear" w:color="auto" w:fill="auto"/>
            <w:vAlign w:val="center"/>
            <w:hideMark/>
          </w:tcPr>
          <w:p w14:paraId="23AA8994"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0.773</w:t>
            </w:r>
          </w:p>
        </w:tc>
        <w:tc>
          <w:tcPr>
            <w:tcW w:w="840" w:type="dxa"/>
            <w:tcBorders>
              <w:top w:val="nil"/>
              <w:left w:val="nil"/>
              <w:bottom w:val="single" w:sz="6" w:space="0" w:color="auto"/>
              <w:right w:val="single" w:sz="6" w:space="0" w:color="auto"/>
            </w:tcBorders>
            <w:shd w:val="clear" w:color="auto" w:fill="auto"/>
            <w:vAlign w:val="center"/>
            <w:hideMark/>
          </w:tcPr>
          <w:p w14:paraId="606CBC4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0.240</w:t>
            </w:r>
          </w:p>
        </w:tc>
        <w:tc>
          <w:tcPr>
            <w:tcW w:w="761" w:type="dxa"/>
            <w:tcBorders>
              <w:top w:val="nil"/>
              <w:left w:val="nil"/>
              <w:bottom w:val="single" w:sz="4" w:space="0" w:color="auto"/>
              <w:right w:val="single" w:sz="4" w:space="0" w:color="auto"/>
            </w:tcBorders>
            <w:shd w:val="clear" w:color="auto" w:fill="auto"/>
            <w:vAlign w:val="center"/>
            <w:hideMark/>
          </w:tcPr>
          <w:p w14:paraId="467F842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0.593</w:t>
            </w:r>
          </w:p>
        </w:tc>
        <w:tc>
          <w:tcPr>
            <w:tcW w:w="873" w:type="dxa"/>
            <w:tcBorders>
              <w:top w:val="nil"/>
              <w:left w:val="nil"/>
              <w:bottom w:val="single" w:sz="6" w:space="0" w:color="auto"/>
              <w:right w:val="single" w:sz="6" w:space="0" w:color="auto"/>
            </w:tcBorders>
            <w:shd w:val="clear" w:color="auto" w:fill="auto"/>
            <w:vAlign w:val="center"/>
            <w:hideMark/>
          </w:tcPr>
          <w:p w14:paraId="24FE756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0.331</w:t>
            </w:r>
          </w:p>
        </w:tc>
        <w:tc>
          <w:tcPr>
            <w:tcW w:w="912" w:type="dxa"/>
            <w:tcBorders>
              <w:top w:val="nil"/>
              <w:left w:val="nil"/>
              <w:bottom w:val="single" w:sz="4" w:space="0" w:color="auto"/>
              <w:right w:val="single" w:sz="4" w:space="0" w:color="auto"/>
            </w:tcBorders>
            <w:shd w:val="clear" w:color="auto" w:fill="auto"/>
            <w:vAlign w:val="center"/>
            <w:hideMark/>
          </w:tcPr>
          <w:p w14:paraId="50EB066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0.457</w:t>
            </w:r>
          </w:p>
        </w:tc>
      </w:tr>
      <w:tr w:rsidR="003B5F34" w:rsidRPr="00BC081A" w14:paraId="2C44AEA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9C3AE5"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FI1</w:t>
            </w:r>
          </w:p>
        </w:tc>
        <w:tc>
          <w:tcPr>
            <w:tcW w:w="925" w:type="dxa"/>
            <w:tcBorders>
              <w:top w:val="nil"/>
              <w:left w:val="nil"/>
              <w:bottom w:val="single" w:sz="6" w:space="0" w:color="auto"/>
              <w:right w:val="single" w:sz="6" w:space="0" w:color="auto"/>
            </w:tcBorders>
            <w:shd w:val="clear" w:color="auto" w:fill="auto"/>
            <w:vAlign w:val="center"/>
            <w:hideMark/>
          </w:tcPr>
          <w:p w14:paraId="7D8C51B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0.054</w:t>
            </w:r>
          </w:p>
        </w:tc>
        <w:tc>
          <w:tcPr>
            <w:tcW w:w="858" w:type="dxa"/>
            <w:tcBorders>
              <w:top w:val="nil"/>
              <w:left w:val="nil"/>
              <w:bottom w:val="single" w:sz="6" w:space="0" w:color="auto"/>
              <w:right w:val="single" w:sz="6" w:space="0" w:color="auto"/>
            </w:tcBorders>
            <w:shd w:val="clear" w:color="auto" w:fill="auto"/>
            <w:vAlign w:val="center"/>
            <w:hideMark/>
          </w:tcPr>
          <w:p w14:paraId="0B2789E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-0.056</w:t>
            </w:r>
          </w:p>
        </w:tc>
        <w:tc>
          <w:tcPr>
            <w:tcW w:w="934" w:type="dxa"/>
            <w:tcBorders>
              <w:top w:val="nil"/>
              <w:left w:val="nil"/>
              <w:bottom w:val="single" w:sz="6" w:space="0" w:color="auto"/>
              <w:right w:val="single" w:sz="6" w:space="0" w:color="auto"/>
            </w:tcBorders>
            <w:shd w:val="clear" w:color="auto" w:fill="auto"/>
            <w:vAlign w:val="center"/>
            <w:hideMark/>
          </w:tcPr>
          <w:p w14:paraId="06E18A2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0.085</w:t>
            </w:r>
          </w:p>
        </w:tc>
        <w:tc>
          <w:tcPr>
            <w:tcW w:w="812" w:type="dxa"/>
            <w:tcBorders>
              <w:top w:val="nil"/>
              <w:left w:val="nil"/>
              <w:bottom w:val="single" w:sz="6" w:space="0" w:color="auto"/>
              <w:right w:val="single" w:sz="6" w:space="0" w:color="auto"/>
            </w:tcBorders>
            <w:shd w:val="clear" w:color="auto" w:fill="auto"/>
            <w:vAlign w:val="center"/>
            <w:hideMark/>
          </w:tcPr>
          <w:p w14:paraId="157CE47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0.158</w:t>
            </w:r>
          </w:p>
        </w:tc>
        <w:tc>
          <w:tcPr>
            <w:tcW w:w="761" w:type="dxa"/>
            <w:tcBorders>
              <w:top w:val="nil"/>
              <w:left w:val="nil"/>
              <w:bottom w:val="single" w:sz="6" w:space="0" w:color="auto"/>
              <w:right w:val="single" w:sz="6" w:space="0" w:color="auto"/>
            </w:tcBorders>
            <w:shd w:val="clear" w:color="auto" w:fill="auto"/>
            <w:vAlign w:val="center"/>
            <w:hideMark/>
          </w:tcPr>
          <w:p w14:paraId="73555FD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0.321</w:t>
            </w:r>
          </w:p>
        </w:tc>
        <w:tc>
          <w:tcPr>
            <w:tcW w:w="840" w:type="dxa"/>
            <w:tcBorders>
              <w:top w:val="nil"/>
              <w:left w:val="nil"/>
              <w:bottom w:val="single" w:sz="6" w:space="0" w:color="auto"/>
              <w:right w:val="single" w:sz="6" w:space="0" w:color="auto"/>
            </w:tcBorders>
            <w:shd w:val="clear" w:color="auto" w:fill="auto"/>
            <w:vAlign w:val="center"/>
            <w:hideMark/>
          </w:tcPr>
          <w:p w14:paraId="2D4B17FF"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0.900</w:t>
            </w:r>
          </w:p>
        </w:tc>
        <w:tc>
          <w:tcPr>
            <w:tcW w:w="761" w:type="dxa"/>
            <w:tcBorders>
              <w:top w:val="nil"/>
              <w:left w:val="nil"/>
              <w:bottom w:val="single" w:sz="4" w:space="0" w:color="auto"/>
              <w:right w:val="single" w:sz="4" w:space="0" w:color="auto"/>
            </w:tcBorders>
            <w:shd w:val="clear" w:color="auto" w:fill="auto"/>
            <w:vAlign w:val="center"/>
            <w:hideMark/>
          </w:tcPr>
          <w:p w14:paraId="34E4576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0.331</w:t>
            </w:r>
          </w:p>
        </w:tc>
        <w:tc>
          <w:tcPr>
            <w:tcW w:w="873" w:type="dxa"/>
            <w:tcBorders>
              <w:top w:val="nil"/>
              <w:left w:val="nil"/>
              <w:bottom w:val="single" w:sz="6" w:space="0" w:color="auto"/>
              <w:right w:val="single" w:sz="6" w:space="0" w:color="auto"/>
            </w:tcBorders>
            <w:shd w:val="clear" w:color="auto" w:fill="auto"/>
            <w:vAlign w:val="center"/>
            <w:hideMark/>
          </w:tcPr>
          <w:p w14:paraId="36F99BA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0.236</w:t>
            </w:r>
          </w:p>
        </w:tc>
        <w:tc>
          <w:tcPr>
            <w:tcW w:w="912" w:type="dxa"/>
            <w:tcBorders>
              <w:top w:val="nil"/>
              <w:left w:val="nil"/>
              <w:bottom w:val="single" w:sz="4" w:space="0" w:color="auto"/>
              <w:right w:val="single" w:sz="4" w:space="0" w:color="auto"/>
            </w:tcBorders>
            <w:shd w:val="clear" w:color="auto" w:fill="auto"/>
            <w:vAlign w:val="center"/>
            <w:hideMark/>
          </w:tcPr>
          <w:p w14:paraId="20D526F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0.264</w:t>
            </w:r>
          </w:p>
        </w:tc>
      </w:tr>
      <w:tr w:rsidR="003B5F34" w:rsidRPr="00BC081A" w14:paraId="0DB6EBAB"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ECAC68"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FI3</w:t>
            </w:r>
          </w:p>
        </w:tc>
        <w:tc>
          <w:tcPr>
            <w:tcW w:w="925" w:type="dxa"/>
            <w:tcBorders>
              <w:top w:val="nil"/>
              <w:left w:val="nil"/>
              <w:bottom w:val="single" w:sz="6" w:space="0" w:color="auto"/>
              <w:right w:val="single" w:sz="6" w:space="0" w:color="auto"/>
            </w:tcBorders>
            <w:shd w:val="clear" w:color="auto" w:fill="auto"/>
            <w:vAlign w:val="center"/>
            <w:hideMark/>
          </w:tcPr>
          <w:p w14:paraId="4F9F020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0.081</w:t>
            </w:r>
          </w:p>
        </w:tc>
        <w:tc>
          <w:tcPr>
            <w:tcW w:w="858" w:type="dxa"/>
            <w:tcBorders>
              <w:top w:val="nil"/>
              <w:left w:val="nil"/>
              <w:bottom w:val="single" w:sz="6" w:space="0" w:color="auto"/>
              <w:right w:val="single" w:sz="6" w:space="0" w:color="auto"/>
            </w:tcBorders>
            <w:shd w:val="clear" w:color="auto" w:fill="auto"/>
            <w:vAlign w:val="center"/>
            <w:hideMark/>
          </w:tcPr>
          <w:p w14:paraId="221D7DC4"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-0.103</w:t>
            </w:r>
          </w:p>
        </w:tc>
        <w:tc>
          <w:tcPr>
            <w:tcW w:w="934" w:type="dxa"/>
            <w:tcBorders>
              <w:top w:val="nil"/>
              <w:left w:val="nil"/>
              <w:bottom w:val="single" w:sz="6" w:space="0" w:color="auto"/>
              <w:right w:val="single" w:sz="6" w:space="0" w:color="auto"/>
            </w:tcBorders>
            <w:shd w:val="clear" w:color="auto" w:fill="auto"/>
            <w:vAlign w:val="center"/>
            <w:hideMark/>
          </w:tcPr>
          <w:p w14:paraId="606E9D0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0.058</w:t>
            </w:r>
          </w:p>
        </w:tc>
        <w:tc>
          <w:tcPr>
            <w:tcW w:w="812" w:type="dxa"/>
            <w:tcBorders>
              <w:top w:val="nil"/>
              <w:left w:val="nil"/>
              <w:bottom w:val="single" w:sz="6" w:space="0" w:color="auto"/>
              <w:right w:val="single" w:sz="6" w:space="0" w:color="auto"/>
            </w:tcBorders>
            <w:shd w:val="clear" w:color="auto" w:fill="auto"/>
            <w:vAlign w:val="center"/>
            <w:hideMark/>
          </w:tcPr>
          <w:p w14:paraId="0E8ABA5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0.267</w:t>
            </w:r>
          </w:p>
        </w:tc>
        <w:tc>
          <w:tcPr>
            <w:tcW w:w="761" w:type="dxa"/>
            <w:tcBorders>
              <w:top w:val="nil"/>
              <w:left w:val="nil"/>
              <w:bottom w:val="single" w:sz="6" w:space="0" w:color="auto"/>
              <w:right w:val="single" w:sz="6" w:space="0" w:color="auto"/>
            </w:tcBorders>
            <w:shd w:val="clear" w:color="auto" w:fill="auto"/>
            <w:vAlign w:val="center"/>
            <w:hideMark/>
          </w:tcPr>
          <w:p w14:paraId="7B1B2FD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0.331</w:t>
            </w:r>
          </w:p>
        </w:tc>
        <w:tc>
          <w:tcPr>
            <w:tcW w:w="840" w:type="dxa"/>
            <w:tcBorders>
              <w:top w:val="nil"/>
              <w:left w:val="nil"/>
              <w:bottom w:val="single" w:sz="6" w:space="0" w:color="auto"/>
              <w:right w:val="single" w:sz="6" w:space="0" w:color="auto"/>
            </w:tcBorders>
            <w:shd w:val="clear" w:color="auto" w:fill="auto"/>
            <w:vAlign w:val="center"/>
            <w:hideMark/>
          </w:tcPr>
          <w:p w14:paraId="5D07003A"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0.868</w:t>
            </w:r>
          </w:p>
        </w:tc>
        <w:tc>
          <w:tcPr>
            <w:tcW w:w="761" w:type="dxa"/>
            <w:tcBorders>
              <w:top w:val="nil"/>
              <w:left w:val="nil"/>
              <w:bottom w:val="single" w:sz="4" w:space="0" w:color="auto"/>
              <w:right w:val="single" w:sz="4" w:space="0" w:color="auto"/>
            </w:tcBorders>
            <w:shd w:val="clear" w:color="auto" w:fill="auto"/>
            <w:vAlign w:val="center"/>
            <w:hideMark/>
          </w:tcPr>
          <w:p w14:paraId="70A0A90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0.219</w:t>
            </w:r>
          </w:p>
        </w:tc>
        <w:tc>
          <w:tcPr>
            <w:tcW w:w="873" w:type="dxa"/>
            <w:tcBorders>
              <w:top w:val="nil"/>
              <w:left w:val="nil"/>
              <w:bottom w:val="single" w:sz="6" w:space="0" w:color="auto"/>
              <w:right w:val="single" w:sz="6" w:space="0" w:color="auto"/>
            </w:tcBorders>
            <w:shd w:val="clear" w:color="auto" w:fill="auto"/>
            <w:vAlign w:val="center"/>
            <w:hideMark/>
          </w:tcPr>
          <w:p w14:paraId="5E816A5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0.258</w:t>
            </w:r>
          </w:p>
        </w:tc>
        <w:tc>
          <w:tcPr>
            <w:tcW w:w="912" w:type="dxa"/>
            <w:tcBorders>
              <w:top w:val="nil"/>
              <w:left w:val="nil"/>
              <w:bottom w:val="single" w:sz="4" w:space="0" w:color="auto"/>
              <w:right w:val="single" w:sz="4" w:space="0" w:color="auto"/>
            </w:tcBorders>
            <w:shd w:val="clear" w:color="auto" w:fill="auto"/>
            <w:vAlign w:val="center"/>
            <w:hideMark/>
          </w:tcPr>
          <w:p w14:paraId="25D8EAD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0.325</w:t>
            </w:r>
          </w:p>
        </w:tc>
      </w:tr>
      <w:tr w:rsidR="003B5F34" w:rsidRPr="00BC081A" w14:paraId="4710CBBE"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7BA842"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HE1</w:t>
            </w:r>
          </w:p>
        </w:tc>
        <w:tc>
          <w:tcPr>
            <w:tcW w:w="925" w:type="dxa"/>
            <w:tcBorders>
              <w:top w:val="nil"/>
              <w:left w:val="nil"/>
              <w:bottom w:val="single" w:sz="6" w:space="0" w:color="auto"/>
              <w:right w:val="single" w:sz="6" w:space="0" w:color="auto"/>
            </w:tcBorders>
            <w:shd w:val="clear" w:color="auto" w:fill="auto"/>
            <w:vAlign w:val="center"/>
            <w:hideMark/>
          </w:tcPr>
          <w:p w14:paraId="4BF2BB1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0.116</w:t>
            </w:r>
          </w:p>
        </w:tc>
        <w:tc>
          <w:tcPr>
            <w:tcW w:w="858" w:type="dxa"/>
            <w:tcBorders>
              <w:top w:val="nil"/>
              <w:left w:val="nil"/>
              <w:bottom w:val="single" w:sz="6" w:space="0" w:color="auto"/>
              <w:right w:val="single" w:sz="6" w:space="0" w:color="auto"/>
            </w:tcBorders>
            <w:shd w:val="clear" w:color="auto" w:fill="auto"/>
            <w:vAlign w:val="center"/>
            <w:hideMark/>
          </w:tcPr>
          <w:p w14:paraId="3A00A71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-0.032</w:t>
            </w:r>
          </w:p>
        </w:tc>
        <w:tc>
          <w:tcPr>
            <w:tcW w:w="934" w:type="dxa"/>
            <w:tcBorders>
              <w:top w:val="nil"/>
              <w:left w:val="nil"/>
              <w:bottom w:val="single" w:sz="6" w:space="0" w:color="auto"/>
              <w:right w:val="single" w:sz="6" w:space="0" w:color="auto"/>
            </w:tcBorders>
            <w:shd w:val="clear" w:color="auto" w:fill="auto"/>
            <w:vAlign w:val="center"/>
            <w:hideMark/>
          </w:tcPr>
          <w:p w14:paraId="4617049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-0.121</w:t>
            </w:r>
          </w:p>
        </w:tc>
        <w:tc>
          <w:tcPr>
            <w:tcW w:w="812" w:type="dxa"/>
            <w:tcBorders>
              <w:top w:val="nil"/>
              <w:left w:val="nil"/>
              <w:bottom w:val="single" w:sz="6" w:space="0" w:color="auto"/>
              <w:right w:val="single" w:sz="6" w:space="0" w:color="auto"/>
            </w:tcBorders>
            <w:shd w:val="clear" w:color="auto" w:fill="auto"/>
            <w:vAlign w:val="center"/>
            <w:hideMark/>
          </w:tcPr>
          <w:p w14:paraId="7C1893A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-0.163</w:t>
            </w:r>
          </w:p>
        </w:tc>
        <w:tc>
          <w:tcPr>
            <w:tcW w:w="761" w:type="dxa"/>
            <w:tcBorders>
              <w:top w:val="nil"/>
              <w:left w:val="nil"/>
              <w:bottom w:val="single" w:sz="6" w:space="0" w:color="auto"/>
              <w:right w:val="single" w:sz="6" w:space="0" w:color="auto"/>
            </w:tcBorders>
            <w:shd w:val="clear" w:color="auto" w:fill="auto"/>
            <w:vAlign w:val="center"/>
            <w:hideMark/>
          </w:tcPr>
          <w:p w14:paraId="55E6978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0.048</w:t>
            </w:r>
          </w:p>
        </w:tc>
        <w:tc>
          <w:tcPr>
            <w:tcW w:w="840" w:type="dxa"/>
            <w:tcBorders>
              <w:top w:val="nil"/>
              <w:left w:val="nil"/>
              <w:bottom w:val="single" w:sz="6" w:space="0" w:color="auto"/>
              <w:right w:val="single" w:sz="6" w:space="0" w:color="auto"/>
            </w:tcBorders>
            <w:shd w:val="clear" w:color="auto" w:fill="auto"/>
            <w:vAlign w:val="center"/>
            <w:hideMark/>
          </w:tcPr>
          <w:p w14:paraId="0A5133E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0.134</w:t>
            </w:r>
          </w:p>
        </w:tc>
        <w:tc>
          <w:tcPr>
            <w:tcW w:w="761" w:type="dxa"/>
            <w:tcBorders>
              <w:top w:val="nil"/>
              <w:left w:val="nil"/>
              <w:bottom w:val="single" w:sz="4" w:space="0" w:color="auto"/>
              <w:right w:val="single" w:sz="4" w:space="0" w:color="auto"/>
            </w:tcBorders>
            <w:shd w:val="clear" w:color="auto" w:fill="auto"/>
            <w:vAlign w:val="center"/>
            <w:hideMark/>
          </w:tcPr>
          <w:p w14:paraId="683FD391"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0.206</w:t>
            </w:r>
          </w:p>
        </w:tc>
        <w:tc>
          <w:tcPr>
            <w:tcW w:w="873" w:type="dxa"/>
            <w:tcBorders>
              <w:top w:val="nil"/>
              <w:left w:val="nil"/>
              <w:bottom w:val="single" w:sz="6" w:space="0" w:color="auto"/>
              <w:right w:val="single" w:sz="6" w:space="0" w:color="auto"/>
            </w:tcBorders>
            <w:shd w:val="clear" w:color="auto" w:fill="auto"/>
            <w:vAlign w:val="center"/>
            <w:hideMark/>
          </w:tcPr>
          <w:p w14:paraId="73A44E8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-0.022</w:t>
            </w:r>
          </w:p>
        </w:tc>
        <w:tc>
          <w:tcPr>
            <w:tcW w:w="912" w:type="dxa"/>
            <w:tcBorders>
              <w:top w:val="nil"/>
              <w:left w:val="nil"/>
              <w:bottom w:val="single" w:sz="4" w:space="0" w:color="auto"/>
              <w:right w:val="single" w:sz="4" w:space="0" w:color="auto"/>
            </w:tcBorders>
            <w:shd w:val="clear" w:color="auto" w:fill="auto"/>
            <w:vAlign w:val="center"/>
            <w:hideMark/>
          </w:tcPr>
          <w:p w14:paraId="016627C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-0.021</w:t>
            </w:r>
          </w:p>
        </w:tc>
      </w:tr>
      <w:tr w:rsidR="003B5F34" w:rsidRPr="00BC081A" w14:paraId="63E23DC7"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6518AE"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HE2</w:t>
            </w:r>
          </w:p>
        </w:tc>
        <w:tc>
          <w:tcPr>
            <w:tcW w:w="925" w:type="dxa"/>
            <w:tcBorders>
              <w:top w:val="nil"/>
              <w:left w:val="nil"/>
              <w:bottom w:val="single" w:sz="6" w:space="0" w:color="auto"/>
              <w:right w:val="single" w:sz="6" w:space="0" w:color="auto"/>
            </w:tcBorders>
            <w:shd w:val="clear" w:color="auto" w:fill="auto"/>
            <w:vAlign w:val="center"/>
            <w:hideMark/>
          </w:tcPr>
          <w:p w14:paraId="4370BCA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0.233</w:t>
            </w:r>
          </w:p>
        </w:tc>
        <w:tc>
          <w:tcPr>
            <w:tcW w:w="858" w:type="dxa"/>
            <w:tcBorders>
              <w:top w:val="nil"/>
              <w:left w:val="nil"/>
              <w:bottom w:val="single" w:sz="6" w:space="0" w:color="auto"/>
              <w:right w:val="single" w:sz="6" w:space="0" w:color="auto"/>
            </w:tcBorders>
            <w:shd w:val="clear" w:color="auto" w:fill="auto"/>
            <w:vAlign w:val="center"/>
            <w:hideMark/>
          </w:tcPr>
          <w:p w14:paraId="57022CA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0.257</w:t>
            </w:r>
          </w:p>
        </w:tc>
        <w:tc>
          <w:tcPr>
            <w:tcW w:w="934" w:type="dxa"/>
            <w:tcBorders>
              <w:top w:val="nil"/>
              <w:left w:val="nil"/>
              <w:bottom w:val="single" w:sz="6" w:space="0" w:color="auto"/>
              <w:right w:val="single" w:sz="6" w:space="0" w:color="auto"/>
            </w:tcBorders>
            <w:shd w:val="clear" w:color="auto" w:fill="auto"/>
            <w:vAlign w:val="center"/>
            <w:hideMark/>
          </w:tcPr>
          <w:p w14:paraId="097808A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0.425</w:t>
            </w:r>
          </w:p>
        </w:tc>
        <w:tc>
          <w:tcPr>
            <w:tcW w:w="812" w:type="dxa"/>
            <w:tcBorders>
              <w:top w:val="nil"/>
              <w:left w:val="nil"/>
              <w:bottom w:val="single" w:sz="6" w:space="0" w:color="auto"/>
              <w:right w:val="single" w:sz="6" w:space="0" w:color="auto"/>
            </w:tcBorders>
            <w:shd w:val="clear" w:color="auto" w:fill="auto"/>
            <w:vAlign w:val="center"/>
            <w:hideMark/>
          </w:tcPr>
          <w:p w14:paraId="5CF04CB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0.321</w:t>
            </w:r>
          </w:p>
        </w:tc>
        <w:tc>
          <w:tcPr>
            <w:tcW w:w="761" w:type="dxa"/>
            <w:tcBorders>
              <w:top w:val="nil"/>
              <w:left w:val="nil"/>
              <w:bottom w:val="single" w:sz="6" w:space="0" w:color="auto"/>
              <w:right w:val="single" w:sz="6" w:space="0" w:color="auto"/>
            </w:tcBorders>
            <w:shd w:val="clear" w:color="auto" w:fill="auto"/>
            <w:vAlign w:val="center"/>
            <w:hideMark/>
          </w:tcPr>
          <w:p w14:paraId="09BC4A8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0.690</w:t>
            </w:r>
          </w:p>
        </w:tc>
        <w:tc>
          <w:tcPr>
            <w:tcW w:w="840" w:type="dxa"/>
            <w:tcBorders>
              <w:top w:val="nil"/>
              <w:left w:val="nil"/>
              <w:bottom w:val="single" w:sz="6" w:space="0" w:color="auto"/>
              <w:right w:val="single" w:sz="6" w:space="0" w:color="auto"/>
            </w:tcBorders>
            <w:shd w:val="clear" w:color="auto" w:fill="auto"/>
            <w:vAlign w:val="center"/>
            <w:hideMark/>
          </w:tcPr>
          <w:p w14:paraId="1784A19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0.253</w:t>
            </w:r>
          </w:p>
        </w:tc>
        <w:tc>
          <w:tcPr>
            <w:tcW w:w="761" w:type="dxa"/>
            <w:tcBorders>
              <w:top w:val="nil"/>
              <w:left w:val="nil"/>
              <w:bottom w:val="single" w:sz="4" w:space="0" w:color="auto"/>
              <w:right w:val="single" w:sz="4" w:space="0" w:color="auto"/>
            </w:tcBorders>
            <w:shd w:val="clear" w:color="auto" w:fill="auto"/>
            <w:vAlign w:val="center"/>
            <w:hideMark/>
          </w:tcPr>
          <w:p w14:paraId="5637272B"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0.919</w:t>
            </w:r>
          </w:p>
        </w:tc>
        <w:tc>
          <w:tcPr>
            <w:tcW w:w="873" w:type="dxa"/>
            <w:tcBorders>
              <w:top w:val="nil"/>
              <w:left w:val="nil"/>
              <w:bottom w:val="single" w:sz="6" w:space="0" w:color="auto"/>
              <w:right w:val="single" w:sz="6" w:space="0" w:color="auto"/>
            </w:tcBorders>
            <w:shd w:val="clear" w:color="auto" w:fill="auto"/>
            <w:vAlign w:val="center"/>
            <w:hideMark/>
          </w:tcPr>
          <w:p w14:paraId="1CE68141"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0.445</w:t>
            </w:r>
          </w:p>
        </w:tc>
        <w:tc>
          <w:tcPr>
            <w:tcW w:w="912" w:type="dxa"/>
            <w:tcBorders>
              <w:top w:val="nil"/>
              <w:left w:val="nil"/>
              <w:bottom w:val="single" w:sz="4" w:space="0" w:color="auto"/>
              <w:right w:val="single" w:sz="4" w:space="0" w:color="auto"/>
            </w:tcBorders>
            <w:shd w:val="clear" w:color="auto" w:fill="auto"/>
            <w:vAlign w:val="center"/>
            <w:hideMark/>
          </w:tcPr>
          <w:p w14:paraId="51F94BE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0.667</w:t>
            </w:r>
          </w:p>
        </w:tc>
      </w:tr>
      <w:tr w:rsidR="003B5F34" w:rsidRPr="00BC081A" w14:paraId="3B232EDA"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968D91A"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HE3</w:t>
            </w:r>
          </w:p>
        </w:tc>
        <w:tc>
          <w:tcPr>
            <w:tcW w:w="925" w:type="dxa"/>
            <w:tcBorders>
              <w:top w:val="nil"/>
              <w:left w:val="nil"/>
              <w:bottom w:val="single" w:sz="6" w:space="0" w:color="auto"/>
              <w:right w:val="single" w:sz="6" w:space="0" w:color="auto"/>
            </w:tcBorders>
            <w:shd w:val="clear" w:color="auto" w:fill="auto"/>
            <w:vAlign w:val="center"/>
            <w:hideMark/>
          </w:tcPr>
          <w:p w14:paraId="465DA42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0.213</w:t>
            </w:r>
          </w:p>
        </w:tc>
        <w:tc>
          <w:tcPr>
            <w:tcW w:w="858" w:type="dxa"/>
            <w:tcBorders>
              <w:top w:val="nil"/>
              <w:left w:val="nil"/>
              <w:bottom w:val="single" w:sz="6" w:space="0" w:color="auto"/>
              <w:right w:val="single" w:sz="6" w:space="0" w:color="auto"/>
            </w:tcBorders>
            <w:shd w:val="clear" w:color="auto" w:fill="auto"/>
            <w:vAlign w:val="center"/>
            <w:hideMark/>
          </w:tcPr>
          <w:p w14:paraId="116FEAD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0.168</w:t>
            </w:r>
          </w:p>
        </w:tc>
        <w:tc>
          <w:tcPr>
            <w:tcW w:w="934" w:type="dxa"/>
            <w:tcBorders>
              <w:top w:val="nil"/>
              <w:left w:val="nil"/>
              <w:bottom w:val="single" w:sz="6" w:space="0" w:color="auto"/>
              <w:right w:val="single" w:sz="6" w:space="0" w:color="auto"/>
            </w:tcBorders>
            <w:shd w:val="clear" w:color="auto" w:fill="auto"/>
            <w:vAlign w:val="center"/>
            <w:hideMark/>
          </w:tcPr>
          <w:p w14:paraId="0D916FE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0.329</w:t>
            </w:r>
          </w:p>
        </w:tc>
        <w:tc>
          <w:tcPr>
            <w:tcW w:w="812" w:type="dxa"/>
            <w:tcBorders>
              <w:top w:val="nil"/>
              <w:left w:val="nil"/>
              <w:bottom w:val="single" w:sz="6" w:space="0" w:color="auto"/>
              <w:right w:val="single" w:sz="6" w:space="0" w:color="auto"/>
            </w:tcBorders>
            <w:shd w:val="clear" w:color="auto" w:fill="auto"/>
            <w:vAlign w:val="center"/>
            <w:hideMark/>
          </w:tcPr>
          <w:p w14:paraId="1F7DFDE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0.305</w:t>
            </w:r>
          </w:p>
        </w:tc>
        <w:tc>
          <w:tcPr>
            <w:tcW w:w="761" w:type="dxa"/>
            <w:tcBorders>
              <w:top w:val="nil"/>
              <w:left w:val="nil"/>
              <w:bottom w:val="single" w:sz="6" w:space="0" w:color="auto"/>
              <w:right w:val="single" w:sz="6" w:space="0" w:color="auto"/>
            </w:tcBorders>
            <w:shd w:val="clear" w:color="auto" w:fill="auto"/>
            <w:vAlign w:val="center"/>
            <w:hideMark/>
          </w:tcPr>
          <w:p w14:paraId="3F8267B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0.608</w:t>
            </w:r>
          </w:p>
        </w:tc>
        <w:tc>
          <w:tcPr>
            <w:tcW w:w="840" w:type="dxa"/>
            <w:tcBorders>
              <w:top w:val="nil"/>
              <w:left w:val="nil"/>
              <w:bottom w:val="single" w:sz="6" w:space="0" w:color="auto"/>
              <w:right w:val="single" w:sz="6" w:space="0" w:color="auto"/>
            </w:tcBorders>
            <w:shd w:val="clear" w:color="auto" w:fill="auto"/>
            <w:vAlign w:val="center"/>
            <w:hideMark/>
          </w:tcPr>
          <w:p w14:paraId="08D21820"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0.324</w:t>
            </w:r>
          </w:p>
        </w:tc>
        <w:tc>
          <w:tcPr>
            <w:tcW w:w="761" w:type="dxa"/>
            <w:tcBorders>
              <w:top w:val="nil"/>
              <w:left w:val="nil"/>
              <w:bottom w:val="single" w:sz="4" w:space="0" w:color="auto"/>
              <w:right w:val="single" w:sz="4" w:space="0" w:color="auto"/>
            </w:tcBorders>
            <w:shd w:val="clear" w:color="auto" w:fill="auto"/>
            <w:vAlign w:val="center"/>
            <w:hideMark/>
          </w:tcPr>
          <w:p w14:paraId="7EF43706"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0.951</w:t>
            </w:r>
          </w:p>
        </w:tc>
        <w:tc>
          <w:tcPr>
            <w:tcW w:w="873" w:type="dxa"/>
            <w:tcBorders>
              <w:top w:val="nil"/>
              <w:left w:val="nil"/>
              <w:bottom w:val="single" w:sz="6" w:space="0" w:color="auto"/>
              <w:right w:val="single" w:sz="6" w:space="0" w:color="auto"/>
            </w:tcBorders>
            <w:shd w:val="clear" w:color="auto" w:fill="auto"/>
            <w:vAlign w:val="center"/>
            <w:hideMark/>
          </w:tcPr>
          <w:p w14:paraId="79EFD23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0.439</w:t>
            </w:r>
          </w:p>
        </w:tc>
        <w:tc>
          <w:tcPr>
            <w:tcW w:w="912" w:type="dxa"/>
            <w:tcBorders>
              <w:top w:val="nil"/>
              <w:left w:val="nil"/>
              <w:bottom w:val="single" w:sz="4" w:space="0" w:color="auto"/>
              <w:right w:val="single" w:sz="4" w:space="0" w:color="auto"/>
            </w:tcBorders>
            <w:shd w:val="clear" w:color="auto" w:fill="auto"/>
            <w:vAlign w:val="center"/>
            <w:hideMark/>
          </w:tcPr>
          <w:p w14:paraId="0061987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0.639</w:t>
            </w:r>
          </w:p>
        </w:tc>
      </w:tr>
      <w:tr w:rsidR="003B5F34" w:rsidRPr="00BC081A" w14:paraId="4ADDF20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C93351"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HE4</w:t>
            </w:r>
          </w:p>
        </w:tc>
        <w:tc>
          <w:tcPr>
            <w:tcW w:w="925" w:type="dxa"/>
            <w:tcBorders>
              <w:top w:val="nil"/>
              <w:left w:val="nil"/>
              <w:bottom w:val="single" w:sz="6" w:space="0" w:color="auto"/>
              <w:right w:val="single" w:sz="6" w:space="0" w:color="auto"/>
            </w:tcBorders>
            <w:shd w:val="clear" w:color="auto" w:fill="auto"/>
            <w:vAlign w:val="center"/>
            <w:hideMark/>
          </w:tcPr>
          <w:p w14:paraId="74C295A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0.167</w:t>
            </w:r>
          </w:p>
        </w:tc>
        <w:tc>
          <w:tcPr>
            <w:tcW w:w="858" w:type="dxa"/>
            <w:tcBorders>
              <w:top w:val="nil"/>
              <w:left w:val="nil"/>
              <w:bottom w:val="single" w:sz="6" w:space="0" w:color="auto"/>
              <w:right w:val="single" w:sz="6" w:space="0" w:color="auto"/>
            </w:tcBorders>
            <w:shd w:val="clear" w:color="auto" w:fill="auto"/>
            <w:vAlign w:val="center"/>
            <w:hideMark/>
          </w:tcPr>
          <w:p w14:paraId="67F3D85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0.225</w:t>
            </w:r>
          </w:p>
        </w:tc>
        <w:tc>
          <w:tcPr>
            <w:tcW w:w="934" w:type="dxa"/>
            <w:tcBorders>
              <w:top w:val="nil"/>
              <w:left w:val="nil"/>
              <w:bottom w:val="single" w:sz="6" w:space="0" w:color="auto"/>
              <w:right w:val="single" w:sz="6" w:space="0" w:color="auto"/>
            </w:tcBorders>
            <w:shd w:val="clear" w:color="auto" w:fill="auto"/>
            <w:vAlign w:val="center"/>
            <w:hideMark/>
          </w:tcPr>
          <w:p w14:paraId="10C0910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0.295</w:t>
            </w:r>
          </w:p>
        </w:tc>
        <w:tc>
          <w:tcPr>
            <w:tcW w:w="812" w:type="dxa"/>
            <w:tcBorders>
              <w:top w:val="nil"/>
              <w:left w:val="nil"/>
              <w:bottom w:val="single" w:sz="6" w:space="0" w:color="auto"/>
              <w:right w:val="single" w:sz="6" w:space="0" w:color="auto"/>
            </w:tcBorders>
            <w:shd w:val="clear" w:color="auto" w:fill="auto"/>
            <w:vAlign w:val="center"/>
            <w:hideMark/>
          </w:tcPr>
          <w:p w14:paraId="46895FB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0.261</w:t>
            </w:r>
          </w:p>
        </w:tc>
        <w:tc>
          <w:tcPr>
            <w:tcW w:w="761" w:type="dxa"/>
            <w:tcBorders>
              <w:top w:val="nil"/>
              <w:left w:val="nil"/>
              <w:bottom w:val="single" w:sz="6" w:space="0" w:color="auto"/>
              <w:right w:val="single" w:sz="6" w:space="0" w:color="auto"/>
            </w:tcBorders>
            <w:shd w:val="clear" w:color="auto" w:fill="auto"/>
            <w:vAlign w:val="center"/>
            <w:hideMark/>
          </w:tcPr>
          <w:p w14:paraId="1F29A79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0.614</w:t>
            </w:r>
          </w:p>
        </w:tc>
        <w:tc>
          <w:tcPr>
            <w:tcW w:w="840" w:type="dxa"/>
            <w:tcBorders>
              <w:top w:val="nil"/>
              <w:left w:val="nil"/>
              <w:bottom w:val="single" w:sz="6" w:space="0" w:color="auto"/>
              <w:right w:val="single" w:sz="6" w:space="0" w:color="auto"/>
            </w:tcBorders>
            <w:shd w:val="clear" w:color="auto" w:fill="auto"/>
            <w:vAlign w:val="center"/>
            <w:hideMark/>
          </w:tcPr>
          <w:p w14:paraId="1C0F9AA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0.295</w:t>
            </w:r>
          </w:p>
        </w:tc>
        <w:tc>
          <w:tcPr>
            <w:tcW w:w="761" w:type="dxa"/>
            <w:tcBorders>
              <w:top w:val="nil"/>
              <w:left w:val="nil"/>
              <w:bottom w:val="single" w:sz="4" w:space="0" w:color="auto"/>
              <w:right w:val="single" w:sz="4" w:space="0" w:color="auto"/>
            </w:tcBorders>
            <w:shd w:val="clear" w:color="auto" w:fill="auto"/>
            <w:vAlign w:val="center"/>
            <w:hideMark/>
          </w:tcPr>
          <w:p w14:paraId="1DAD0576"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0.940</w:t>
            </w:r>
          </w:p>
        </w:tc>
        <w:tc>
          <w:tcPr>
            <w:tcW w:w="873" w:type="dxa"/>
            <w:tcBorders>
              <w:top w:val="nil"/>
              <w:left w:val="nil"/>
              <w:bottom w:val="single" w:sz="6" w:space="0" w:color="auto"/>
              <w:right w:val="single" w:sz="6" w:space="0" w:color="auto"/>
            </w:tcBorders>
            <w:shd w:val="clear" w:color="auto" w:fill="auto"/>
            <w:vAlign w:val="center"/>
            <w:hideMark/>
          </w:tcPr>
          <w:p w14:paraId="11B73EF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0.454</w:t>
            </w:r>
          </w:p>
        </w:tc>
        <w:tc>
          <w:tcPr>
            <w:tcW w:w="912" w:type="dxa"/>
            <w:tcBorders>
              <w:top w:val="nil"/>
              <w:left w:val="nil"/>
              <w:bottom w:val="single" w:sz="4" w:space="0" w:color="auto"/>
              <w:right w:val="single" w:sz="4" w:space="0" w:color="auto"/>
            </w:tcBorders>
            <w:shd w:val="clear" w:color="auto" w:fill="auto"/>
            <w:vAlign w:val="center"/>
            <w:hideMark/>
          </w:tcPr>
          <w:p w14:paraId="3DF7149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0.603</w:t>
            </w:r>
          </w:p>
        </w:tc>
      </w:tr>
      <w:tr w:rsidR="003B5F34" w:rsidRPr="00BC081A" w14:paraId="6B654F67"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9A8BBF"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TD1</w:t>
            </w:r>
          </w:p>
        </w:tc>
        <w:tc>
          <w:tcPr>
            <w:tcW w:w="925" w:type="dxa"/>
            <w:tcBorders>
              <w:top w:val="nil"/>
              <w:left w:val="nil"/>
              <w:bottom w:val="single" w:sz="6" w:space="0" w:color="auto"/>
              <w:right w:val="single" w:sz="6" w:space="0" w:color="auto"/>
            </w:tcBorders>
            <w:shd w:val="clear" w:color="auto" w:fill="auto"/>
            <w:vAlign w:val="center"/>
            <w:hideMark/>
          </w:tcPr>
          <w:p w14:paraId="26F007B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0.097</w:t>
            </w:r>
          </w:p>
        </w:tc>
        <w:tc>
          <w:tcPr>
            <w:tcW w:w="858" w:type="dxa"/>
            <w:tcBorders>
              <w:top w:val="nil"/>
              <w:left w:val="nil"/>
              <w:bottom w:val="single" w:sz="6" w:space="0" w:color="auto"/>
              <w:right w:val="single" w:sz="6" w:space="0" w:color="auto"/>
            </w:tcBorders>
            <w:shd w:val="clear" w:color="auto" w:fill="auto"/>
            <w:vAlign w:val="center"/>
            <w:hideMark/>
          </w:tcPr>
          <w:p w14:paraId="61659FF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0.230</w:t>
            </w:r>
          </w:p>
        </w:tc>
        <w:tc>
          <w:tcPr>
            <w:tcW w:w="934" w:type="dxa"/>
            <w:tcBorders>
              <w:top w:val="nil"/>
              <w:left w:val="nil"/>
              <w:bottom w:val="single" w:sz="6" w:space="0" w:color="auto"/>
              <w:right w:val="single" w:sz="6" w:space="0" w:color="auto"/>
            </w:tcBorders>
            <w:shd w:val="clear" w:color="auto" w:fill="auto"/>
            <w:vAlign w:val="center"/>
            <w:hideMark/>
          </w:tcPr>
          <w:p w14:paraId="12B6E3C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0.178</w:t>
            </w:r>
          </w:p>
        </w:tc>
        <w:tc>
          <w:tcPr>
            <w:tcW w:w="812" w:type="dxa"/>
            <w:tcBorders>
              <w:top w:val="nil"/>
              <w:left w:val="nil"/>
              <w:bottom w:val="single" w:sz="6" w:space="0" w:color="auto"/>
              <w:right w:val="single" w:sz="6" w:space="0" w:color="auto"/>
            </w:tcBorders>
            <w:shd w:val="clear" w:color="auto" w:fill="auto"/>
            <w:vAlign w:val="center"/>
            <w:hideMark/>
          </w:tcPr>
          <w:p w14:paraId="0D4D3EB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0.172</w:t>
            </w:r>
          </w:p>
        </w:tc>
        <w:tc>
          <w:tcPr>
            <w:tcW w:w="761" w:type="dxa"/>
            <w:tcBorders>
              <w:top w:val="nil"/>
              <w:left w:val="nil"/>
              <w:bottom w:val="single" w:sz="6" w:space="0" w:color="auto"/>
              <w:right w:val="single" w:sz="6" w:space="0" w:color="auto"/>
            </w:tcBorders>
            <w:shd w:val="clear" w:color="auto" w:fill="auto"/>
            <w:vAlign w:val="center"/>
            <w:hideMark/>
          </w:tcPr>
          <w:p w14:paraId="676B716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0.450</w:t>
            </w:r>
          </w:p>
        </w:tc>
        <w:tc>
          <w:tcPr>
            <w:tcW w:w="840" w:type="dxa"/>
            <w:tcBorders>
              <w:top w:val="nil"/>
              <w:left w:val="nil"/>
              <w:bottom w:val="single" w:sz="6" w:space="0" w:color="auto"/>
              <w:right w:val="single" w:sz="6" w:space="0" w:color="auto"/>
            </w:tcBorders>
            <w:shd w:val="clear" w:color="auto" w:fill="auto"/>
            <w:vAlign w:val="center"/>
            <w:hideMark/>
          </w:tcPr>
          <w:p w14:paraId="1FEB745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0.370</w:t>
            </w:r>
          </w:p>
        </w:tc>
        <w:tc>
          <w:tcPr>
            <w:tcW w:w="761" w:type="dxa"/>
            <w:tcBorders>
              <w:top w:val="nil"/>
              <w:left w:val="nil"/>
              <w:bottom w:val="single" w:sz="4" w:space="0" w:color="auto"/>
              <w:right w:val="single" w:sz="4" w:space="0" w:color="auto"/>
            </w:tcBorders>
            <w:shd w:val="clear" w:color="auto" w:fill="auto"/>
            <w:vAlign w:val="center"/>
            <w:hideMark/>
          </w:tcPr>
          <w:p w14:paraId="26DAC5E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0.546</w:t>
            </w:r>
          </w:p>
        </w:tc>
        <w:tc>
          <w:tcPr>
            <w:tcW w:w="873" w:type="dxa"/>
            <w:tcBorders>
              <w:top w:val="nil"/>
              <w:left w:val="nil"/>
              <w:bottom w:val="single" w:sz="6" w:space="0" w:color="auto"/>
              <w:right w:val="single" w:sz="6" w:space="0" w:color="auto"/>
            </w:tcBorders>
            <w:shd w:val="clear" w:color="auto" w:fill="auto"/>
            <w:vAlign w:val="center"/>
            <w:hideMark/>
          </w:tcPr>
          <w:p w14:paraId="31E6433F"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0.851</w:t>
            </w:r>
          </w:p>
        </w:tc>
        <w:tc>
          <w:tcPr>
            <w:tcW w:w="912" w:type="dxa"/>
            <w:tcBorders>
              <w:top w:val="nil"/>
              <w:left w:val="nil"/>
              <w:bottom w:val="single" w:sz="4" w:space="0" w:color="auto"/>
              <w:right w:val="single" w:sz="4" w:space="0" w:color="auto"/>
            </w:tcBorders>
            <w:shd w:val="clear" w:color="auto" w:fill="auto"/>
            <w:vAlign w:val="center"/>
            <w:hideMark/>
          </w:tcPr>
          <w:p w14:paraId="69AEA10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0.404</w:t>
            </w:r>
          </w:p>
        </w:tc>
      </w:tr>
      <w:tr w:rsidR="003B5F34" w:rsidRPr="00BC081A" w14:paraId="04FE7C4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A420E6"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TD2</w:t>
            </w:r>
          </w:p>
        </w:tc>
        <w:tc>
          <w:tcPr>
            <w:tcW w:w="925" w:type="dxa"/>
            <w:tcBorders>
              <w:top w:val="nil"/>
              <w:left w:val="nil"/>
              <w:bottom w:val="single" w:sz="6" w:space="0" w:color="auto"/>
              <w:right w:val="single" w:sz="6" w:space="0" w:color="auto"/>
            </w:tcBorders>
            <w:shd w:val="clear" w:color="auto" w:fill="auto"/>
            <w:vAlign w:val="center"/>
            <w:hideMark/>
          </w:tcPr>
          <w:p w14:paraId="3B8EE26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0.005</w:t>
            </w:r>
          </w:p>
        </w:tc>
        <w:tc>
          <w:tcPr>
            <w:tcW w:w="858" w:type="dxa"/>
            <w:tcBorders>
              <w:top w:val="nil"/>
              <w:left w:val="nil"/>
              <w:bottom w:val="single" w:sz="6" w:space="0" w:color="auto"/>
              <w:right w:val="single" w:sz="6" w:space="0" w:color="auto"/>
            </w:tcBorders>
            <w:shd w:val="clear" w:color="auto" w:fill="auto"/>
            <w:vAlign w:val="center"/>
            <w:hideMark/>
          </w:tcPr>
          <w:p w14:paraId="73909B3A"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0.238</w:t>
            </w:r>
          </w:p>
        </w:tc>
        <w:tc>
          <w:tcPr>
            <w:tcW w:w="934" w:type="dxa"/>
            <w:tcBorders>
              <w:top w:val="nil"/>
              <w:left w:val="nil"/>
              <w:bottom w:val="single" w:sz="6" w:space="0" w:color="auto"/>
              <w:right w:val="single" w:sz="6" w:space="0" w:color="auto"/>
            </w:tcBorders>
            <w:shd w:val="clear" w:color="auto" w:fill="auto"/>
            <w:vAlign w:val="center"/>
            <w:hideMark/>
          </w:tcPr>
          <w:p w14:paraId="0D9FEC0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0.302</w:t>
            </w:r>
          </w:p>
        </w:tc>
        <w:tc>
          <w:tcPr>
            <w:tcW w:w="812" w:type="dxa"/>
            <w:tcBorders>
              <w:top w:val="nil"/>
              <w:left w:val="nil"/>
              <w:bottom w:val="single" w:sz="6" w:space="0" w:color="auto"/>
              <w:right w:val="single" w:sz="6" w:space="0" w:color="auto"/>
            </w:tcBorders>
            <w:shd w:val="clear" w:color="auto" w:fill="auto"/>
            <w:vAlign w:val="center"/>
            <w:hideMark/>
          </w:tcPr>
          <w:p w14:paraId="4B2F321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0.251</w:t>
            </w:r>
          </w:p>
        </w:tc>
        <w:tc>
          <w:tcPr>
            <w:tcW w:w="761" w:type="dxa"/>
            <w:tcBorders>
              <w:top w:val="nil"/>
              <w:left w:val="nil"/>
              <w:bottom w:val="single" w:sz="6" w:space="0" w:color="auto"/>
              <w:right w:val="single" w:sz="6" w:space="0" w:color="auto"/>
            </w:tcBorders>
            <w:shd w:val="clear" w:color="auto" w:fill="auto"/>
            <w:vAlign w:val="center"/>
            <w:hideMark/>
          </w:tcPr>
          <w:p w14:paraId="6CA1A33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0.176</w:t>
            </w:r>
          </w:p>
        </w:tc>
        <w:tc>
          <w:tcPr>
            <w:tcW w:w="840" w:type="dxa"/>
            <w:tcBorders>
              <w:top w:val="nil"/>
              <w:left w:val="nil"/>
              <w:bottom w:val="single" w:sz="6" w:space="0" w:color="auto"/>
              <w:right w:val="single" w:sz="6" w:space="0" w:color="auto"/>
            </w:tcBorders>
            <w:shd w:val="clear" w:color="auto" w:fill="auto"/>
            <w:vAlign w:val="center"/>
            <w:hideMark/>
          </w:tcPr>
          <w:p w14:paraId="0FFFC01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0.123</w:t>
            </w:r>
          </w:p>
        </w:tc>
        <w:tc>
          <w:tcPr>
            <w:tcW w:w="761" w:type="dxa"/>
            <w:tcBorders>
              <w:top w:val="nil"/>
              <w:left w:val="nil"/>
              <w:bottom w:val="single" w:sz="4" w:space="0" w:color="auto"/>
              <w:right w:val="single" w:sz="4" w:space="0" w:color="auto"/>
            </w:tcBorders>
            <w:shd w:val="clear" w:color="auto" w:fill="auto"/>
            <w:vAlign w:val="center"/>
            <w:hideMark/>
          </w:tcPr>
          <w:p w14:paraId="6179DC7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0.200</w:t>
            </w:r>
          </w:p>
        </w:tc>
        <w:tc>
          <w:tcPr>
            <w:tcW w:w="873" w:type="dxa"/>
            <w:tcBorders>
              <w:top w:val="nil"/>
              <w:left w:val="nil"/>
              <w:bottom w:val="single" w:sz="6" w:space="0" w:color="auto"/>
              <w:right w:val="single" w:sz="6" w:space="0" w:color="auto"/>
            </w:tcBorders>
            <w:shd w:val="clear" w:color="auto" w:fill="auto"/>
            <w:vAlign w:val="center"/>
            <w:hideMark/>
          </w:tcPr>
          <w:p w14:paraId="1B0CC450"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0.797</w:t>
            </w:r>
          </w:p>
        </w:tc>
        <w:tc>
          <w:tcPr>
            <w:tcW w:w="912" w:type="dxa"/>
            <w:tcBorders>
              <w:top w:val="nil"/>
              <w:left w:val="nil"/>
              <w:bottom w:val="single" w:sz="4" w:space="0" w:color="auto"/>
              <w:right w:val="single" w:sz="4" w:space="0" w:color="auto"/>
            </w:tcBorders>
            <w:shd w:val="clear" w:color="auto" w:fill="auto"/>
            <w:vAlign w:val="center"/>
            <w:hideMark/>
          </w:tcPr>
          <w:p w14:paraId="53D3F22D"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0.196</w:t>
            </w:r>
          </w:p>
        </w:tc>
      </w:tr>
      <w:tr w:rsidR="003B5F34" w:rsidRPr="00BC081A" w14:paraId="67770905"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F22754"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TD3</w:t>
            </w:r>
          </w:p>
        </w:tc>
        <w:tc>
          <w:tcPr>
            <w:tcW w:w="925" w:type="dxa"/>
            <w:tcBorders>
              <w:top w:val="nil"/>
              <w:left w:val="nil"/>
              <w:bottom w:val="single" w:sz="6" w:space="0" w:color="auto"/>
              <w:right w:val="single" w:sz="6" w:space="0" w:color="auto"/>
            </w:tcBorders>
            <w:shd w:val="clear" w:color="auto" w:fill="auto"/>
            <w:vAlign w:val="center"/>
            <w:hideMark/>
          </w:tcPr>
          <w:p w14:paraId="31DB873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0.091</w:t>
            </w:r>
          </w:p>
        </w:tc>
        <w:tc>
          <w:tcPr>
            <w:tcW w:w="858" w:type="dxa"/>
            <w:tcBorders>
              <w:top w:val="nil"/>
              <w:left w:val="nil"/>
              <w:bottom w:val="single" w:sz="6" w:space="0" w:color="auto"/>
              <w:right w:val="single" w:sz="6" w:space="0" w:color="auto"/>
            </w:tcBorders>
            <w:shd w:val="clear" w:color="auto" w:fill="auto"/>
            <w:vAlign w:val="center"/>
            <w:hideMark/>
          </w:tcPr>
          <w:p w14:paraId="4DDE868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0.274</w:t>
            </w:r>
          </w:p>
        </w:tc>
        <w:tc>
          <w:tcPr>
            <w:tcW w:w="934" w:type="dxa"/>
            <w:tcBorders>
              <w:top w:val="nil"/>
              <w:left w:val="nil"/>
              <w:bottom w:val="single" w:sz="6" w:space="0" w:color="auto"/>
              <w:right w:val="single" w:sz="6" w:space="0" w:color="auto"/>
            </w:tcBorders>
            <w:shd w:val="clear" w:color="auto" w:fill="auto"/>
            <w:vAlign w:val="center"/>
            <w:hideMark/>
          </w:tcPr>
          <w:p w14:paraId="6CDB71BB"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0.269</w:t>
            </w:r>
          </w:p>
        </w:tc>
        <w:tc>
          <w:tcPr>
            <w:tcW w:w="812" w:type="dxa"/>
            <w:tcBorders>
              <w:top w:val="nil"/>
              <w:left w:val="nil"/>
              <w:bottom w:val="single" w:sz="6" w:space="0" w:color="auto"/>
              <w:right w:val="single" w:sz="6" w:space="0" w:color="auto"/>
            </w:tcBorders>
            <w:shd w:val="clear" w:color="auto" w:fill="auto"/>
            <w:vAlign w:val="center"/>
            <w:hideMark/>
          </w:tcPr>
          <w:p w14:paraId="39A715D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0.330</w:t>
            </w:r>
          </w:p>
        </w:tc>
        <w:tc>
          <w:tcPr>
            <w:tcW w:w="761" w:type="dxa"/>
            <w:tcBorders>
              <w:top w:val="nil"/>
              <w:left w:val="nil"/>
              <w:bottom w:val="single" w:sz="6" w:space="0" w:color="auto"/>
              <w:right w:val="single" w:sz="6" w:space="0" w:color="auto"/>
            </w:tcBorders>
            <w:shd w:val="clear" w:color="auto" w:fill="auto"/>
            <w:vAlign w:val="center"/>
            <w:hideMark/>
          </w:tcPr>
          <w:p w14:paraId="59FD72C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0.357</w:t>
            </w:r>
          </w:p>
        </w:tc>
        <w:tc>
          <w:tcPr>
            <w:tcW w:w="840" w:type="dxa"/>
            <w:tcBorders>
              <w:top w:val="nil"/>
              <w:left w:val="nil"/>
              <w:bottom w:val="single" w:sz="6" w:space="0" w:color="auto"/>
              <w:right w:val="single" w:sz="6" w:space="0" w:color="auto"/>
            </w:tcBorders>
            <w:shd w:val="clear" w:color="auto" w:fill="auto"/>
            <w:vAlign w:val="center"/>
            <w:hideMark/>
          </w:tcPr>
          <w:p w14:paraId="6B2A2E4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0.151</w:t>
            </w:r>
          </w:p>
        </w:tc>
        <w:tc>
          <w:tcPr>
            <w:tcW w:w="761" w:type="dxa"/>
            <w:tcBorders>
              <w:top w:val="nil"/>
              <w:left w:val="nil"/>
              <w:bottom w:val="single" w:sz="4" w:space="0" w:color="auto"/>
              <w:right w:val="single" w:sz="4" w:space="0" w:color="auto"/>
            </w:tcBorders>
            <w:shd w:val="clear" w:color="auto" w:fill="auto"/>
            <w:vAlign w:val="center"/>
            <w:hideMark/>
          </w:tcPr>
          <w:p w14:paraId="4C3EA47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0.362</w:t>
            </w:r>
          </w:p>
        </w:tc>
        <w:tc>
          <w:tcPr>
            <w:tcW w:w="873" w:type="dxa"/>
            <w:tcBorders>
              <w:top w:val="nil"/>
              <w:left w:val="nil"/>
              <w:bottom w:val="single" w:sz="6" w:space="0" w:color="auto"/>
              <w:right w:val="single" w:sz="6" w:space="0" w:color="auto"/>
            </w:tcBorders>
            <w:shd w:val="clear" w:color="auto" w:fill="auto"/>
            <w:vAlign w:val="center"/>
            <w:hideMark/>
          </w:tcPr>
          <w:p w14:paraId="1A389CD6"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0.873</w:t>
            </w:r>
          </w:p>
        </w:tc>
        <w:tc>
          <w:tcPr>
            <w:tcW w:w="912" w:type="dxa"/>
            <w:tcBorders>
              <w:top w:val="nil"/>
              <w:left w:val="nil"/>
              <w:bottom w:val="single" w:sz="4" w:space="0" w:color="auto"/>
              <w:right w:val="single" w:sz="4" w:space="0" w:color="auto"/>
            </w:tcBorders>
            <w:shd w:val="clear" w:color="auto" w:fill="auto"/>
            <w:vAlign w:val="center"/>
            <w:hideMark/>
          </w:tcPr>
          <w:p w14:paraId="08E5804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0.315</w:t>
            </w:r>
          </w:p>
        </w:tc>
      </w:tr>
      <w:tr w:rsidR="003B5F34" w:rsidRPr="00BC081A" w14:paraId="5DED6A24"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A1EDDD"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SA1</w:t>
            </w:r>
          </w:p>
        </w:tc>
        <w:tc>
          <w:tcPr>
            <w:tcW w:w="925" w:type="dxa"/>
            <w:tcBorders>
              <w:top w:val="nil"/>
              <w:left w:val="nil"/>
              <w:bottom w:val="single" w:sz="6" w:space="0" w:color="auto"/>
              <w:right w:val="single" w:sz="6" w:space="0" w:color="auto"/>
            </w:tcBorders>
            <w:shd w:val="clear" w:color="auto" w:fill="auto"/>
            <w:vAlign w:val="center"/>
            <w:hideMark/>
          </w:tcPr>
          <w:p w14:paraId="4B2F2A7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0.139</w:t>
            </w:r>
          </w:p>
        </w:tc>
        <w:tc>
          <w:tcPr>
            <w:tcW w:w="858" w:type="dxa"/>
            <w:tcBorders>
              <w:top w:val="nil"/>
              <w:left w:val="nil"/>
              <w:bottom w:val="single" w:sz="6" w:space="0" w:color="auto"/>
              <w:right w:val="single" w:sz="6" w:space="0" w:color="auto"/>
            </w:tcBorders>
            <w:shd w:val="clear" w:color="auto" w:fill="auto"/>
            <w:vAlign w:val="center"/>
            <w:hideMark/>
          </w:tcPr>
          <w:p w14:paraId="6B7C5E95"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0.160</w:t>
            </w:r>
          </w:p>
        </w:tc>
        <w:tc>
          <w:tcPr>
            <w:tcW w:w="934" w:type="dxa"/>
            <w:tcBorders>
              <w:top w:val="nil"/>
              <w:left w:val="nil"/>
              <w:bottom w:val="single" w:sz="6" w:space="0" w:color="auto"/>
              <w:right w:val="single" w:sz="6" w:space="0" w:color="auto"/>
            </w:tcBorders>
            <w:shd w:val="clear" w:color="auto" w:fill="auto"/>
            <w:vAlign w:val="center"/>
            <w:hideMark/>
          </w:tcPr>
          <w:p w14:paraId="1D456E0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0.347</w:t>
            </w:r>
          </w:p>
        </w:tc>
        <w:tc>
          <w:tcPr>
            <w:tcW w:w="812" w:type="dxa"/>
            <w:tcBorders>
              <w:top w:val="nil"/>
              <w:left w:val="nil"/>
              <w:bottom w:val="single" w:sz="6" w:space="0" w:color="auto"/>
              <w:right w:val="single" w:sz="6" w:space="0" w:color="auto"/>
            </w:tcBorders>
            <w:shd w:val="clear" w:color="auto" w:fill="auto"/>
            <w:vAlign w:val="center"/>
            <w:hideMark/>
          </w:tcPr>
          <w:p w14:paraId="0B9B75D7"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0.473</w:t>
            </w:r>
          </w:p>
        </w:tc>
        <w:tc>
          <w:tcPr>
            <w:tcW w:w="761" w:type="dxa"/>
            <w:tcBorders>
              <w:top w:val="nil"/>
              <w:left w:val="nil"/>
              <w:bottom w:val="single" w:sz="6" w:space="0" w:color="auto"/>
              <w:right w:val="single" w:sz="6" w:space="0" w:color="auto"/>
            </w:tcBorders>
            <w:shd w:val="clear" w:color="auto" w:fill="auto"/>
            <w:vAlign w:val="center"/>
            <w:hideMark/>
          </w:tcPr>
          <w:p w14:paraId="66046469"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0.576</w:t>
            </w:r>
          </w:p>
        </w:tc>
        <w:tc>
          <w:tcPr>
            <w:tcW w:w="840" w:type="dxa"/>
            <w:tcBorders>
              <w:top w:val="nil"/>
              <w:left w:val="nil"/>
              <w:bottom w:val="single" w:sz="6" w:space="0" w:color="auto"/>
              <w:right w:val="single" w:sz="6" w:space="0" w:color="auto"/>
            </w:tcBorders>
            <w:shd w:val="clear" w:color="auto" w:fill="auto"/>
            <w:vAlign w:val="center"/>
            <w:hideMark/>
          </w:tcPr>
          <w:p w14:paraId="518D0FE6"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0.299</w:t>
            </w:r>
          </w:p>
        </w:tc>
        <w:tc>
          <w:tcPr>
            <w:tcW w:w="761" w:type="dxa"/>
            <w:tcBorders>
              <w:top w:val="nil"/>
              <w:left w:val="nil"/>
              <w:bottom w:val="single" w:sz="4" w:space="0" w:color="auto"/>
              <w:right w:val="single" w:sz="4" w:space="0" w:color="auto"/>
            </w:tcBorders>
            <w:shd w:val="clear" w:color="auto" w:fill="auto"/>
            <w:vAlign w:val="center"/>
            <w:hideMark/>
          </w:tcPr>
          <w:p w14:paraId="2BA7B8C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0.646</w:t>
            </w:r>
          </w:p>
        </w:tc>
        <w:tc>
          <w:tcPr>
            <w:tcW w:w="873" w:type="dxa"/>
            <w:tcBorders>
              <w:top w:val="nil"/>
              <w:left w:val="nil"/>
              <w:bottom w:val="single" w:sz="6" w:space="0" w:color="auto"/>
              <w:right w:val="single" w:sz="6" w:space="0" w:color="auto"/>
            </w:tcBorders>
            <w:shd w:val="clear" w:color="auto" w:fill="auto"/>
            <w:vAlign w:val="center"/>
            <w:hideMark/>
          </w:tcPr>
          <w:p w14:paraId="5C689C6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0.363</w:t>
            </w:r>
          </w:p>
        </w:tc>
        <w:tc>
          <w:tcPr>
            <w:tcW w:w="912" w:type="dxa"/>
            <w:tcBorders>
              <w:top w:val="nil"/>
              <w:left w:val="nil"/>
              <w:bottom w:val="single" w:sz="4" w:space="0" w:color="auto"/>
              <w:right w:val="single" w:sz="4" w:space="0" w:color="auto"/>
            </w:tcBorders>
            <w:shd w:val="clear" w:color="auto" w:fill="auto"/>
            <w:vAlign w:val="center"/>
            <w:hideMark/>
          </w:tcPr>
          <w:p w14:paraId="3445341F"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0.958</w:t>
            </w:r>
          </w:p>
        </w:tc>
      </w:tr>
      <w:tr w:rsidR="003B5F34" w:rsidRPr="00BC081A" w14:paraId="50BFB5BB" w14:textId="77777777" w:rsidTr="008C71FB">
        <w:trPr>
          <w:trHeight w:val="300"/>
          <w:jc w:val="center"/>
        </w:trPr>
        <w:tc>
          <w:tcPr>
            <w:tcW w:w="107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0DE1F5"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SA2</w:t>
            </w:r>
          </w:p>
        </w:tc>
        <w:tc>
          <w:tcPr>
            <w:tcW w:w="925" w:type="dxa"/>
            <w:tcBorders>
              <w:top w:val="nil"/>
              <w:left w:val="nil"/>
              <w:bottom w:val="single" w:sz="6" w:space="0" w:color="auto"/>
              <w:right w:val="single" w:sz="6" w:space="0" w:color="auto"/>
            </w:tcBorders>
            <w:shd w:val="clear" w:color="auto" w:fill="auto"/>
            <w:vAlign w:val="center"/>
            <w:hideMark/>
          </w:tcPr>
          <w:p w14:paraId="47A27003"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0.175</w:t>
            </w:r>
          </w:p>
        </w:tc>
        <w:tc>
          <w:tcPr>
            <w:tcW w:w="858" w:type="dxa"/>
            <w:tcBorders>
              <w:top w:val="nil"/>
              <w:left w:val="nil"/>
              <w:bottom w:val="single" w:sz="6" w:space="0" w:color="auto"/>
              <w:right w:val="single" w:sz="6" w:space="0" w:color="auto"/>
            </w:tcBorders>
            <w:shd w:val="clear" w:color="auto" w:fill="auto"/>
            <w:vAlign w:val="center"/>
            <w:hideMark/>
          </w:tcPr>
          <w:p w14:paraId="3DAFEE3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0.197</w:t>
            </w:r>
          </w:p>
        </w:tc>
        <w:tc>
          <w:tcPr>
            <w:tcW w:w="934" w:type="dxa"/>
            <w:tcBorders>
              <w:top w:val="nil"/>
              <w:left w:val="nil"/>
              <w:bottom w:val="single" w:sz="6" w:space="0" w:color="auto"/>
              <w:right w:val="single" w:sz="6" w:space="0" w:color="auto"/>
            </w:tcBorders>
            <w:shd w:val="clear" w:color="auto" w:fill="auto"/>
            <w:vAlign w:val="center"/>
            <w:hideMark/>
          </w:tcPr>
          <w:p w14:paraId="2153A17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0.378</w:t>
            </w:r>
          </w:p>
        </w:tc>
        <w:tc>
          <w:tcPr>
            <w:tcW w:w="812" w:type="dxa"/>
            <w:tcBorders>
              <w:top w:val="nil"/>
              <w:left w:val="nil"/>
              <w:bottom w:val="single" w:sz="6" w:space="0" w:color="auto"/>
              <w:right w:val="single" w:sz="6" w:space="0" w:color="auto"/>
            </w:tcBorders>
            <w:shd w:val="clear" w:color="auto" w:fill="auto"/>
            <w:vAlign w:val="center"/>
            <w:hideMark/>
          </w:tcPr>
          <w:p w14:paraId="2066C72C"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0.460</w:t>
            </w:r>
          </w:p>
        </w:tc>
        <w:tc>
          <w:tcPr>
            <w:tcW w:w="761" w:type="dxa"/>
            <w:tcBorders>
              <w:top w:val="nil"/>
              <w:left w:val="nil"/>
              <w:bottom w:val="single" w:sz="6" w:space="0" w:color="auto"/>
              <w:right w:val="single" w:sz="6" w:space="0" w:color="auto"/>
            </w:tcBorders>
            <w:shd w:val="clear" w:color="auto" w:fill="auto"/>
            <w:vAlign w:val="center"/>
            <w:hideMark/>
          </w:tcPr>
          <w:p w14:paraId="21F3B482"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0.655</w:t>
            </w:r>
          </w:p>
        </w:tc>
        <w:tc>
          <w:tcPr>
            <w:tcW w:w="840" w:type="dxa"/>
            <w:tcBorders>
              <w:top w:val="nil"/>
              <w:left w:val="nil"/>
              <w:bottom w:val="single" w:sz="6" w:space="0" w:color="auto"/>
              <w:right w:val="single" w:sz="6" w:space="0" w:color="auto"/>
            </w:tcBorders>
            <w:shd w:val="clear" w:color="auto" w:fill="auto"/>
            <w:vAlign w:val="center"/>
            <w:hideMark/>
          </w:tcPr>
          <w:p w14:paraId="1D60AAAF"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0.335</w:t>
            </w:r>
          </w:p>
        </w:tc>
        <w:tc>
          <w:tcPr>
            <w:tcW w:w="761" w:type="dxa"/>
            <w:tcBorders>
              <w:top w:val="nil"/>
              <w:left w:val="nil"/>
              <w:bottom w:val="single" w:sz="4" w:space="0" w:color="auto"/>
              <w:right w:val="single" w:sz="4" w:space="0" w:color="auto"/>
            </w:tcBorders>
            <w:shd w:val="clear" w:color="auto" w:fill="auto"/>
            <w:vAlign w:val="center"/>
            <w:hideMark/>
          </w:tcPr>
          <w:p w14:paraId="2080ABAE"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0.642</w:t>
            </w:r>
          </w:p>
        </w:tc>
        <w:tc>
          <w:tcPr>
            <w:tcW w:w="873" w:type="dxa"/>
            <w:tcBorders>
              <w:top w:val="nil"/>
              <w:left w:val="nil"/>
              <w:bottom w:val="single" w:sz="6" w:space="0" w:color="auto"/>
              <w:right w:val="single" w:sz="6" w:space="0" w:color="auto"/>
            </w:tcBorders>
            <w:shd w:val="clear" w:color="auto" w:fill="auto"/>
            <w:vAlign w:val="center"/>
            <w:hideMark/>
          </w:tcPr>
          <w:p w14:paraId="0346FD38" w14:textId="77777777" w:rsidR="00E21C44" w:rsidRPr="00BC081A" w:rsidRDefault="00E21C44" w:rsidP="00E21C44">
            <w:pPr>
              <w:spacing w:line="240" w:lineRule="auto"/>
              <w:ind w:firstLine="0"/>
              <w:jc w:val="center"/>
              <w:rPr>
                <w:rFonts w:ascii="Verdana" w:eastAsia="Times New Roman" w:hAnsi="Verdana" w:cs="Times New Roman"/>
                <w:color w:val="000000"/>
                <w:sz w:val="17"/>
                <w:szCs w:val="17"/>
              </w:rPr>
            </w:pPr>
            <w:r w:rsidRPr="00BC081A">
              <w:rPr>
                <w:rFonts w:ascii="Verdana" w:eastAsia="Times New Roman" w:hAnsi="Verdana" w:cs="Times New Roman"/>
                <w:color w:val="000000"/>
                <w:sz w:val="17"/>
                <w:szCs w:val="17"/>
              </w:rPr>
              <w:t>0.367</w:t>
            </w:r>
          </w:p>
        </w:tc>
        <w:tc>
          <w:tcPr>
            <w:tcW w:w="912" w:type="dxa"/>
            <w:tcBorders>
              <w:top w:val="nil"/>
              <w:left w:val="nil"/>
              <w:bottom w:val="single" w:sz="4" w:space="0" w:color="auto"/>
              <w:right w:val="single" w:sz="4" w:space="0" w:color="auto"/>
            </w:tcBorders>
            <w:shd w:val="clear" w:color="auto" w:fill="auto"/>
            <w:vAlign w:val="center"/>
            <w:hideMark/>
          </w:tcPr>
          <w:p w14:paraId="556CFA00" w14:textId="77777777" w:rsidR="00E21C44" w:rsidRPr="00BC081A" w:rsidRDefault="00E21C44" w:rsidP="00E21C44">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0.959</w:t>
            </w:r>
          </w:p>
        </w:tc>
      </w:tr>
    </w:tbl>
    <w:p w14:paraId="3F034042" w14:textId="77777777" w:rsidR="00A260C7" w:rsidRPr="00BC081A" w:rsidRDefault="00A260C7" w:rsidP="0017788B"/>
    <w:p w14:paraId="7AC4F6B2" w14:textId="1DC09B9A" w:rsidR="00A260C7" w:rsidRPr="00BC081A" w:rsidRDefault="004C5068" w:rsidP="0017788B">
      <w:r w:rsidRPr="00BC081A">
        <w:t>A</w:t>
      </w:r>
      <w:r w:rsidR="00E16301" w:rsidRPr="00BC081A">
        <w:t xml:space="preserve">n additional </w:t>
      </w:r>
      <w:r w:rsidR="007F0647" w:rsidRPr="00BC081A">
        <w:t xml:space="preserve">test </w:t>
      </w:r>
      <w:r w:rsidR="00E16301" w:rsidRPr="00BC081A">
        <w:t xml:space="preserve">for </w:t>
      </w:r>
      <w:r w:rsidR="007F0647" w:rsidRPr="00BC081A">
        <w:t xml:space="preserve">discriminant validity </w:t>
      </w:r>
      <w:r w:rsidR="00E16301" w:rsidRPr="00BC081A">
        <w:t xml:space="preserve">was conducted whereby a </w:t>
      </w:r>
      <w:r w:rsidR="007F0647" w:rsidRPr="00BC081A">
        <w:t xml:space="preserve">correlation matrix </w:t>
      </w:r>
      <w:r w:rsidR="00E16301" w:rsidRPr="00BC081A">
        <w:t xml:space="preserve">was generated </w:t>
      </w:r>
      <w:r w:rsidR="007F0647" w:rsidRPr="00BC081A">
        <w:t>with square root of AVE values of each construct on the diagonal cells.</w:t>
      </w:r>
      <w:r w:rsidR="00A067E5" w:rsidRPr="00BC081A">
        <w:t xml:space="preserve"> </w:t>
      </w:r>
      <w:r w:rsidR="009C0EC9">
        <w:t>It</w:t>
      </w:r>
      <w:r w:rsidR="00007FAC" w:rsidRPr="00BC081A">
        <w:t xml:space="preserve"> can </w:t>
      </w:r>
      <w:r w:rsidR="009C0EC9">
        <w:t xml:space="preserve">be </w:t>
      </w:r>
      <w:r w:rsidR="00007FAC" w:rsidRPr="00BC081A">
        <w:t>see</w:t>
      </w:r>
      <w:r w:rsidR="009C0EC9">
        <w:t>n</w:t>
      </w:r>
      <w:r w:rsidR="00007FAC" w:rsidRPr="00BC081A">
        <w:t xml:space="preserve"> in </w:t>
      </w:r>
      <w:r w:rsidR="00007FAC" w:rsidRPr="00BC081A">
        <w:fldChar w:fldCharType="begin"/>
      </w:r>
      <w:r w:rsidR="00007FAC" w:rsidRPr="00BC081A">
        <w:instrText xml:space="preserve"> REF _Ref267337376 \h </w:instrText>
      </w:r>
      <w:r w:rsidR="00007FAC" w:rsidRPr="00BC081A">
        <w:fldChar w:fldCharType="separate"/>
      </w:r>
      <w:r w:rsidR="008C71FB" w:rsidRPr="00BC081A">
        <w:t xml:space="preserve">Table </w:t>
      </w:r>
      <w:r w:rsidR="008C71FB">
        <w:rPr>
          <w:noProof/>
        </w:rPr>
        <w:t>6</w:t>
      </w:r>
      <w:r w:rsidR="00007FAC" w:rsidRPr="00BC081A">
        <w:fldChar w:fldCharType="end"/>
      </w:r>
      <w:r w:rsidR="00007FAC" w:rsidRPr="00BC081A">
        <w:t xml:space="preserve"> that square root of AVE for all constructs is significantly higher than </w:t>
      </w:r>
      <w:r w:rsidR="00B92E8D" w:rsidRPr="00BC081A">
        <w:t xml:space="preserve">the </w:t>
      </w:r>
      <w:r w:rsidR="00007FAC" w:rsidRPr="00BC081A">
        <w:t>correlation</w:t>
      </w:r>
      <w:r w:rsidR="00B92E8D" w:rsidRPr="00BC081A">
        <w:t>s</w:t>
      </w:r>
      <w:r w:rsidR="00007FAC" w:rsidRPr="00BC081A">
        <w:t xml:space="preserve"> with the other constructs (numbers in their corresponding row and column).</w:t>
      </w:r>
      <w:r w:rsidR="00A15981" w:rsidRPr="00BC081A">
        <w:t xml:space="preserve"> As a result, and since all AVEs are higher than 0.5 </w:t>
      </w:r>
      <w:r w:rsidR="009C0EC9">
        <w:t>it</w:t>
      </w:r>
      <w:r w:rsidR="00A15981" w:rsidRPr="00BC081A">
        <w:t xml:space="preserve"> can </w:t>
      </w:r>
      <w:r w:rsidR="009C0EC9">
        <w:t xml:space="preserve">be </w:t>
      </w:r>
      <w:r w:rsidR="00A15981" w:rsidRPr="00BC081A">
        <w:t>conclude</w:t>
      </w:r>
      <w:r w:rsidR="009C0EC9">
        <w:t>d</w:t>
      </w:r>
      <w:r w:rsidR="00A15981" w:rsidRPr="00BC081A">
        <w:t xml:space="preserve"> that </w:t>
      </w:r>
      <w:r w:rsidR="003D40C4">
        <w:t>the proposed</w:t>
      </w:r>
      <w:r w:rsidR="00A15981" w:rsidRPr="00BC081A">
        <w:t xml:space="preserve"> model’s constructs </w:t>
      </w:r>
      <w:r w:rsidR="00E16301" w:rsidRPr="00BC081A">
        <w:t>demonstrated</w:t>
      </w:r>
      <w:r w:rsidR="00A15981" w:rsidRPr="00BC081A">
        <w:t xml:space="preserve"> discriminant validity </w:t>
      </w:r>
      <w:r w:rsidR="00A15981" w:rsidRPr="00BC081A">
        <w:fldChar w:fldCharType="begin" w:fldLock="1"/>
      </w:r>
      <w:r w:rsidR="00AC1F7D">
        <w:instrText>ADDIN CSL_CITATION { "citationItems" : [ { "id" : "ITEM-1", "itemData" : { "author" : [ { "dropping-particle" : "", "family" : "Chin", "given" : "Wynne W", "non-dropping-particle" : "", "parse-names" : false, "suffix" : "" } ], "container-title" : "Modern methods for business research", "id" : "ITEM-1", "issue" : "2", "issued" : { "date-parts" : [ [ "1998" ] ] }, "page" : "295-336", "publisher" : "Lawrence Erlbaum Associates Mahwah, NJ", "title" : "The partial least squares approach to structural equation modeling", "type" : "article-journal", "volume" : "295" }, "uris" : [ "http://www.mendeley.com/documents/?uuid=5939a99b-2da2-4661-b637-20faaf588cfc" ] } ], "mendeley" : { "previouslyFormattedCitation" : "(Chin, 1998)" }, "properties" : { "noteIndex" : 0 }, "schema" : "https://github.com/citation-style-language/schema/raw/master/csl-citation.json" }</w:instrText>
      </w:r>
      <w:r w:rsidR="00A15981" w:rsidRPr="00BC081A">
        <w:fldChar w:fldCharType="separate"/>
      </w:r>
      <w:r w:rsidR="00A15981" w:rsidRPr="00BC081A">
        <w:rPr>
          <w:noProof/>
        </w:rPr>
        <w:t>(Chin, 1998)</w:t>
      </w:r>
      <w:r w:rsidR="00A15981" w:rsidRPr="00BC081A">
        <w:fldChar w:fldCharType="end"/>
      </w:r>
      <w:r w:rsidR="00A15981" w:rsidRPr="00BC081A">
        <w:t>.</w:t>
      </w:r>
    </w:p>
    <w:p w14:paraId="0A94EF68" w14:textId="601A89CA" w:rsidR="004C5068" w:rsidRPr="00BC081A" w:rsidRDefault="004C5068" w:rsidP="00C92D78">
      <w:pPr>
        <w:pStyle w:val="Caption"/>
      </w:pPr>
      <w:bookmarkStart w:id="79" w:name="_Ref267337376"/>
      <w:bookmarkStart w:id="80" w:name="_Toc275209764"/>
      <w:r w:rsidRPr="00BC081A">
        <w:t xml:space="preserve">Table </w:t>
      </w:r>
      <w:r w:rsidR="007804FF">
        <w:fldChar w:fldCharType="begin"/>
      </w:r>
      <w:r w:rsidR="007804FF">
        <w:instrText xml:space="preserve"> SEQ Table \* ARABIC </w:instrText>
      </w:r>
      <w:r w:rsidR="007804FF">
        <w:fldChar w:fldCharType="separate"/>
      </w:r>
      <w:r w:rsidR="008C71FB">
        <w:rPr>
          <w:noProof/>
        </w:rPr>
        <w:t>6</w:t>
      </w:r>
      <w:r w:rsidR="007804FF">
        <w:rPr>
          <w:noProof/>
        </w:rPr>
        <w:fldChar w:fldCharType="end"/>
      </w:r>
      <w:bookmarkEnd w:id="79"/>
      <w:r w:rsidRPr="00BC081A">
        <w:t xml:space="preserve"> – Discriminant Validity Assessment Table using Construct Correlation Matrix and Square Root of AVE</w:t>
      </w:r>
      <w:bookmarkEnd w:id="80"/>
    </w:p>
    <w:tbl>
      <w:tblPr>
        <w:tblW w:w="91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819"/>
        <w:gridCol w:w="974"/>
        <w:gridCol w:w="775"/>
        <w:gridCol w:w="953"/>
        <w:gridCol w:w="890"/>
        <w:gridCol w:w="764"/>
        <w:gridCol w:w="764"/>
        <w:gridCol w:w="761"/>
        <w:gridCol w:w="761"/>
        <w:gridCol w:w="761"/>
      </w:tblGrid>
      <w:tr w:rsidR="00114F96" w:rsidRPr="00BC081A" w14:paraId="508D47D3" w14:textId="77777777" w:rsidTr="008C71FB">
        <w:trPr>
          <w:trHeight w:val="300"/>
          <w:jc w:val="center"/>
        </w:trPr>
        <w:tc>
          <w:tcPr>
            <w:tcW w:w="934" w:type="dxa"/>
            <w:shd w:val="clear" w:color="auto" w:fill="F2F2F2" w:themeFill="background1" w:themeFillShade="F2"/>
            <w:vAlign w:val="center"/>
            <w:hideMark/>
          </w:tcPr>
          <w:p w14:paraId="13854DC4"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 </w:t>
            </w:r>
          </w:p>
        </w:tc>
        <w:tc>
          <w:tcPr>
            <w:tcW w:w="969" w:type="dxa"/>
            <w:shd w:val="clear" w:color="000000" w:fill="F2F2F2" w:themeFill="background1" w:themeFillShade="F2"/>
          </w:tcPr>
          <w:p w14:paraId="0F252B2D" w14:textId="78C48FF8"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Mode</w:t>
            </w:r>
          </w:p>
        </w:tc>
        <w:tc>
          <w:tcPr>
            <w:tcW w:w="848" w:type="dxa"/>
            <w:shd w:val="clear" w:color="000000" w:fill="F2F2F2" w:themeFill="background1" w:themeFillShade="F2"/>
            <w:vAlign w:val="center"/>
            <w:hideMark/>
          </w:tcPr>
          <w:p w14:paraId="7C0519C3" w14:textId="395D1A3C" w:rsidR="00114F96" w:rsidRPr="00BC081A" w:rsidRDefault="005624B9" w:rsidP="004C5068">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t>DCompt</w:t>
            </w:r>
            <w:proofErr w:type="spellEnd"/>
          </w:p>
        </w:tc>
        <w:tc>
          <w:tcPr>
            <w:tcW w:w="810" w:type="dxa"/>
            <w:shd w:val="clear" w:color="000000" w:fill="F2F2F2" w:themeFill="background1" w:themeFillShade="F2"/>
            <w:vAlign w:val="center"/>
            <w:hideMark/>
          </w:tcPr>
          <w:p w14:paraId="6ABA4B91"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w:t>
            </w:r>
          </w:p>
        </w:tc>
        <w:tc>
          <w:tcPr>
            <w:tcW w:w="934" w:type="dxa"/>
            <w:shd w:val="clear" w:color="000000" w:fill="F2F2F2" w:themeFill="background1" w:themeFillShade="F2"/>
            <w:vAlign w:val="center"/>
            <w:hideMark/>
          </w:tcPr>
          <w:p w14:paraId="07F1F217" w14:textId="1F0C034A" w:rsidR="00114F96" w:rsidRPr="00BC081A" w:rsidRDefault="005624B9" w:rsidP="0010252E">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t>SCompt</w:t>
            </w:r>
            <w:proofErr w:type="spellEnd"/>
          </w:p>
        </w:tc>
        <w:tc>
          <w:tcPr>
            <w:tcW w:w="890" w:type="dxa"/>
            <w:shd w:val="clear" w:color="000000" w:fill="F2F2F2" w:themeFill="background1" w:themeFillShade="F2"/>
            <w:vAlign w:val="center"/>
            <w:hideMark/>
          </w:tcPr>
          <w:p w14:paraId="67E10BDC"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CH</w:t>
            </w:r>
          </w:p>
        </w:tc>
        <w:tc>
          <w:tcPr>
            <w:tcW w:w="764" w:type="dxa"/>
            <w:shd w:val="clear" w:color="000000" w:fill="F2F2F2" w:themeFill="background1" w:themeFillShade="F2"/>
            <w:vAlign w:val="center"/>
            <w:hideMark/>
          </w:tcPr>
          <w:p w14:paraId="3F90D6E8"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w:t>
            </w:r>
          </w:p>
        </w:tc>
        <w:tc>
          <w:tcPr>
            <w:tcW w:w="764" w:type="dxa"/>
            <w:shd w:val="clear" w:color="000000" w:fill="F2F2F2" w:themeFill="background1" w:themeFillShade="F2"/>
            <w:vAlign w:val="center"/>
            <w:hideMark/>
          </w:tcPr>
          <w:p w14:paraId="0BB35804"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FI</w:t>
            </w:r>
          </w:p>
        </w:tc>
        <w:tc>
          <w:tcPr>
            <w:tcW w:w="761" w:type="dxa"/>
            <w:shd w:val="clear" w:color="000000" w:fill="F2F2F2" w:themeFill="background1" w:themeFillShade="F2"/>
            <w:vAlign w:val="center"/>
            <w:hideMark/>
          </w:tcPr>
          <w:p w14:paraId="7A445808"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w:t>
            </w:r>
          </w:p>
        </w:tc>
        <w:tc>
          <w:tcPr>
            <w:tcW w:w="761" w:type="dxa"/>
            <w:shd w:val="clear" w:color="000000" w:fill="F2F2F2" w:themeFill="background1" w:themeFillShade="F2"/>
            <w:vAlign w:val="center"/>
            <w:hideMark/>
          </w:tcPr>
          <w:p w14:paraId="2AF22F28"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TD</w:t>
            </w:r>
          </w:p>
        </w:tc>
        <w:tc>
          <w:tcPr>
            <w:tcW w:w="761" w:type="dxa"/>
            <w:shd w:val="clear" w:color="000000" w:fill="F2F2F2" w:themeFill="background1" w:themeFillShade="F2"/>
            <w:vAlign w:val="center"/>
            <w:hideMark/>
          </w:tcPr>
          <w:p w14:paraId="2807DBF0" w14:textId="77777777"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SA</w:t>
            </w:r>
          </w:p>
        </w:tc>
      </w:tr>
      <w:tr w:rsidR="00114F96" w:rsidRPr="00BC081A" w14:paraId="4DF6310D" w14:textId="77777777" w:rsidTr="008C71FB">
        <w:trPr>
          <w:trHeight w:val="300"/>
          <w:jc w:val="center"/>
        </w:trPr>
        <w:tc>
          <w:tcPr>
            <w:tcW w:w="934" w:type="dxa"/>
            <w:shd w:val="clear" w:color="auto" w:fill="F2F2F2" w:themeFill="background1" w:themeFillShade="F2"/>
            <w:vAlign w:val="center"/>
          </w:tcPr>
          <w:p w14:paraId="5A3FEC0E" w14:textId="27D40B8A" w:rsidR="00114F96" w:rsidRPr="00BC081A" w:rsidRDefault="00114F96"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Mode</w:t>
            </w:r>
          </w:p>
        </w:tc>
        <w:tc>
          <w:tcPr>
            <w:tcW w:w="969" w:type="dxa"/>
          </w:tcPr>
          <w:p w14:paraId="614FAC87" w14:textId="5FE91FCA" w:rsidR="00114F96" w:rsidRPr="00BC081A" w:rsidRDefault="00C15847" w:rsidP="004C5068">
            <w:pPr>
              <w:spacing w:line="240" w:lineRule="auto"/>
              <w:ind w:firstLine="0"/>
              <w:jc w:val="center"/>
              <w:rPr>
                <w:rFonts w:ascii="Verdana" w:eastAsia="Times New Roman" w:hAnsi="Verdana" w:cs="Times New Roman"/>
                <w:b/>
                <w:color w:val="000000"/>
                <w:sz w:val="17"/>
                <w:szCs w:val="17"/>
              </w:rPr>
            </w:pPr>
            <w:r w:rsidRPr="00BC081A">
              <w:rPr>
                <w:rFonts w:ascii="Verdana" w:eastAsia="Times New Roman" w:hAnsi="Verdana" w:cs="Times New Roman"/>
                <w:b/>
                <w:color w:val="000000"/>
                <w:sz w:val="17"/>
                <w:szCs w:val="17"/>
              </w:rPr>
              <w:t>1.000</w:t>
            </w:r>
          </w:p>
        </w:tc>
        <w:tc>
          <w:tcPr>
            <w:tcW w:w="848" w:type="dxa"/>
            <w:shd w:val="clear" w:color="auto" w:fill="auto"/>
            <w:vAlign w:val="center"/>
          </w:tcPr>
          <w:p w14:paraId="489A8FE8" w14:textId="77777777" w:rsidR="00114F96" w:rsidRPr="00BC081A" w:rsidRDefault="00114F96" w:rsidP="004C5068">
            <w:pPr>
              <w:spacing w:line="240" w:lineRule="auto"/>
              <w:ind w:firstLine="0"/>
              <w:jc w:val="center"/>
              <w:rPr>
                <w:rFonts w:ascii="Verdana" w:eastAsia="Times New Roman" w:hAnsi="Verdana" w:cs="Times New Roman"/>
                <w:b/>
                <w:color w:val="000000"/>
                <w:sz w:val="17"/>
                <w:szCs w:val="17"/>
              </w:rPr>
            </w:pPr>
          </w:p>
        </w:tc>
        <w:tc>
          <w:tcPr>
            <w:tcW w:w="810" w:type="dxa"/>
            <w:shd w:val="clear" w:color="auto" w:fill="auto"/>
            <w:vAlign w:val="center"/>
          </w:tcPr>
          <w:p w14:paraId="6C8FA174" w14:textId="77777777" w:rsidR="00114F96" w:rsidRPr="00BC081A" w:rsidRDefault="00114F96" w:rsidP="004C5068">
            <w:pPr>
              <w:spacing w:line="240" w:lineRule="auto"/>
              <w:ind w:firstLine="0"/>
              <w:jc w:val="center"/>
              <w:rPr>
                <w:rFonts w:ascii="Verdana" w:eastAsia="Times New Roman" w:hAnsi="Verdana" w:cs="Times New Roman"/>
                <w:color w:val="000000"/>
                <w:sz w:val="17"/>
                <w:szCs w:val="17"/>
              </w:rPr>
            </w:pPr>
          </w:p>
        </w:tc>
        <w:tc>
          <w:tcPr>
            <w:tcW w:w="934" w:type="dxa"/>
            <w:shd w:val="clear" w:color="auto" w:fill="auto"/>
            <w:noWrap/>
            <w:vAlign w:val="bottom"/>
          </w:tcPr>
          <w:p w14:paraId="5D31C7BD" w14:textId="77777777" w:rsidR="00114F96" w:rsidRPr="00BC081A" w:rsidRDefault="00114F96" w:rsidP="004C5068">
            <w:pPr>
              <w:spacing w:line="240" w:lineRule="auto"/>
              <w:ind w:firstLine="0"/>
              <w:rPr>
                <w:rFonts w:ascii="Calibri" w:eastAsia="Times New Roman" w:hAnsi="Calibri" w:cs="Times New Roman"/>
                <w:color w:val="000000"/>
              </w:rPr>
            </w:pPr>
          </w:p>
        </w:tc>
        <w:tc>
          <w:tcPr>
            <w:tcW w:w="890" w:type="dxa"/>
            <w:shd w:val="clear" w:color="auto" w:fill="auto"/>
            <w:noWrap/>
            <w:vAlign w:val="bottom"/>
          </w:tcPr>
          <w:p w14:paraId="59C88D61" w14:textId="77777777" w:rsidR="00114F96" w:rsidRPr="00BC081A" w:rsidRDefault="00114F96" w:rsidP="004C5068">
            <w:pPr>
              <w:spacing w:line="240" w:lineRule="auto"/>
              <w:ind w:firstLine="0"/>
              <w:rPr>
                <w:rFonts w:ascii="Calibri" w:eastAsia="Times New Roman" w:hAnsi="Calibri" w:cs="Times New Roman"/>
                <w:color w:val="000000"/>
              </w:rPr>
            </w:pPr>
          </w:p>
        </w:tc>
        <w:tc>
          <w:tcPr>
            <w:tcW w:w="764" w:type="dxa"/>
            <w:shd w:val="clear" w:color="auto" w:fill="auto"/>
            <w:noWrap/>
            <w:vAlign w:val="bottom"/>
          </w:tcPr>
          <w:p w14:paraId="7DE49568" w14:textId="77777777" w:rsidR="00114F96" w:rsidRPr="00BC081A" w:rsidRDefault="00114F96" w:rsidP="004C5068">
            <w:pPr>
              <w:spacing w:line="240" w:lineRule="auto"/>
              <w:ind w:firstLine="0"/>
              <w:rPr>
                <w:rFonts w:ascii="Calibri" w:eastAsia="Times New Roman" w:hAnsi="Calibri" w:cs="Times New Roman"/>
                <w:color w:val="000000"/>
              </w:rPr>
            </w:pPr>
          </w:p>
        </w:tc>
        <w:tc>
          <w:tcPr>
            <w:tcW w:w="764" w:type="dxa"/>
            <w:shd w:val="clear" w:color="auto" w:fill="auto"/>
            <w:noWrap/>
            <w:vAlign w:val="bottom"/>
          </w:tcPr>
          <w:p w14:paraId="4544A873" w14:textId="77777777" w:rsidR="00114F96" w:rsidRPr="00BC081A" w:rsidRDefault="00114F96" w:rsidP="004C5068">
            <w:pPr>
              <w:spacing w:line="240" w:lineRule="auto"/>
              <w:ind w:firstLine="0"/>
              <w:rPr>
                <w:rFonts w:ascii="Calibri" w:eastAsia="Times New Roman" w:hAnsi="Calibri" w:cs="Times New Roman"/>
                <w:color w:val="000000"/>
              </w:rPr>
            </w:pPr>
          </w:p>
        </w:tc>
        <w:tc>
          <w:tcPr>
            <w:tcW w:w="761" w:type="dxa"/>
            <w:shd w:val="clear" w:color="auto" w:fill="auto"/>
            <w:noWrap/>
            <w:vAlign w:val="bottom"/>
          </w:tcPr>
          <w:p w14:paraId="75FF0C61" w14:textId="77777777" w:rsidR="00114F96" w:rsidRPr="00BC081A" w:rsidRDefault="00114F96" w:rsidP="004C5068">
            <w:pPr>
              <w:spacing w:line="240" w:lineRule="auto"/>
              <w:ind w:firstLine="0"/>
              <w:rPr>
                <w:rFonts w:ascii="Calibri" w:eastAsia="Times New Roman" w:hAnsi="Calibri" w:cs="Times New Roman"/>
                <w:color w:val="000000"/>
              </w:rPr>
            </w:pPr>
          </w:p>
        </w:tc>
        <w:tc>
          <w:tcPr>
            <w:tcW w:w="761" w:type="dxa"/>
            <w:shd w:val="clear" w:color="auto" w:fill="auto"/>
            <w:vAlign w:val="center"/>
          </w:tcPr>
          <w:p w14:paraId="548AE5D0" w14:textId="77777777" w:rsidR="00114F96" w:rsidRPr="00BC081A" w:rsidRDefault="00114F96" w:rsidP="004C5068">
            <w:pPr>
              <w:spacing w:line="240" w:lineRule="auto"/>
              <w:ind w:firstLine="0"/>
              <w:jc w:val="center"/>
              <w:rPr>
                <w:rFonts w:ascii="Verdana" w:eastAsia="Times New Roman" w:hAnsi="Verdana" w:cs="Times New Roman"/>
                <w:color w:val="000000"/>
                <w:sz w:val="17"/>
                <w:szCs w:val="17"/>
              </w:rPr>
            </w:pPr>
          </w:p>
        </w:tc>
        <w:tc>
          <w:tcPr>
            <w:tcW w:w="761" w:type="dxa"/>
            <w:shd w:val="clear" w:color="auto" w:fill="auto"/>
            <w:vAlign w:val="center"/>
          </w:tcPr>
          <w:p w14:paraId="6F9F5113" w14:textId="77777777" w:rsidR="00114F96" w:rsidRPr="00BC081A" w:rsidRDefault="00114F96" w:rsidP="004C5068">
            <w:pPr>
              <w:spacing w:line="240" w:lineRule="auto"/>
              <w:ind w:firstLine="0"/>
              <w:jc w:val="center"/>
              <w:rPr>
                <w:rFonts w:ascii="Verdana" w:eastAsia="Times New Roman" w:hAnsi="Verdana" w:cs="Times New Roman"/>
                <w:color w:val="000000"/>
                <w:sz w:val="17"/>
                <w:szCs w:val="17"/>
              </w:rPr>
            </w:pPr>
          </w:p>
        </w:tc>
      </w:tr>
      <w:tr w:rsidR="00237C5F" w:rsidRPr="00BC081A" w14:paraId="25F2A36A" w14:textId="77777777" w:rsidTr="008C71FB">
        <w:trPr>
          <w:trHeight w:val="300"/>
          <w:jc w:val="center"/>
        </w:trPr>
        <w:tc>
          <w:tcPr>
            <w:tcW w:w="934" w:type="dxa"/>
            <w:shd w:val="clear" w:color="auto" w:fill="F2F2F2" w:themeFill="background1" w:themeFillShade="F2"/>
            <w:vAlign w:val="center"/>
            <w:hideMark/>
          </w:tcPr>
          <w:p w14:paraId="570947FC" w14:textId="5A89580F" w:rsidR="00237C5F" w:rsidRPr="00BC081A" w:rsidRDefault="005624B9" w:rsidP="0010252E">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t>DCompt</w:t>
            </w:r>
            <w:proofErr w:type="spellEnd"/>
          </w:p>
        </w:tc>
        <w:tc>
          <w:tcPr>
            <w:tcW w:w="969" w:type="dxa"/>
            <w:vAlign w:val="center"/>
          </w:tcPr>
          <w:p w14:paraId="3FB0AC26" w14:textId="2F898B28" w:rsidR="00237C5F" w:rsidRPr="00BC081A" w:rsidRDefault="00237C5F" w:rsidP="00237C5F">
            <w:pPr>
              <w:pStyle w:val="TableContext"/>
              <w:rPr>
                <w:rFonts w:ascii="Verdana" w:hAnsi="Verdana"/>
                <w:b/>
                <w:sz w:val="17"/>
                <w:szCs w:val="17"/>
                <w:lang w:val="en-CA"/>
              </w:rPr>
            </w:pPr>
            <w:r w:rsidRPr="00BC081A">
              <w:rPr>
                <w:lang w:val="en-CA"/>
              </w:rPr>
              <w:t>0.016</w:t>
            </w:r>
          </w:p>
        </w:tc>
        <w:tc>
          <w:tcPr>
            <w:tcW w:w="848" w:type="dxa"/>
            <w:shd w:val="clear" w:color="auto" w:fill="auto"/>
            <w:vAlign w:val="center"/>
            <w:hideMark/>
          </w:tcPr>
          <w:p w14:paraId="1A1B82B0" w14:textId="1FF61C84"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0.736</w:t>
            </w:r>
          </w:p>
        </w:tc>
        <w:tc>
          <w:tcPr>
            <w:tcW w:w="810" w:type="dxa"/>
            <w:shd w:val="clear" w:color="auto" w:fill="auto"/>
            <w:vAlign w:val="center"/>
            <w:hideMark/>
          </w:tcPr>
          <w:p w14:paraId="2C71623F"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934" w:type="dxa"/>
            <w:shd w:val="clear" w:color="auto" w:fill="auto"/>
            <w:noWrap/>
            <w:vAlign w:val="bottom"/>
            <w:hideMark/>
          </w:tcPr>
          <w:p w14:paraId="14D2C93B" w14:textId="77777777" w:rsidR="00237C5F" w:rsidRPr="00BC081A" w:rsidRDefault="00237C5F" w:rsidP="00237C5F">
            <w:pPr>
              <w:pStyle w:val="TableContext"/>
              <w:rPr>
                <w:lang w:val="en-CA"/>
              </w:rPr>
            </w:pPr>
            <w:r w:rsidRPr="00BC081A">
              <w:rPr>
                <w:lang w:val="en-CA"/>
              </w:rPr>
              <w:t> </w:t>
            </w:r>
          </w:p>
        </w:tc>
        <w:tc>
          <w:tcPr>
            <w:tcW w:w="890" w:type="dxa"/>
            <w:shd w:val="clear" w:color="auto" w:fill="auto"/>
            <w:noWrap/>
            <w:vAlign w:val="bottom"/>
            <w:hideMark/>
          </w:tcPr>
          <w:p w14:paraId="757E94B4" w14:textId="77777777" w:rsidR="00237C5F" w:rsidRPr="00BC081A" w:rsidRDefault="00237C5F" w:rsidP="00237C5F">
            <w:pPr>
              <w:pStyle w:val="TableContext"/>
              <w:rPr>
                <w:lang w:val="en-CA"/>
              </w:rPr>
            </w:pPr>
            <w:r w:rsidRPr="00BC081A">
              <w:rPr>
                <w:lang w:val="en-CA"/>
              </w:rPr>
              <w:t> </w:t>
            </w:r>
          </w:p>
        </w:tc>
        <w:tc>
          <w:tcPr>
            <w:tcW w:w="764" w:type="dxa"/>
            <w:shd w:val="clear" w:color="auto" w:fill="auto"/>
            <w:noWrap/>
            <w:vAlign w:val="bottom"/>
            <w:hideMark/>
          </w:tcPr>
          <w:p w14:paraId="141BA70B" w14:textId="77777777" w:rsidR="00237C5F" w:rsidRPr="00BC081A" w:rsidRDefault="00237C5F" w:rsidP="00237C5F">
            <w:pPr>
              <w:pStyle w:val="TableContext"/>
              <w:rPr>
                <w:lang w:val="en-CA"/>
              </w:rPr>
            </w:pPr>
            <w:r w:rsidRPr="00BC081A">
              <w:rPr>
                <w:lang w:val="en-CA"/>
              </w:rPr>
              <w:t> </w:t>
            </w:r>
          </w:p>
        </w:tc>
        <w:tc>
          <w:tcPr>
            <w:tcW w:w="764" w:type="dxa"/>
            <w:shd w:val="clear" w:color="auto" w:fill="auto"/>
            <w:noWrap/>
            <w:vAlign w:val="bottom"/>
            <w:hideMark/>
          </w:tcPr>
          <w:p w14:paraId="5E38DFDE" w14:textId="77777777" w:rsidR="00237C5F" w:rsidRPr="00BC081A" w:rsidRDefault="00237C5F" w:rsidP="00237C5F">
            <w:pPr>
              <w:pStyle w:val="TableContext"/>
              <w:rPr>
                <w:lang w:val="en-CA"/>
              </w:rPr>
            </w:pPr>
            <w:r w:rsidRPr="00BC081A">
              <w:rPr>
                <w:lang w:val="en-CA"/>
              </w:rPr>
              <w:t> </w:t>
            </w:r>
          </w:p>
        </w:tc>
        <w:tc>
          <w:tcPr>
            <w:tcW w:w="761" w:type="dxa"/>
            <w:shd w:val="clear" w:color="auto" w:fill="auto"/>
            <w:noWrap/>
            <w:vAlign w:val="bottom"/>
            <w:hideMark/>
          </w:tcPr>
          <w:p w14:paraId="46F13651" w14:textId="77777777" w:rsidR="00237C5F" w:rsidRPr="00BC081A" w:rsidRDefault="00237C5F" w:rsidP="00237C5F">
            <w:pPr>
              <w:pStyle w:val="TableContext"/>
              <w:rPr>
                <w:lang w:val="en-CA"/>
              </w:rPr>
            </w:pPr>
            <w:r w:rsidRPr="00BC081A">
              <w:rPr>
                <w:lang w:val="en-CA"/>
              </w:rPr>
              <w:t> </w:t>
            </w:r>
          </w:p>
        </w:tc>
        <w:tc>
          <w:tcPr>
            <w:tcW w:w="761" w:type="dxa"/>
            <w:shd w:val="clear" w:color="auto" w:fill="auto"/>
            <w:vAlign w:val="center"/>
            <w:hideMark/>
          </w:tcPr>
          <w:p w14:paraId="2EBDA621"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3C9B1EA0"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r>
      <w:tr w:rsidR="00237C5F" w:rsidRPr="00BC081A" w14:paraId="707BCC78" w14:textId="77777777" w:rsidTr="008C71FB">
        <w:trPr>
          <w:trHeight w:val="300"/>
          <w:jc w:val="center"/>
        </w:trPr>
        <w:tc>
          <w:tcPr>
            <w:tcW w:w="934" w:type="dxa"/>
            <w:shd w:val="clear" w:color="auto" w:fill="F2F2F2" w:themeFill="background1" w:themeFillShade="F2"/>
            <w:vAlign w:val="center"/>
            <w:hideMark/>
          </w:tcPr>
          <w:p w14:paraId="6873D154"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SP</w:t>
            </w:r>
          </w:p>
        </w:tc>
        <w:tc>
          <w:tcPr>
            <w:tcW w:w="969" w:type="dxa"/>
            <w:vAlign w:val="center"/>
          </w:tcPr>
          <w:p w14:paraId="778A475A" w14:textId="4AAC5892" w:rsidR="00237C5F" w:rsidRPr="00BC081A" w:rsidRDefault="00237C5F" w:rsidP="00237C5F">
            <w:pPr>
              <w:pStyle w:val="TableContext"/>
              <w:rPr>
                <w:rFonts w:ascii="Verdana" w:hAnsi="Verdana"/>
                <w:sz w:val="17"/>
                <w:szCs w:val="17"/>
                <w:lang w:val="en-CA"/>
              </w:rPr>
            </w:pPr>
            <w:r w:rsidRPr="00BC081A">
              <w:rPr>
                <w:lang w:val="en-CA"/>
              </w:rPr>
              <w:t>0.365</w:t>
            </w:r>
          </w:p>
        </w:tc>
        <w:tc>
          <w:tcPr>
            <w:tcW w:w="848" w:type="dxa"/>
            <w:shd w:val="clear" w:color="auto" w:fill="auto"/>
            <w:vAlign w:val="center"/>
            <w:hideMark/>
          </w:tcPr>
          <w:p w14:paraId="3E3269B8" w14:textId="7689C647" w:rsidR="00237C5F" w:rsidRPr="00BC081A" w:rsidRDefault="00237C5F" w:rsidP="00237C5F">
            <w:pPr>
              <w:pStyle w:val="TableContext"/>
              <w:rPr>
                <w:rFonts w:ascii="Verdana" w:hAnsi="Verdana"/>
                <w:sz w:val="17"/>
                <w:szCs w:val="17"/>
                <w:lang w:val="en-CA"/>
              </w:rPr>
            </w:pPr>
            <w:r w:rsidRPr="00BC081A">
              <w:rPr>
                <w:lang w:val="en-CA"/>
              </w:rPr>
              <w:t>0.072</w:t>
            </w:r>
          </w:p>
        </w:tc>
        <w:tc>
          <w:tcPr>
            <w:tcW w:w="810" w:type="dxa"/>
            <w:shd w:val="clear" w:color="auto" w:fill="auto"/>
            <w:vAlign w:val="center"/>
            <w:hideMark/>
          </w:tcPr>
          <w:p w14:paraId="2F0E8865" w14:textId="2C778E6B"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0.785</w:t>
            </w:r>
          </w:p>
        </w:tc>
        <w:tc>
          <w:tcPr>
            <w:tcW w:w="934" w:type="dxa"/>
            <w:shd w:val="clear" w:color="auto" w:fill="auto"/>
            <w:noWrap/>
            <w:vAlign w:val="bottom"/>
            <w:hideMark/>
          </w:tcPr>
          <w:p w14:paraId="5B934848" w14:textId="77777777" w:rsidR="00237C5F" w:rsidRPr="00BC081A" w:rsidRDefault="00237C5F" w:rsidP="00237C5F">
            <w:pPr>
              <w:pStyle w:val="TableContext"/>
              <w:rPr>
                <w:lang w:val="en-CA"/>
              </w:rPr>
            </w:pPr>
            <w:r w:rsidRPr="00BC081A">
              <w:rPr>
                <w:lang w:val="en-CA"/>
              </w:rPr>
              <w:t> </w:t>
            </w:r>
          </w:p>
        </w:tc>
        <w:tc>
          <w:tcPr>
            <w:tcW w:w="890" w:type="dxa"/>
            <w:shd w:val="clear" w:color="auto" w:fill="auto"/>
            <w:noWrap/>
            <w:vAlign w:val="bottom"/>
            <w:hideMark/>
          </w:tcPr>
          <w:p w14:paraId="3C48D7D6" w14:textId="77777777" w:rsidR="00237C5F" w:rsidRPr="00BC081A" w:rsidRDefault="00237C5F" w:rsidP="00237C5F">
            <w:pPr>
              <w:pStyle w:val="TableContext"/>
              <w:rPr>
                <w:lang w:val="en-CA"/>
              </w:rPr>
            </w:pPr>
            <w:r w:rsidRPr="00BC081A">
              <w:rPr>
                <w:lang w:val="en-CA"/>
              </w:rPr>
              <w:t> </w:t>
            </w:r>
          </w:p>
        </w:tc>
        <w:tc>
          <w:tcPr>
            <w:tcW w:w="764" w:type="dxa"/>
            <w:shd w:val="clear" w:color="auto" w:fill="auto"/>
            <w:noWrap/>
            <w:vAlign w:val="bottom"/>
            <w:hideMark/>
          </w:tcPr>
          <w:p w14:paraId="518CF2E0" w14:textId="77777777" w:rsidR="00237C5F" w:rsidRPr="00BC081A" w:rsidRDefault="00237C5F" w:rsidP="00237C5F">
            <w:pPr>
              <w:pStyle w:val="TableContext"/>
              <w:rPr>
                <w:lang w:val="en-CA"/>
              </w:rPr>
            </w:pPr>
            <w:r w:rsidRPr="00BC081A">
              <w:rPr>
                <w:lang w:val="en-CA"/>
              </w:rPr>
              <w:t> </w:t>
            </w:r>
          </w:p>
        </w:tc>
        <w:tc>
          <w:tcPr>
            <w:tcW w:w="764" w:type="dxa"/>
            <w:shd w:val="clear" w:color="auto" w:fill="auto"/>
            <w:noWrap/>
            <w:vAlign w:val="bottom"/>
            <w:hideMark/>
          </w:tcPr>
          <w:p w14:paraId="033EEF9F" w14:textId="77777777" w:rsidR="00237C5F" w:rsidRPr="00BC081A" w:rsidRDefault="00237C5F" w:rsidP="00237C5F">
            <w:pPr>
              <w:pStyle w:val="TableContext"/>
              <w:rPr>
                <w:lang w:val="en-CA"/>
              </w:rPr>
            </w:pPr>
            <w:r w:rsidRPr="00BC081A">
              <w:rPr>
                <w:lang w:val="en-CA"/>
              </w:rPr>
              <w:t> </w:t>
            </w:r>
          </w:p>
        </w:tc>
        <w:tc>
          <w:tcPr>
            <w:tcW w:w="761" w:type="dxa"/>
            <w:shd w:val="clear" w:color="auto" w:fill="auto"/>
            <w:noWrap/>
            <w:vAlign w:val="bottom"/>
            <w:hideMark/>
          </w:tcPr>
          <w:p w14:paraId="207B5F2F" w14:textId="77777777" w:rsidR="00237C5F" w:rsidRPr="00BC081A" w:rsidRDefault="00237C5F" w:rsidP="00237C5F">
            <w:pPr>
              <w:pStyle w:val="TableContext"/>
              <w:rPr>
                <w:lang w:val="en-CA"/>
              </w:rPr>
            </w:pPr>
            <w:r w:rsidRPr="00BC081A">
              <w:rPr>
                <w:lang w:val="en-CA"/>
              </w:rPr>
              <w:t> </w:t>
            </w:r>
          </w:p>
        </w:tc>
        <w:tc>
          <w:tcPr>
            <w:tcW w:w="761" w:type="dxa"/>
            <w:shd w:val="clear" w:color="auto" w:fill="auto"/>
            <w:vAlign w:val="center"/>
            <w:hideMark/>
          </w:tcPr>
          <w:p w14:paraId="37FF5F4D"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noWrap/>
            <w:vAlign w:val="bottom"/>
            <w:hideMark/>
          </w:tcPr>
          <w:p w14:paraId="5AF7D38E" w14:textId="77777777" w:rsidR="00237C5F" w:rsidRPr="00BC081A" w:rsidRDefault="00237C5F" w:rsidP="00237C5F">
            <w:pPr>
              <w:pStyle w:val="TableContext"/>
              <w:rPr>
                <w:lang w:val="en-CA"/>
              </w:rPr>
            </w:pPr>
            <w:r w:rsidRPr="00BC081A">
              <w:rPr>
                <w:lang w:val="en-CA"/>
              </w:rPr>
              <w:t> </w:t>
            </w:r>
          </w:p>
        </w:tc>
      </w:tr>
      <w:tr w:rsidR="00237C5F" w:rsidRPr="00BC081A" w14:paraId="5311D2A0" w14:textId="77777777" w:rsidTr="008C71FB">
        <w:trPr>
          <w:trHeight w:val="300"/>
          <w:jc w:val="center"/>
        </w:trPr>
        <w:tc>
          <w:tcPr>
            <w:tcW w:w="934" w:type="dxa"/>
            <w:shd w:val="clear" w:color="auto" w:fill="F2F2F2" w:themeFill="background1" w:themeFillShade="F2"/>
            <w:vAlign w:val="center"/>
            <w:hideMark/>
          </w:tcPr>
          <w:p w14:paraId="58600849" w14:textId="76EA51E2" w:rsidR="00237C5F" w:rsidRPr="00BC081A" w:rsidRDefault="005624B9" w:rsidP="004C5068">
            <w:pPr>
              <w:spacing w:line="240" w:lineRule="auto"/>
              <w:ind w:firstLine="0"/>
              <w:jc w:val="center"/>
              <w:rPr>
                <w:rFonts w:ascii="Verdana" w:eastAsia="Times New Roman" w:hAnsi="Verdana" w:cs="Times New Roman"/>
                <w:b/>
                <w:bCs/>
                <w:color w:val="000000"/>
                <w:sz w:val="17"/>
                <w:szCs w:val="17"/>
              </w:rPr>
            </w:pPr>
            <w:proofErr w:type="spellStart"/>
            <w:r w:rsidRPr="00BC081A">
              <w:rPr>
                <w:rFonts w:ascii="Verdana" w:eastAsia="Times New Roman" w:hAnsi="Verdana" w:cs="Times New Roman"/>
                <w:b/>
                <w:bCs/>
                <w:color w:val="000000"/>
                <w:sz w:val="17"/>
                <w:szCs w:val="17"/>
              </w:rPr>
              <w:lastRenderedPageBreak/>
              <w:t>SCompt</w:t>
            </w:r>
            <w:proofErr w:type="spellEnd"/>
          </w:p>
        </w:tc>
        <w:tc>
          <w:tcPr>
            <w:tcW w:w="969" w:type="dxa"/>
            <w:vAlign w:val="center"/>
          </w:tcPr>
          <w:p w14:paraId="493F41D3" w14:textId="50CEA71D" w:rsidR="00237C5F" w:rsidRPr="00BC081A" w:rsidRDefault="00237C5F" w:rsidP="00237C5F">
            <w:pPr>
              <w:pStyle w:val="TableContext"/>
              <w:rPr>
                <w:rFonts w:ascii="Verdana" w:hAnsi="Verdana"/>
                <w:sz w:val="17"/>
                <w:szCs w:val="17"/>
                <w:lang w:val="en-CA"/>
              </w:rPr>
            </w:pPr>
            <w:r w:rsidRPr="00BC081A">
              <w:rPr>
                <w:lang w:val="en-CA"/>
              </w:rPr>
              <w:t>0.531</w:t>
            </w:r>
          </w:p>
        </w:tc>
        <w:tc>
          <w:tcPr>
            <w:tcW w:w="848" w:type="dxa"/>
            <w:shd w:val="clear" w:color="auto" w:fill="auto"/>
            <w:vAlign w:val="center"/>
            <w:hideMark/>
          </w:tcPr>
          <w:p w14:paraId="772AB98C" w14:textId="761C8EFD" w:rsidR="00237C5F" w:rsidRPr="00BC081A" w:rsidRDefault="00237C5F" w:rsidP="00237C5F">
            <w:pPr>
              <w:pStyle w:val="TableContext"/>
              <w:rPr>
                <w:rFonts w:ascii="Verdana" w:hAnsi="Verdana"/>
                <w:sz w:val="17"/>
                <w:szCs w:val="17"/>
                <w:lang w:val="en-CA"/>
              </w:rPr>
            </w:pPr>
            <w:r w:rsidRPr="00BC081A">
              <w:rPr>
                <w:lang w:val="en-CA"/>
              </w:rPr>
              <w:t>0.306</w:t>
            </w:r>
          </w:p>
        </w:tc>
        <w:tc>
          <w:tcPr>
            <w:tcW w:w="810" w:type="dxa"/>
            <w:shd w:val="clear" w:color="auto" w:fill="auto"/>
            <w:vAlign w:val="center"/>
            <w:hideMark/>
          </w:tcPr>
          <w:p w14:paraId="3D1D38AE" w14:textId="14B7BB78" w:rsidR="00237C5F" w:rsidRPr="00BC081A" w:rsidRDefault="00237C5F" w:rsidP="00237C5F">
            <w:pPr>
              <w:pStyle w:val="TableContext"/>
              <w:rPr>
                <w:rFonts w:ascii="Verdana" w:hAnsi="Verdana"/>
                <w:sz w:val="17"/>
                <w:szCs w:val="17"/>
                <w:lang w:val="en-CA"/>
              </w:rPr>
            </w:pPr>
            <w:r w:rsidRPr="00BC081A">
              <w:rPr>
                <w:lang w:val="en-CA"/>
              </w:rPr>
              <w:t>0.436</w:t>
            </w:r>
          </w:p>
        </w:tc>
        <w:tc>
          <w:tcPr>
            <w:tcW w:w="934" w:type="dxa"/>
            <w:shd w:val="clear" w:color="auto" w:fill="auto"/>
            <w:vAlign w:val="center"/>
            <w:hideMark/>
          </w:tcPr>
          <w:p w14:paraId="251438C4" w14:textId="5A8B3675"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0.857</w:t>
            </w:r>
          </w:p>
        </w:tc>
        <w:tc>
          <w:tcPr>
            <w:tcW w:w="890" w:type="dxa"/>
            <w:shd w:val="clear" w:color="auto" w:fill="auto"/>
            <w:noWrap/>
            <w:vAlign w:val="bottom"/>
            <w:hideMark/>
          </w:tcPr>
          <w:p w14:paraId="13D26A9B" w14:textId="77777777" w:rsidR="00237C5F" w:rsidRPr="00BC081A" w:rsidRDefault="00237C5F" w:rsidP="00237C5F">
            <w:pPr>
              <w:pStyle w:val="TableContext"/>
              <w:rPr>
                <w:lang w:val="en-CA"/>
              </w:rPr>
            </w:pPr>
            <w:r w:rsidRPr="00BC081A">
              <w:rPr>
                <w:lang w:val="en-CA"/>
              </w:rPr>
              <w:t> </w:t>
            </w:r>
          </w:p>
        </w:tc>
        <w:tc>
          <w:tcPr>
            <w:tcW w:w="764" w:type="dxa"/>
            <w:shd w:val="clear" w:color="auto" w:fill="auto"/>
            <w:noWrap/>
            <w:vAlign w:val="bottom"/>
            <w:hideMark/>
          </w:tcPr>
          <w:p w14:paraId="0A508704" w14:textId="77777777" w:rsidR="00237C5F" w:rsidRPr="00BC081A" w:rsidRDefault="00237C5F" w:rsidP="00237C5F">
            <w:pPr>
              <w:pStyle w:val="TableContext"/>
              <w:rPr>
                <w:lang w:val="en-CA"/>
              </w:rPr>
            </w:pPr>
            <w:r w:rsidRPr="00BC081A">
              <w:rPr>
                <w:lang w:val="en-CA"/>
              </w:rPr>
              <w:t> </w:t>
            </w:r>
          </w:p>
        </w:tc>
        <w:tc>
          <w:tcPr>
            <w:tcW w:w="764" w:type="dxa"/>
            <w:shd w:val="clear" w:color="auto" w:fill="auto"/>
            <w:noWrap/>
            <w:vAlign w:val="bottom"/>
            <w:hideMark/>
          </w:tcPr>
          <w:p w14:paraId="2EBEF0CC" w14:textId="77777777" w:rsidR="00237C5F" w:rsidRPr="00BC081A" w:rsidRDefault="00237C5F" w:rsidP="00237C5F">
            <w:pPr>
              <w:pStyle w:val="TableContext"/>
              <w:rPr>
                <w:lang w:val="en-CA"/>
              </w:rPr>
            </w:pPr>
            <w:r w:rsidRPr="00BC081A">
              <w:rPr>
                <w:lang w:val="en-CA"/>
              </w:rPr>
              <w:t> </w:t>
            </w:r>
          </w:p>
        </w:tc>
        <w:tc>
          <w:tcPr>
            <w:tcW w:w="761" w:type="dxa"/>
            <w:shd w:val="clear" w:color="auto" w:fill="auto"/>
            <w:noWrap/>
            <w:vAlign w:val="bottom"/>
            <w:hideMark/>
          </w:tcPr>
          <w:p w14:paraId="6E289162" w14:textId="77777777" w:rsidR="00237C5F" w:rsidRPr="00BC081A" w:rsidRDefault="00237C5F" w:rsidP="00237C5F">
            <w:pPr>
              <w:pStyle w:val="TableContext"/>
              <w:rPr>
                <w:lang w:val="en-CA"/>
              </w:rPr>
            </w:pPr>
            <w:r w:rsidRPr="00BC081A">
              <w:rPr>
                <w:lang w:val="en-CA"/>
              </w:rPr>
              <w:t> </w:t>
            </w:r>
          </w:p>
        </w:tc>
        <w:tc>
          <w:tcPr>
            <w:tcW w:w="761" w:type="dxa"/>
            <w:shd w:val="clear" w:color="auto" w:fill="auto"/>
            <w:vAlign w:val="center"/>
            <w:hideMark/>
          </w:tcPr>
          <w:p w14:paraId="255E3D30"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2B5E1329"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r>
      <w:tr w:rsidR="00237C5F" w:rsidRPr="00BC081A" w14:paraId="2F973B62" w14:textId="77777777" w:rsidTr="008C71FB">
        <w:trPr>
          <w:trHeight w:val="300"/>
          <w:jc w:val="center"/>
        </w:trPr>
        <w:tc>
          <w:tcPr>
            <w:tcW w:w="934" w:type="dxa"/>
            <w:shd w:val="clear" w:color="auto" w:fill="F2F2F2" w:themeFill="background1" w:themeFillShade="F2"/>
            <w:vAlign w:val="center"/>
            <w:hideMark/>
          </w:tcPr>
          <w:p w14:paraId="6DCA2FF2"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CH</w:t>
            </w:r>
          </w:p>
        </w:tc>
        <w:tc>
          <w:tcPr>
            <w:tcW w:w="969" w:type="dxa"/>
            <w:vAlign w:val="center"/>
          </w:tcPr>
          <w:p w14:paraId="48A4759C" w14:textId="22EDE7B7" w:rsidR="00237C5F" w:rsidRPr="00BC081A" w:rsidRDefault="00237C5F" w:rsidP="00237C5F">
            <w:pPr>
              <w:pStyle w:val="TableContext"/>
              <w:rPr>
                <w:rFonts w:ascii="Verdana" w:hAnsi="Verdana"/>
                <w:sz w:val="17"/>
                <w:szCs w:val="17"/>
                <w:lang w:val="en-CA"/>
              </w:rPr>
            </w:pPr>
            <w:r w:rsidRPr="00BC081A">
              <w:rPr>
                <w:lang w:val="en-CA"/>
              </w:rPr>
              <w:t>0.123</w:t>
            </w:r>
          </w:p>
        </w:tc>
        <w:tc>
          <w:tcPr>
            <w:tcW w:w="848" w:type="dxa"/>
            <w:shd w:val="clear" w:color="auto" w:fill="auto"/>
            <w:vAlign w:val="center"/>
            <w:hideMark/>
          </w:tcPr>
          <w:p w14:paraId="009E3F5E" w14:textId="4B54AF53" w:rsidR="00237C5F" w:rsidRPr="00BC081A" w:rsidRDefault="00237C5F" w:rsidP="00237C5F">
            <w:pPr>
              <w:pStyle w:val="TableContext"/>
              <w:rPr>
                <w:rFonts w:ascii="Verdana" w:hAnsi="Verdana"/>
                <w:sz w:val="17"/>
                <w:szCs w:val="17"/>
                <w:lang w:val="en-CA"/>
              </w:rPr>
            </w:pPr>
            <w:r w:rsidRPr="00BC081A">
              <w:rPr>
                <w:lang w:val="en-CA"/>
              </w:rPr>
              <w:t>0.235</w:t>
            </w:r>
          </w:p>
        </w:tc>
        <w:tc>
          <w:tcPr>
            <w:tcW w:w="810" w:type="dxa"/>
            <w:shd w:val="clear" w:color="auto" w:fill="auto"/>
            <w:vAlign w:val="center"/>
            <w:hideMark/>
          </w:tcPr>
          <w:p w14:paraId="51F1B4B7" w14:textId="7545BEC1" w:rsidR="00237C5F" w:rsidRPr="00BC081A" w:rsidRDefault="00237C5F" w:rsidP="00237C5F">
            <w:pPr>
              <w:pStyle w:val="TableContext"/>
              <w:rPr>
                <w:rFonts w:ascii="Verdana" w:hAnsi="Verdana"/>
                <w:sz w:val="17"/>
                <w:szCs w:val="17"/>
                <w:lang w:val="en-CA"/>
              </w:rPr>
            </w:pPr>
            <w:r w:rsidRPr="00BC081A">
              <w:rPr>
                <w:lang w:val="en-CA"/>
              </w:rPr>
              <w:t>0.163</w:t>
            </w:r>
          </w:p>
        </w:tc>
        <w:tc>
          <w:tcPr>
            <w:tcW w:w="934" w:type="dxa"/>
            <w:shd w:val="clear" w:color="auto" w:fill="auto"/>
            <w:vAlign w:val="center"/>
            <w:hideMark/>
          </w:tcPr>
          <w:p w14:paraId="40AEB9D5" w14:textId="6E3CE14E" w:rsidR="00237C5F" w:rsidRPr="00BC081A" w:rsidRDefault="00237C5F" w:rsidP="00237C5F">
            <w:pPr>
              <w:pStyle w:val="TableContext"/>
              <w:rPr>
                <w:rFonts w:ascii="Verdana" w:hAnsi="Verdana"/>
                <w:sz w:val="17"/>
                <w:szCs w:val="17"/>
                <w:lang w:val="en-CA"/>
              </w:rPr>
            </w:pPr>
            <w:r w:rsidRPr="00BC081A">
              <w:rPr>
                <w:lang w:val="en-CA"/>
              </w:rPr>
              <w:t>0.459</w:t>
            </w:r>
          </w:p>
        </w:tc>
        <w:tc>
          <w:tcPr>
            <w:tcW w:w="890" w:type="dxa"/>
            <w:shd w:val="clear" w:color="auto" w:fill="auto"/>
            <w:vAlign w:val="center"/>
            <w:hideMark/>
          </w:tcPr>
          <w:p w14:paraId="0A1BEE28" w14:textId="207925FE"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0.857</w:t>
            </w:r>
          </w:p>
        </w:tc>
        <w:tc>
          <w:tcPr>
            <w:tcW w:w="764" w:type="dxa"/>
            <w:shd w:val="clear" w:color="auto" w:fill="auto"/>
            <w:noWrap/>
            <w:vAlign w:val="bottom"/>
            <w:hideMark/>
          </w:tcPr>
          <w:p w14:paraId="6C8C3CD6" w14:textId="77777777" w:rsidR="00237C5F" w:rsidRPr="00BC081A" w:rsidRDefault="00237C5F" w:rsidP="00237C5F">
            <w:pPr>
              <w:pStyle w:val="TableContext"/>
              <w:rPr>
                <w:lang w:val="en-CA"/>
              </w:rPr>
            </w:pPr>
            <w:r w:rsidRPr="00BC081A">
              <w:rPr>
                <w:lang w:val="en-CA"/>
              </w:rPr>
              <w:t> </w:t>
            </w:r>
          </w:p>
        </w:tc>
        <w:tc>
          <w:tcPr>
            <w:tcW w:w="764" w:type="dxa"/>
            <w:shd w:val="clear" w:color="auto" w:fill="auto"/>
            <w:vAlign w:val="center"/>
            <w:hideMark/>
          </w:tcPr>
          <w:p w14:paraId="2D5E6E0D"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1AB0AC03"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06C3A6EA"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1AE71ED9"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r>
      <w:tr w:rsidR="00237C5F" w:rsidRPr="00BC081A" w14:paraId="3CEB1DE6" w14:textId="77777777" w:rsidTr="008C71FB">
        <w:trPr>
          <w:trHeight w:val="300"/>
          <w:jc w:val="center"/>
        </w:trPr>
        <w:tc>
          <w:tcPr>
            <w:tcW w:w="934" w:type="dxa"/>
            <w:shd w:val="clear" w:color="auto" w:fill="F2F2F2" w:themeFill="background1" w:themeFillShade="F2"/>
            <w:vAlign w:val="center"/>
            <w:hideMark/>
          </w:tcPr>
          <w:p w14:paraId="57CDDC31"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AR</w:t>
            </w:r>
          </w:p>
        </w:tc>
        <w:tc>
          <w:tcPr>
            <w:tcW w:w="969" w:type="dxa"/>
            <w:vAlign w:val="center"/>
          </w:tcPr>
          <w:p w14:paraId="1624453D" w14:textId="1BDF2BB4" w:rsidR="00237C5F" w:rsidRPr="00BC081A" w:rsidRDefault="00237C5F" w:rsidP="00237C5F">
            <w:pPr>
              <w:pStyle w:val="TableContext"/>
              <w:rPr>
                <w:rFonts w:ascii="Verdana" w:hAnsi="Verdana"/>
                <w:sz w:val="17"/>
                <w:szCs w:val="17"/>
                <w:lang w:val="en-CA"/>
              </w:rPr>
            </w:pPr>
            <w:r w:rsidRPr="00BC081A">
              <w:rPr>
                <w:lang w:val="en-CA"/>
              </w:rPr>
              <w:t>-0.002</w:t>
            </w:r>
          </w:p>
        </w:tc>
        <w:tc>
          <w:tcPr>
            <w:tcW w:w="848" w:type="dxa"/>
            <w:shd w:val="clear" w:color="auto" w:fill="auto"/>
            <w:vAlign w:val="center"/>
            <w:hideMark/>
          </w:tcPr>
          <w:p w14:paraId="0F85297B" w14:textId="6EDD79F8" w:rsidR="00237C5F" w:rsidRPr="00BC081A" w:rsidRDefault="00237C5F" w:rsidP="00237C5F">
            <w:pPr>
              <w:pStyle w:val="TableContext"/>
              <w:rPr>
                <w:rFonts w:ascii="Verdana" w:hAnsi="Verdana"/>
                <w:sz w:val="17"/>
                <w:szCs w:val="17"/>
                <w:lang w:val="en-CA"/>
              </w:rPr>
            </w:pPr>
            <w:r w:rsidRPr="00BC081A">
              <w:rPr>
                <w:lang w:val="en-CA"/>
              </w:rPr>
              <w:t>0.177</w:t>
            </w:r>
          </w:p>
        </w:tc>
        <w:tc>
          <w:tcPr>
            <w:tcW w:w="810" w:type="dxa"/>
            <w:shd w:val="clear" w:color="auto" w:fill="auto"/>
            <w:vAlign w:val="center"/>
            <w:hideMark/>
          </w:tcPr>
          <w:p w14:paraId="029519D2" w14:textId="04C8A629" w:rsidR="00237C5F" w:rsidRPr="00BC081A" w:rsidRDefault="00237C5F" w:rsidP="00237C5F">
            <w:pPr>
              <w:pStyle w:val="TableContext"/>
              <w:rPr>
                <w:rFonts w:ascii="Verdana" w:hAnsi="Verdana"/>
                <w:sz w:val="17"/>
                <w:szCs w:val="17"/>
                <w:lang w:val="en-CA"/>
              </w:rPr>
            </w:pPr>
            <w:r w:rsidRPr="00BC081A">
              <w:rPr>
                <w:lang w:val="en-CA"/>
              </w:rPr>
              <w:t>0.172</w:t>
            </w:r>
          </w:p>
        </w:tc>
        <w:tc>
          <w:tcPr>
            <w:tcW w:w="934" w:type="dxa"/>
            <w:shd w:val="clear" w:color="auto" w:fill="auto"/>
            <w:vAlign w:val="center"/>
            <w:hideMark/>
          </w:tcPr>
          <w:p w14:paraId="2D0C415E" w14:textId="774C308B" w:rsidR="00237C5F" w:rsidRPr="00BC081A" w:rsidRDefault="00237C5F" w:rsidP="00237C5F">
            <w:pPr>
              <w:pStyle w:val="TableContext"/>
              <w:rPr>
                <w:rFonts w:ascii="Verdana" w:hAnsi="Verdana"/>
                <w:sz w:val="17"/>
                <w:szCs w:val="17"/>
                <w:lang w:val="en-CA"/>
              </w:rPr>
            </w:pPr>
            <w:r w:rsidRPr="00BC081A">
              <w:rPr>
                <w:lang w:val="en-CA"/>
              </w:rPr>
              <w:t>0.398</w:t>
            </w:r>
          </w:p>
        </w:tc>
        <w:tc>
          <w:tcPr>
            <w:tcW w:w="890" w:type="dxa"/>
            <w:shd w:val="clear" w:color="auto" w:fill="auto"/>
            <w:vAlign w:val="center"/>
            <w:hideMark/>
          </w:tcPr>
          <w:p w14:paraId="4A346FD8" w14:textId="4AD2CFC7" w:rsidR="00237C5F" w:rsidRPr="00BC081A" w:rsidRDefault="00237C5F" w:rsidP="00237C5F">
            <w:pPr>
              <w:pStyle w:val="TableContext"/>
              <w:rPr>
                <w:rFonts w:ascii="Verdana" w:hAnsi="Verdana"/>
                <w:sz w:val="17"/>
                <w:szCs w:val="17"/>
                <w:lang w:val="en-CA"/>
              </w:rPr>
            </w:pPr>
            <w:r w:rsidRPr="00BC081A">
              <w:rPr>
                <w:lang w:val="en-CA"/>
              </w:rPr>
              <w:t>0.384</w:t>
            </w:r>
          </w:p>
        </w:tc>
        <w:tc>
          <w:tcPr>
            <w:tcW w:w="764" w:type="dxa"/>
            <w:shd w:val="clear" w:color="auto" w:fill="auto"/>
            <w:vAlign w:val="center"/>
            <w:hideMark/>
          </w:tcPr>
          <w:p w14:paraId="58B380E4" w14:textId="14FD81BF"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0.771</w:t>
            </w:r>
          </w:p>
        </w:tc>
        <w:tc>
          <w:tcPr>
            <w:tcW w:w="764" w:type="dxa"/>
            <w:shd w:val="clear" w:color="auto" w:fill="auto"/>
            <w:vAlign w:val="center"/>
            <w:hideMark/>
          </w:tcPr>
          <w:p w14:paraId="235BC21A"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1232201D"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2806A2A6"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219A70EE"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r>
      <w:tr w:rsidR="00237C5F" w:rsidRPr="00BC081A" w14:paraId="303A2FE1" w14:textId="77777777" w:rsidTr="008C71FB">
        <w:trPr>
          <w:trHeight w:val="401"/>
          <w:jc w:val="center"/>
        </w:trPr>
        <w:tc>
          <w:tcPr>
            <w:tcW w:w="934" w:type="dxa"/>
            <w:shd w:val="clear" w:color="auto" w:fill="F2F2F2" w:themeFill="background1" w:themeFillShade="F2"/>
            <w:vAlign w:val="center"/>
            <w:hideMark/>
          </w:tcPr>
          <w:p w14:paraId="12543338"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FI</w:t>
            </w:r>
          </w:p>
        </w:tc>
        <w:tc>
          <w:tcPr>
            <w:tcW w:w="969" w:type="dxa"/>
            <w:vAlign w:val="center"/>
          </w:tcPr>
          <w:p w14:paraId="570D087E" w14:textId="5B9C5229" w:rsidR="00237C5F" w:rsidRPr="00BC081A" w:rsidRDefault="00237C5F" w:rsidP="00237C5F">
            <w:pPr>
              <w:pStyle w:val="TableContext"/>
              <w:rPr>
                <w:rFonts w:ascii="Verdana" w:hAnsi="Verdana"/>
                <w:sz w:val="17"/>
                <w:szCs w:val="17"/>
                <w:lang w:val="en-CA"/>
              </w:rPr>
            </w:pPr>
            <w:r w:rsidRPr="00BC081A">
              <w:rPr>
                <w:lang w:val="en-CA"/>
              </w:rPr>
              <w:t>-0.004</w:t>
            </w:r>
          </w:p>
        </w:tc>
        <w:tc>
          <w:tcPr>
            <w:tcW w:w="848" w:type="dxa"/>
            <w:shd w:val="clear" w:color="auto" w:fill="auto"/>
            <w:vAlign w:val="center"/>
            <w:hideMark/>
          </w:tcPr>
          <w:p w14:paraId="433DA0EB" w14:textId="43A6D9B4" w:rsidR="00237C5F" w:rsidRPr="00BC081A" w:rsidRDefault="00237C5F" w:rsidP="00237C5F">
            <w:pPr>
              <w:pStyle w:val="TableContext"/>
              <w:rPr>
                <w:rFonts w:ascii="Verdana" w:hAnsi="Verdana"/>
                <w:sz w:val="17"/>
                <w:szCs w:val="17"/>
                <w:lang w:val="en-CA"/>
              </w:rPr>
            </w:pPr>
            <w:r w:rsidRPr="00BC081A">
              <w:rPr>
                <w:lang w:val="en-CA"/>
              </w:rPr>
              <w:t>0.068</w:t>
            </w:r>
          </w:p>
        </w:tc>
        <w:tc>
          <w:tcPr>
            <w:tcW w:w="810" w:type="dxa"/>
            <w:shd w:val="clear" w:color="auto" w:fill="auto"/>
            <w:vAlign w:val="center"/>
            <w:hideMark/>
          </w:tcPr>
          <w:p w14:paraId="2E532C57" w14:textId="7AF0BE1F" w:rsidR="00237C5F" w:rsidRPr="00BC081A" w:rsidRDefault="00237C5F" w:rsidP="00237C5F">
            <w:pPr>
              <w:pStyle w:val="TableContext"/>
              <w:rPr>
                <w:rFonts w:ascii="Verdana" w:hAnsi="Verdana"/>
                <w:sz w:val="17"/>
                <w:szCs w:val="17"/>
                <w:lang w:val="en-CA"/>
              </w:rPr>
            </w:pPr>
            <w:r w:rsidRPr="00BC081A">
              <w:rPr>
                <w:lang w:val="en-CA"/>
              </w:rPr>
              <w:t>-0.063</w:t>
            </w:r>
          </w:p>
        </w:tc>
        <w:tc>
          <w:tcPr>
            <w:tcW w:w="934" w:type="dxa"/>
            <w:shd w:val="clear" w:color="auto" w:fill="auto"/>
            <w:vAlign w:val="center"/>
            <w:hideMark/>
          </w:tcPr>
          <w:p w14:paraId="47D8DEB2" w14:textId="3212280E" w:rsidR="00237C5F" w:rsidRPr="00BC081A" w:rsidRDefault="00237C5F" w:rsidP="00237C5F">
            <w:pPr>
              <w:pStyle w:val="TableContext"/>
              <w:rPr>
                <w:rFonts w:ascii="Verdana" w:hAnsi="Verdana"/>
                <w:sz w:val="17"/>
                <w:szCs w:val="17"/>
                <w:lang w:val="en-CA"/>
              </w:rPr>
            </w:pPr>
            <w:r w:rsidRPr="00BC081A">
              <w:rPr>
                <w:lang w:val="en-CA"/>
              </w:rPr>
              <w:t>0.077</w:t>
            </w:r>
          </w:p>
        </w:tc>
        <w:tc>
          <w:tcPr>
            <w:tcW w:w="890" w:type="dxa"/>
            <w:shd w:val="clear" w:color="auto" w:fill="auto"/>
            <w:vAlign w:val="center"/>
            <w:hideMark/>
          </w:tcPr>
          <w:p w14:paraId="65E42B61" w14:textId="224C8EB5" w:rsidR="00237C5F" w:rsidRPr="00BC081A" w:rsidRDefault="00237C5F" w:rsidP="00237C5F">
            <w:pPr>
              <w:pStyle w:val="TableContext"/>
              <w:rPr>
                <w:rFonts w:ascii="Verdana" w:hAnsi="Verdana"/>
                <w:sz w:val="17"/>
                <w:szCs w:val="17"/>
                <w:lang w:val="en-CA"/>
              </w:rPr>
            </w:pPr>
            <w:r w:rsidRPr="00BC081A">
              <w:rPr>
                <w:lang w:val="en-CA"/>
              </w:rPr>
              <w:t>0.228</w:t>
            </w:r>
          </w:p>
        </w:tc>
        <w:tc>
          <w:tcPr>
            <w:tcW w:w="764" w:type="dxa"/>
            <w:shd w:val="clear" w:color="auto" w:fill="auto"/>
            <w:vAlign w:val="center"/>
            <w:hideMark/>
          </w:tcPr>
          <w:p w14:paraId="7D610479" w14:textId="3FC6F652" w:rsidR="00237C5F" w:rsidRPr="00BC081A" w:rsidRDefault="00237C5F" w:rsidP="00237C5F">
            <w:pPr>
              <w:pStyle w:val="TableContext"/>
              <w:rPr>
                <w:rFonts w:ascii="Verdana" w:hAnsi="Verdana"/>
                <w:sz w:val="17"/>
                <w:szCs w:val="17"/>
                <w:lang w:val="en-CA"/>
              </w:rPr>
            </w:pPr>
            <w:r w:rsidRPr="00BC081A">
              <w:rPr>
                <w:lang w:val="en-CA"/>
              </w:rPr>
              <w:t>0.362</w:t>
            </w:r>
          </w:p>
        </w:tc>
        <w:tc>
          <w:tcPr>
            <w:tcW w:w="764" w:type="dxa"/>
            <w:shd w:val="clear" w:color="auto" w:fill="auto"/>
            <w:vAlign w:val="center"/>
            <w:hideMark/>
          </w:tcPr>
          <w:p w14:paraId="1F412F3B" w14:textId="7E16FDC8"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0.876</w:t>
            </w:r>
          </w:p>
        </w:tc>
        <w:tc>
          <w:tcPr>
            <w:tcW w:w="761" w:type="dxa"/>
            <w:shd w:val="clear" w:color="auto" w:fill="auto"/>
            <w:vAlign w:val="center"/>
            <w:hideMark/>
          </w:tcPr>
          <w:p w14:paraId="22BDAC39"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6184CC9D"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3EAA8EEF"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r>
      <w:tr w:rsidR="00237C5F" w:rsidRPr="00BC081A" w14:paraId="798CCC3A" w14:textId="77777777" w:rsidTr="008C71FB">
        <w:trPr>
          <w:trHeight w:val="300"/>
          <w:jc w:val="center"/>
        </w:trPr>
        <w:tc>
          <w:tcPr>
            <w:tcW w:w="934" w:type="dxa"/>
            <w:shd w:val="clear" w:color="auto" w:fill="F2F2F2" w:themeFill="background1" w:themeFillShade="F2"/>
            <w:vAlign w:val="center"/>
            <w:hideMark/>
          </w:tcPr>
          <w:p w14:paraId="434BA866"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HE</w:t>
            </w:r>
          </w:p>
        </w:tc>
        <w:tc>
          <w:tcPr>
            <w:tcW w:w="969" w:type="dxa"/>
            <w:vAlign w:val="center"/>
          </w:tcPr>
          <w:p w14:paraId="1FD7BE70" w14:textId="1708CA76" w:rsidR="00237C5F" w:rsidRPr="00BC081A" w:rsidRDefault="00237C5F" w:rsidP="00237C5F">
            <w:pPr>
              <w:pStyle w:val="TableContext"/>
              <w:rPr>
                <w:rFonts w:ascii="Verdana" w:hAnsi="Verdana"/>
                <w:sz w:val="17"/>
                <w:szCs w:val="17"/>
                <w:lang w:val="en-CA"/>
              </w:rPr>
            </w:pPr>
            <w:r w:rsidRPr="00BC081A">
              <w:rPr>
                <w:lang w:val="en-CA"/>
              </w:rPr>
              <w:t>0.086</w:t>
            </w:r>
          </w:p>
        </w:tc>
        <w:tc>
          <w:tcPr>
            <w:tcW w:w="848" w:type="dxa"/>
            <w:shd w:val="clear" w:color="auto" w:fill="auto"/>
            <w:vAlign w:val="center"/>
            <w:hideMark/>
          </w:tcPr>
          <w:p w14:paraId="48882CD7" w14:textId="1FD0086A" w:rsidR="00237C5F" w:rsidRPr="00BC081A" w:rsidRDefault="00237C5F" w:rsidP="00237C5F">
            <w:pPr>
              <w:pStyle w:val="TableContext"/>
              <w:rPr>
                <w:rFonts w:ascii="Verdana" w:hAnsi="Verdana"/>
                <w:sz w:val="17"/>
                <w:szCs w:val="17"/>
                <w:lang w:val="en-CA"/>
              </w:rPr>
            </w:pPr>
            <w:r w:rsidRPr="00BC081A">
              <w:rPr>
                <w:lang w:val="en-CA"/>
              </w:rPr>
              <w:t>0.20</w:t>
            </w:r>
            <w:r w:rsidR="00F07CC7" w:rsidRPr="00BC081A">
              <w:rPr>
                <w:lang w:val="en-CA"/>
              </w:rPr>
              <w:t>5</w:t>
            </w:r>
          </w:p>
        </w:tc>
        <w:tc>
          <w:tcPr>
            <w:tcW w:w="810" w:type="dxa"/>
            <w:shd w:val="clear" w:color="auto" w:fill="auto"/>
            <w:vAlign w:val="center"/>
            <w:hideMark/>
          </w:tcPr>
          <w:p w14:paraId="2B2D2181" w14:textId="1F7BFAAE" w:rsidR="00237C5F" w:rsidRPr="00BC081A" w:rsidRDefault="00237C5F" w:rsidP="00237C5F">
            <w:pPr>
              <w:pStyle w:val="TableContext"/>
              <w:rPr>
                <w:rFonts w:ascii="Verdana" w:hAnsi="Verdana"/>
                <w:sz w:val="17"/>
                <w:szCs w:val="17"/>
                <w:lang w:val="en-CA"/>
              </w:rPr>
            </w:pPr>
            <w:r w:rsidRPr="00BC081A">
              <w:rPr>
                <w:lang w:val="en-CA"/>
              </w:rPr>
              <w:t>0.21</w:t>
            </w:r>
            <w:r w:rsidR="00F07CC7" w:rsidRPr="00BC081A">
              <w:rPr>
                <w:lang w:val="en-CA"/>
              </w:rPr>
              <w:t>3</w:t>
            </w:r>
          </w:p>
        </w:tc>
        <w:tc>
          <w:tcPr>
            <w:tcW w:w="934" w:type="dxa"/>
            <w:shd w:val="clear" w:color="auto" w:fill="auto"/>
            <w:vAlign w:val="center"/>
            <w:hideMark/>
          </w:tcPr>
          <w:p w14:paraId="7D6B0CD4" w14:textId="028D887F" w:rsidR="00237C5F" w:rsidRPr="00BC081A" w:rsidRDefault="00F07CC7" w:rsidP="00237C5F">
            <w:pPr>
              <w:pStyle w:val="TableContext"/>
              <w:rPr>
                <w:rFonts w:ascii="Verdana" w:hAnsi="Verdana"/>
                <w:sz w:val="17"/>
                <w:szCs w:val="17"/>
                <w:lang w:val="en-CA"/>
              </w:rPr>
            </w:pPr>
            <w:r w:rsidRPr="00BC081A">
              <w:rPr>
                <w:lang w:val="en-CA"/>
              </w:rPr>
              <w:t>0.372</w:t>
            </w:r>
          </w:p>
        </w:tc>
        <w:tc>
          <w:tcPr>
            <w:tcW w:w="890" w:type="dxa"/>
            <w:shd w:val="clear" w:color="auto" w:fill="auto"/>
            <w:vAlign w:val="center"/>
            <w:hideMark/>
          </w:tcPr>
          <w:p w14:paraId="0ED81F59" w14:textId="217895FF" w:rsidR="00237C5F" w:rsidRPr="00BC081A" w:rsidRDefault="00F07CC7" w:rsidP="00237C5F">
            <w:pPr>
              <w:pStyle w:val="TableContext"/>
              <w:rPr>
                <w:rFonts w:ascii="Verdana" w:hAnsi="Verdana"/>
                <w:sz w:val="17"/>
                <w:szCs w:val="17"/>
                <w:lang w:val="en-CA"/>
              </w:rPr>
            </w:pPr>
            <w:r w:rsidRPr="00BC081A">
              <w:rPr>
                <w:lang w:val="en-CA"/>
              </w:rPr>
              <w:t>0.307</w:t>
            </w:r>
          </w:p>
        </w:tc>
        <w:tc>
          <w:tcPr>
            <w:tcW w:w="764" w:type="dxa"/>
            <w:shd w:val="clear" w:color="auto" w:fill="auto"/>
            <w:vAlign w:val="center"/>
            <w:hideMark/>
          </w:tcPr>
          <w:p w14:paraId="14375667" w14:textId="4267543A" w:rsidR="00237C5F" w:rsidRPr="00BC081A" w:rsidRDefault="00F07CC7" w:rsidP="00237C5F">
            <w:pPr>
              <w:pStyle w:val="TableContext"/>
              <w:rPr>
                <w:rFonts w:ascii="Verdana" w:hAnsi="Verdana"/>
                <w:sz w:val="17"/>
                <w:szCs w:val="17"/>
                <w:lang w:val="en-CA"/>
              </w:rPr>
            </w:pPr>
            <w:r w:rsidRPr="00BC081A">
              <w:rPr>
                <w:lang w:val="en-CA"/>
              </w:rPr>
              <w:t>0.671</w:t>
            </w:r>
          </w:p>
        </w:tc>
        <w:tc>
          <w:tcPr>
            <w:tcW w:w="764" w:type="dxa"/>
            <w:shd w:val="clear" w:color="auto" w:fill="auto"/>
            <w:vAlign w:val="center"/>
            <w:hideMark/>
          </w:tcPr>
          <w:p w14:paraId="059AA069" w14:textId="27B23277" w:rsidR="00237C5F" w:rsidRPr="00BC081A" w:rsidRDefault="00237C5F" w:rsidP="00237C5F">
            <w:pPr>
              <w:pStyle w:val="TableContext"/>
              <w:rPr>
                <w:rFonts w:ascii="Verdana" w:hAnsi="Verdana"/>
                <w:sz w:val="17"/>
                <w:szCs w:val="17"/>
                <w:lang w:val="en-CA"/>
              </w:rPr>
            </w:pPr>
            <w:r w:rsidRPr="00BC081A">
              <w:rPr>
                <w:lang w:val="en-CA"/>
              </w:rPr>
              <w:t>0.30</w:t>
            </w:r>
            <w:r w:rsidR="00F07CC7" w:rsidRPr="00BC081A">
              <w:rPr>
                <w:lang w:val="en-CA"/>
              </w:rPr>
              <w:t>4</w:t>
            </w:r>
          </w:p>
        </w:tc>
        <w:tc>
          <w:tcPr>
            <w:tcW w:w="761" w:type="dxa"/>
            <w:shd w:val="clear" w:color="auto" w:fill="auto"/>
            <w:vAlign w:val="center"/>
            <w:hideMark/>
          </w:tcPr>
          <w:p w14:paraId="18088D9A" w14:textId="17AD22E7" w:rsidR="00237C5F" w:rsidRPr="00BC081A" w:rsidRDefault="00237C5F" w:rsidP="00F07CC7">
            <w:pPr>
              <w:pStyle w:val="TableContext"/>
              <w:rPr>
                <w:rFonts w:ascii="Verdana" w:hAnsi="Verdana"/>
                <w:b/>
                <w:sz w:val="17"/>
                <w:szCs w:val="17"/>
                <w:lang w:val="en-CA"/>
              </w:rPr>
            </w:pPr>
            <w:r w:rsidRPr="00BC081A">
              <w:rPr>
                <w:rFonts w:ascii="Verdana" w:hAnsi="Verdana"/>
                <w:b/>
                <w:sz w:val="17"/>
                <w:szCs w:val="17"/>
                <w:lang w:val="en-CA"/>
              </w:rPr>
              <w:t>0.</w:t>
            </w:r>
            <w:r w:rsidR="00F07CC7" w:rsidRPr="00BC081A">
              <w:rPr>
                <w:rFonts w:ascii="Verdana" w:hAnsi="Verdana"/>
                <w:b/>
                <w:sz w:val="17"/>
                <w:szCs w:val="17"/>
                <w:lang w:val="en-CA"/>
              </w:rPr>
              <w:t>938</w:t>
            </w:r>
          </w:p>
        </w:tc>
        <w:tc>
          <w:tcPr>
            <w:tcW w:w="761" w:type="dxa"/>
            <w:shd w:val="clear" w:color="auto" w:fill="auto"/>
            <w:vAlign w:val="center"/>
            <w:hideMark/>
          </w:tcPr>
          <w:p w14:paraId="1B2CFBEE"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c>
          <w:tcPr>
            <w:tcW w:w="761" w:type="dxa"/>
            <w:shd w:val="clear" w:color="auto" w:fill="auto"/>
            <w:vAlign w:val="center"/>
            <w:hideMark/>
          </w:tcPr>
          <w:p w14:paraId="27C988AB" w14:textId="77777777" w:rsidR="00237C5F" w:rsidRPr="00BC081A" w:rsidRDefault="00237C5F" w:rsidP="00237C5F">
            <w:pPr>
              <w:pStyle w:val="TableContext"/>
              <w:rPr>
                <w:rFonts w:ascii="Verdana" w:hAnsi="Verdana"/>
                <w:sz w:val="17"/>
                <w:szCs w:val="17"/>
                <w:lang w:val="en-CA"/>
              </w:rPr>
            </w:pPr>
            <w:r w:rsidRPr="00BC081A">
              <w:rPr>
                <w:rFonts w:ascii="Verdana" w:hAnsi="Verdana"/>
                <w:sz w:val="17"/>
                <w:szCs w:val="17"/>
                <w:lang w:val="en-CA"/>
              </w:rPr>
              <w:t> </w:t>
            </w:r>
          </w:p>
        </w:tc>
      </w:tr>
      <w:tr w:rsidR="00237C5F" w:rsidRPr="00BC081A" w14:paraId="48560EA0" w14:textId="77777777" w:rsidTr="008C71FB">
        <w:trPr>
          <w:trHeight w:val="300"/>
          <w:jc w:val="center"/>
        </w:trPr>
        <w:tc>
          <w:tcPr>
            <w:tcW w:w="934" w:type="dxa"/>
            <w:shd w:val="clear" w:color="auto" w:fill="F2F2F2" w:themeFill="background1" w:themeFillShade="F2"/>
            <w:vAlign w:val="center"/>
            <w:hideMark/>
          </w:tcPr>
          <w:p w14:paraId="2983D18C"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TD</w:t>
            </w:r>
          </w:p>
        </w:tc>
        <w:tc>
          <w:tcPr>
            <w:tcW w:w="969" w:type="dxa"/>
            <w:vAlign w:val="center"/>
          </w:tcPr>
          <w:p w14:paraId="5F3472EB" w14:textId="474BC2FE" w:rsidR="00237C5F" w:rsidRPr="00BC081A" w:rsidRDefault="00237C5F" w:rsidP="00237C5F">
            <w:pPr>
              <w:pStyle w:val="TableContext"/>
              <w:rPr>
                <w:rFonts w:ascii="Verdana" w:hAnsi="Verdana"/>
                <w:sz w:val="17"/>
                <w:szCs w:val="17"/>
                <w:lang w:val="en-CA"/>
              </w:rPr>
            </w:pPr>
            <w:r w:rsidRPr="00BC081A">
              <w:rPr>
                <w:lang w:val="en-CA"/>
              </w:rPr>
              <w:t>0.177</w:t>
            </w:r>
          </w:p>
        </w:tc>
        <w:tc>
          <w:tcPr>
            <w:tcW w:w="848" w:type="dxa"/>
            <w:shd w:val="clear" w:color="auto" w:fill="auto"/>
            <w:vAlign w:val="center"/>
            <w:hideMark/>
          </w:tcPr>
          <w:p w14:paraId="410AA0BB" w14:textId="7413BE43" w:rsidR="00237C5F" w:rsidRPr="00BC081A" w:rsidRDefault="00237C5F" w:rsidP="00237C5F">
            <w:pPr>
              <w:pStyle w:val="TableContext"/>
              <w:rPr>
                <w:rFonts w:ascii="Verdana" w:hAnsi="Verdana"/>
                <w:sz w:val="17"/>
                <w:szCs w:val="17"/>
                <w:lang w:val="en-CA"/>
              </w:rPr>
            </w:pPr>
            <w:r w:rsidRPr="00BC081A">
              <w:rPr>
                <w:lang w:val="en-CA"/>
              </w:rPr>
              <w:t>0.069</w:t>
            </w:r>
          </w:p>
        </w:tc>
        <w:tc>
          <w:tcPr>
            <w:tcW w:w="810" w:type="dxa"/>
            <w:shd w:val="clear" w:color="auto" w:fill="auto"/>
            <w:vAlign w:val="center"/>
            <w:hideMark/>
          </w:tcPr>
          <w:p w14:paraId="4FC4FA9A" w14:textId="4F4D32A4" w:rsidR="00237C5F" w:rsidRPr="00BC081A" w:rsidRDefault="00237C5F" w:rsidP="00237C5F">
            <w:pPr>
              <w:pStyle w:val="TableContext"/>
              <w:rPr>
                <w:rFonts w:ascii="Verdana" w:hAnsi="Verdana"/>
                <w:sz w:val="17"/>
                <w:szCs w:val="17"/>
                <w:lang w:val="en-CA"/>
              </w:rPr>
            </w:pPr>
            <w:r w:rsidRPr="00BC081A">
              <w:rPr>
                <w:lang w:val="en-CA"/>
              </w:rPr>
              <w:t>0.265</w:t>
            </w:r>
          </w:p>
        </w:tc>
        <w:tc>
          <w:tcPr>
            <w:tcW w:w="934" w:type="dxa"/>
            <w:shd w:val="clear" w:color="auto" w:fill="auto"/>
            <w:vAlign w:val="center"/>
            <w:hideMark/>
          </w:tcPr>
          <w:p w14:paraId="52CEC986" w14:textId="29732C7B" w:rsidR="00237C5F" w:rsidRPr="00BC081A" w:rsidRDefault="00237C5F" w:rsidP="00237C5F">
            <w:pPr>
              <w:pStyle w:val="TableContext"/>
              <w:rPr>
                <w:rFonts w:ascii="Verdana" w:hAnsi="Verdana"/>
                <w:sz w:val="17"/>
                <w:szCs w:val="17"/>
                <w:lang w:val="en-CA"/>
              </w:rPr>
            </w:pPr>
            <w:r w:rsidRPr="00BC081A">
              <w:rPr>
                <w:lang w:val="en-CA"/>
              </w:rPr>
              <w:t>0.291</w:t>
            </w:r>
          </w:p>
        </w:tc>
        <w:tc>
          <w:tcPr>
            <w:tcW w:w="890" w:type="dxa"/>
            <w:shd w:val="clear" w:color="auto" w:fill="auto"/>
            <w:vAlign w:val="center"/>
            <w:hideMark/>
          </w:tcPr>
          <w:p w14:paraId="621602E1" w14:textId="6FF9F991" w:rsidR="00237C5F" w:rsidRPr="00BC081A" w:rsidRDefault="00237C5F" w:rsidP="00237C5F">
            <w:pPr>
              <w:pStyle w:val="TableContext"/>
              <w:rPr>
                <w:rFonts w:ascii="Verdana" w:hAnsi="Verdana"/>
                <w:sz w:val="17"/>
                <w:szCs w:val="17"/>
                <w:lang w:val="en-CA"/>
              </w:rPr>
            </w:pPr>
            <w:r w:rsidRPr="00BC081A">
              <w:rPr>
                <w:lang w:val="en-CA"/>
              </w:rPr>
              <w:t>0.274</w:t>
            </w:r>
          </w:p>
        </w:tc>
        <w:tc>
          <w:tcPr>
            <w:tcW w:w="764" w:type="dxa"/>
            <w:shd w:val="clear" w:color="auto" w:fill="auto"/>
            <w:vAlign w:val="center"/>
            <w:hideMark/>
          </w:tcPr>
          <w:p w14:paraId="01794C7B" w14:textId="32115B15" w:rsidR="00237C5F" w:rsidRPr="00BC081A" w:rsidRDefault="00237C5F" w:rsidP="00237C5F">
            <w:pPr>
              <w:pStyle w:val="TableContext"/>
              <w:rPr>
                <w:rFonts w:ascii="Verdana" w:hAnsi="Verdana"/>
                <w:sz w:val="17"/>
                <w:szCs w:val="17"/>
                <w:lang w:val="en-CA"/>
              </w:rPr>
            </w:pPr>
            <w:r w:rsidRPr="00BC081A">
              <w:rPr>
                <w:lang w:val="en-CA"/>
              </w:rPr>
              <w:t>0.404</w:t>
            </w:r>
          </w:p>
        </w:tc>
        <w:tc>
          <w:tcPr>
            <w:tcW w:w="764" w:type="dxa"/>
            <w:shd w:val="clear" w:color="auto" w:fill="auto"/>
            <w:vAlign w:val="center"/>
            <w:hideMark/>
          </w:tcPr>
          <w:p w14:paraId="7D961EC3" w14:textId="29C22D0F" w:rsidR="00237C5F" w:rsidRPr="00BC081A" w:rsidRDefault="00237C5F" w:rsidP="00237C5F">
            <w:pPr>
              <w:pStyle w:val="TableContext"/>
              <w:rPr>
                <w:rFonts w:ascii="Verdana" w:hAnsi="Verdana"/>
                <w:sz w:val="17"/>
                <w:szCs w:val="17"/>
                <w:lang w:val="en-CA"/>
              </w:rPr>
            </w:pPr>
            <w:r w:rsidRPr="00BC081A">
              <w:rPr>
                <w:lang w:val="en-CA"/>
              </w:rPr>
              <w:t>0.262</w:t>
            </w:r>
          </w:p>
        </w:tc>
        <w:tc>
          <w:tcPr>
            <w:tcW w:w="761" w:type="dxa"/>
            <w:shd w:val="clear" w:color="auto" w:fill="auto"/>
            <w:vAlign w:val="center"/>
            <w:hideMark/>
          </w:tcPr>
          <w:p w14:paraId="0327236E" w14:textId="3EBD9820" w:rsidR="00237C5F" w:rsidRPr="00BC081A" w:rsidRDefault="00F07CC7" w:rsidP="00237C5F">
            <w:pPr>
              <w:pStyle w:val="TableContext"/>
              <w:rPr>
                <w:rFonts w:ascii="Verdana" w:hAnsi="Verdana"/>
                <w:sz w:val="17"/>
                <w:szCs w:val="17"/>
                <w:lang w:val="en-CA"/>
              </w:rPr>
            </w:pPr>
            <w:r w:rsidRPr="00BC081A">
              <w:rPr>
                <w:lang w:val="en-CA"/>
              </w:rPr>
              <w:t>0.482</w:t>
            </w:r>
          </w:p>
        </w:tc>
        <w:tc>
          <w:tcPr>
            <w:tcW w:w="761" w:type="dxa"/>
            <w:shd w:val="clear" w:color="auto" w:fill="auto"/>
            <w:vAlign w:val="center"/>
            <w:hideMark/>
          </w:tcPr>
          <w:p w14:paraId="0F86E325" w14:textId="14A95B1B"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0.837</w:t>
            </w:r>
          </w:p>
        </w:tc>
        <w:tc>
          <w:tcPr>
            <w:tcW w:w="761" w:type="dxa"/>
            <w:shd w:val="clear" w:color="auto" w:fill="auto"/>
            <w:noWrap/>
            <w:vAlign w:val="bottom"/>
            <w:hideMark/>
          </w:tcPr>
          <w:p w14:paraId="44C4AE0D" w14:textId="77777777" w:rsidR="00237C5F" w:rsidRPr="00BC081A" w:rsidRDefault="00237C5F" w:rsidP="00237C5F">
            <w:pPr>
              <w:pStyle w:val="TableContext"/>
              <w:rPr>
                <w:lang w:val="en-CA"/>
              </w:rPr>
            </w:pPr>
            <w:r w:rsidRPr="00BC081A">
              <w:rPr>
                <w:lang w:val="en-CA"/>
              </w:rPr>
              <w:t> </w:t>
            </w:r>
          </w:p>
        </w:tc>
      </w:tr>
      <w:tr w:rsidR="00237C5F" w:rsidRPr="00BC081A" w14:paraId="32B89E21" w14:textId="77777777" w:rsidTr="008C71FB">
        <w:trPr>
          <w:trHeight w:val="300"/>
          <w:jc w:val="center"/>
        </w:trPr>
        <w:tc>
          <w:tcPr>
            <w:tcW w:w="934" w:type="dxa"/>
            <w:shd w:val="clear" w:color="auto" w:fill="F2F2F2" w:themeFill="background1" w:themeFillShade="F2"/>
            <w:vAlign w:val="center"/>
            <w:hideMark/>
          </w:tcPr>
          <w:p w14:paraId="287BEB2A" w14:textId="77777777" w:rsidR="00237C5F" w:rsidRPr="00BC081A" w:rsidRDefault="00237C5F" w:rsidP="004C5068">
            <w:pPr>
              <w:spacing w:line="240" w:lineRule="auto"/>
              <w:ind w:firstLine="0"/>
              <w:jc w:val="center"/>
              <w:rPr>
                <w:rFonts w:ascii="Verdana" w:eastAsia="Times New Roman" w:hAnsi="Verdana" w:cs="Times New Roman"/>
                <w:b/>
                <w:bCs/>
                <w:color w:val="000000"/>
                <w:sz w:val="17"/>
                <w:szCs w:val="17"/>
              </w:rPr>
            </w:pPr>
            <w:r w:rsidRPr="00BC081A">
              <w:rPr>
                <w:rFonts w:ascii="Verdana" w:eastAsia="Times New Roman" w:hAnsi="Verdana" w:cs="Times New Roman"/>
                <w:b/>
                <w:bCs/>
                <w:color w:val="000000"/>
                <w:sz w:val="17"/>
                <w:szCs w:val="17"/>
              </w:rPr>
              <w:t>SA</w:t>
            </w:r>
          </w:p>
        </w:tc>
        <w:tc>
          <w:tcPr>
            <w:tcW w:w="969" w:type="dxa"/>
            <w:vAlign w:val="center"/>
          </w:tcPr>
          <w:p w14:paraId="28314CB5" w14:textId="408477F8" w:rsidR="00237C5F" w:rsidRPr="00BC081A" w:rsidRDefault="00237C5F" w:rsidP="00237C5F">
            <w:pPr>
              <w:pStyle w:val="TableContext"/>
              <w:rPr>
                <w:rFonts w:ascii="Verdana" w:hAnsi="Verdana"/>
                <w:sz w:val="17"/>
                <w:szCs w:val="17"/>
                <w:lang w:val="en-CA"/>
              </w:rPr>
            </w:pPr>
            <w:r w:rsidRPr="00BC081A">
              <w:rPr>
                <w:lang w:val="en-CA"/>
              </w:rPr>
              <w:t>0.019</w:t>
            </w:r>
          </w:p>
        </w:tc>
        <w:tc>
          <w:tcPr>
            <w:tcW w:w="848" w:type="dxa"/>
            <w:shd w:val="clear" w:color="auto" w:fill="auto"/>
            <w:vAlign w:val="center"/>
            <w:hideMark/>
          </w:tcPr>
          <w:p w14:paraId="34F97856" w14:textId="541C14C3" w:rsidR="00237C5F" w:rsidRPr="00BC081A" w:rsidRDefault="00237C5F" w:rsidP="00237C5F">
            <w:pPr>
              <w:pStyle w:val="TableContext"/>
              <w:rPr>
                <w:rFonts w:ascii="Verdana" w:hAnsi="Verdana"/>
                <w:sz w:val="17"/>
                <w:szCs w:val="17"/>
                <w:lang w:val="en-CA"/>
              </w:rPr>
            </w:pPr>
            <w:r w:rsidRPr="00BC081A">
              <w:rPr>
                <w:lang w:val="en-CA"/>
              </w:rPr>
              <w:t>0.171</w:t>
            </w:r>
          </w:p>
        </w:tc>
        <w:tc>
          <w:tcPr>
            <w:tcW w:w="810" w:type="dxa"/>
            <w:shd w:val="clear" w:color="auto" w:fill="auto"/>
            <w:vAlign w:val="center"/>
            <w:hideMark/>
          </w:tcPr>
          <w:p w14:paraId="618A390E" w14:textId="1490AF46" w:rsidR="00237C5F" w:rsidRPr="00BC081A" w:rsidRDefault="00237C5F" w:rsidP="00237C5F">
            <w:pPr>
              <w:pStyle w:val="TableContext"/>
              <w:rPr>
                <w:rFonts w:ascii="Verdana" w:hAnsi="Verdana"/>
                <w:sz w:val="17"/>
                <w:szCs w:val="17"/>
                <w:lang w:val="en-CA"/>
              </w:rPr>
            </w:pPr>
            <w:r w:rsidRPr="00BC081A">
              <w:rPr>
                <w:lang w:val="en-CA"/>
              </w:rPr>
              <w:t>0.145</w:t>
            </w:r>
          </w:p>
        </w:tc>
        <w:tc>
          <w:tcPr>
            <w:tcW w:w="934" w:type="dxa"/>
            <w:shd w:val="clear" w:color="auto" w:fill="auto"/>
            <w:vAlign w:val="center"/>
            <w:hideMark/>
          </w:tcPr>
          <w:p w14:paraId="0EBBC8AC" w14:textId="7C6050AA" w:rsidR="00237C5F" w:rsidRPr="00BC081A" w:rsidRDefault="00237C5F" w:rsidP="00237C5F">
            <w:pPr>
              <w:pStyle w:val="TableContext"/>
              <w:rPr>
                <w:rFonts w:ascii="Verdana" w:hAnsi="Verdana"/>
                <w:sz w:val="17"/>
                <w:szCs w:val="17"/>
                <w:lang w:val="en-CA"/>
              </w:rPr>
            </w:pPr>
            <w:r w:rsidRPr="00BC081A">
              <w:rPr>
                <w:lang w:val="en-CA"/>
              </w:rPr>
              <w:t>0.367</w:t>
            </w:r>
          </w:p>
        </w:tc>
        <w:tc>
          <w:tcPr>
            <w:tcW w:w="890" w:type="dxa"/>
            <w:shd w:val="clear" w:color="auto" w:fill="auto"/>
            <w:vAlign w:val="center"/>
            <w:hideMark/>
          </w:tcPr>
          <w:p w14:paraId="550E2841" w14:textId="5A4B8179" w:rsidR="00237C5F" w:rsidRPr="00BC081A" w:rsidRDefault="00237C5F" w:rsidP="00237C5F">
            <w:pPr>
              <w:pStyle w:val="TableContext"/>
              <w:rPr>
                <w:rFonts w:ascii="Verdana" w:hAnsi="Verdana"/>
                <w:sz w:val="17"/>
                <w:szCs w:val="17"/>
                <w:lang w:val="en-CA"/>
              </w:rPr>
            </w:pPr>
            <w:r w:rsidRPr="00BC081A">
              <w:rPr>
                <w:lang w:val="en-CA"/>
              </w:rPr>
              <w:t>0.481</w:t>
            </w:r>
          </w:p>
        </w:tc>
        <w:tc>
          <w:tcPr>
            <w:tcW w:w="764" w:type="dxa"/>
            <w:shd w:val="clear" w:color="auto" w:fill="auto"/>
            <w:vAlign w:val="center"/>
            <w:hideMark/>
          </w:tcPr>
          <w:p w14:paraId="1B2B212E" w14:textId="52A97982" w:rsidR="00237C5F" w:rsidRPr="00BC081A" w:rsidRDefault="00237C5F" w:rsidP="00237C5F">
            <w:pPr>
              <w:pStyle w:val="TableContext"/>
              <w:rPr>
                <w:rFonts w:ascii="Verdana" w:hAnsi="Verdana"/>
                <w:sz w:val="17"/>
                <w:szCs w:val="17"/>
                <w:lang w:val="en-CA"/>
              </w:rPr>
            </w:pPr>
            <w:r w:rsidRPr="00BC081A">
              <w:rPr>
                <w:lang w:val="en-CA"/>
              </w:rPr>
              <w:t>0.636</w:t>
            </w:r>
          </w:p>
        </w:tc>
        <w:tc>
          <w:tcPr>
            <w:tcW w:w="764" w:type="dxa"/>
            <w:shd w:val="clear" w:color="auto" w:fill="auto"/>
            <w:vAlign w:val="center"/>
            <w:hideMark/>
          </w:tcPr>
          <w:p w14:paraId="24C86670" w14:textId="6071E6AC" w:rsidR="00237C5F" w:rsidRPr="00BC081A" w:rsidRDefault="00237C5F" w:rsidP="00237C5F">
            <w:pPr>
              <w:pStyle w:val="TableContext"/>
              <w:rPr>
                <w:rFonts w:ascii="Verdana" w:hAnsi="Verdana"/>
                <w:sz w:val="17"/>
                <w:szCs w:val="17"/>
                <w:lang w:val="en-CA"/>
              </w:rPr>
            </w:pPr>
            <w:r w:rsidRPr="00BC081A">
              <w:rPr>
                <w:lang w:val="en-CA"/>
              </w:rPr>
              <w:t>0.304</w:t>
            </w:r>
          </w:p>
        </w:tc>
        <w:tc>
          <w:tcPr>
            <w:tcW w:w="761" w:type="dxa"/>
            <w:shd w:val="clear" w:color="auto" w:fill="auto"/>
            <w:vAlign w:val="center"/>
            <w:hideMark/>
          </w:tcPr>
          <w:p w14:paraId="370EAD88" w14:textId="7F676893" w:rsidR="00237C5F" w:rsidRPr="00BC081A" w:rsidRDefault="00F07CC7" w:rsidP="00237C5F">
            <w:pPr>
              <w:pStyle w:val="TableContext"/>
              <w:rPr>
                <w:rFonts w:ascii="Verdana" w:hAnsi="Verdana"/>
                <w:sz w:val="17"/>
                <w:szCs w:val="17"/>
                <w:lang w:val="en-CA"/>
              </w:rPr>
            </w:pPr>
            <w:r w:rsidRPr="00BC081A">
              <w:rPr>
                <w:lang w:val="en-CA"/>
              </w:rPr>
              <w:t>0.672</w:t>
            </w:r>
          </w:p>
        </w:tc>
        <w:tc>
          <w:tcPr>
            <w:tcW w:w="761" w:type="dxa"/>
            <w:shd w:val="clear" w:color="auto" w:fill="auto"/>
            <w:vAlign w:val="center"/>
            <w:hideMark/>
          </w:tcPr>
          <w:p w14:paraId="492401E3" w14:textId="6803FA30" w:rsidR="00237C5F" w:rsidRPr="00BC081A" w:rsidRDefault="00237C5F" w:rsidP="00237C5F">
            <w:pPr>
              <w:pStyle w:val="TableContext"/>
              <w:rPr>
                <w:lang w:val="en-CA"/>
              </w:rPr>
            </w:pPr>
            <w:r w:rsidRPr="00BC081A">
              <w:rPr>
                <w:lang w:val="en-CA"/>
              </w:rPr>
              <w:t>0.385</w:t>
            </w:r>
          </w:p>
        </w:tc>
        <w:tc>
          <w:tcPr>
            <w:tcW w:w="761" w:type="dxa"/>
            <w:shd w:val="clear" w:color="auto" w:fill="auto"/>
            <w:vAlign w:val="center"/>
            <w:hideMark/>
          </w:tcPr>
          <w:p w14:paraId="0569463F" w14:textId="77777777" w:rsidR="00237C5F" w:rsidRPr="00BC081A" w:rsidRDefault="00237C5F" w:rsidP="00237C5F">
            <w:pPr>
              <w:pStyle w:val="TableContext"/>
              <w:rPr>
                <w:rFonts w:ascii="Verdana" w:hAnsi="Verdana"/>
                <w:b/>
                <w:sz w:val="17"/>
                <w:szCs w:val="17"/>
                <w:lang w:val="en-CA"/>
              </w:rPr>
            </w:pPr>
            <w:r w:rsidRPr="00BC081A">
              <w:rPr>
                <w:rFonts w:ascii="Verdana" w:hAnsi="Verdana"/>
                <w:b/>
                <w:sz w:val="17"/>
                <w:szCs w:val="17"/>
                <w:lang w:val="en-CA"/>
              </w:rPr>
              <w:t>0.959</w:t>
            </w:r>
          </w:p>
        </w:tc>
      </w:tr>
    </w:tbl>
    <w:p w14:paraId="76B80378" w14:textId="77777777" w:rsidR="004C5068" w:rsidRPr="00BC081A" w:rsidRDefault="004C5068" w:rsidP="0017788B"/>
    <w:p w14:paraId="1DA2EBA4" w14:textId="5E28F6E0" w:rsidR="00F31C95" w:rsidRPr="00BC081A" w:rsidRDefault="00F31C95" w:rsidP="00162C73">
      <w:r w:rsidRPr="00BC081A">
        <w:t xml:space="preserve">Lastly, the variables in the model should have no </w:t>
      </w:r>
      <w:r w:rsidR="002644B5">
        <w:t>multicollinearity</w:t>
      </w:r>
      <w:r w:rsidR="00B31BF7" w:rsidRPr="00BC081A">
        <w:t xml:space="preserve">, which arises from having exogenous variables in the model that are highly correlated. </w:t>
      </w:r>
      <w:r w:rsidR="002644B5">
        <w:t>M</w:t>
      </w:r>
      <w:r w:rsidR="002644B5" w:rsidRPr="002644B5">
        <w:t xml:space="preserve">ulticollinearity </w:t>
      </w:r>
      <w:r w:rsidR="00432150" w:rsidRPr="00BC081A">
        <w:t xml:space="preserve">shows that two variables are “highly confounded with one another” and simply they measure the same phenomenon, or it becomes impossible to identify the effect of one versus the other </w:t>
      </w:r>
      <w:r w:rsidR="00432150" w:rsidRPr="00BC081A">
        <w:fldChar w:fldCharType="begin" w:fldLock="1"/>
      </w:r>
      <w:r w:rsidR="00AC1F7D">
        <w:instrText>ADDIN CSL_CITATION { "citationItems" : [ { "id" : "ITEM-1", "itemData" : { "author" : [ { "dropping-particle" : "", "family" : "Meyers", "given" : "L S", "non-dropping-particle" : "", "parse-names" : false, "suffix" : "" }, { "dropping-particle" : "", "family" : "Gamst", "given" : "G", "non-dropping-particle" : "", "parse-names" : false, "suffix" : "" }, { "dropping-particle" : "", "family" : "Guarino", "given" : "A J", "non-dropping-particle" : "", "parse-names" : false, "suffix" : "" } ], "id" : "ITEM-1", "issued" : { "date-parts" : [ [ "2006" ] ] }, "publisher" : "Sage Publications, Inc", "title" : "Applied multivariate research: Design and interpretation", "type" : "book" }, "uris" : [ "http://www.mendeley.com/documents/?uuid=9ed9231d-b46c-4c7f-8468-34fcced506cb" ] } ], "mendeley" : { "previouslyFormattedCitation" : "(Meyers et al., 2006)" }, "properties" : { "noteIndex" : 0 }, "schema" : "https://github.com/citation-style-language/schema/raw/master/csl-citation.json" }</w:instrText>
      </w:r>
      <w:r w:rsidR="00432150" w:rsidRPr="00BC081A">
        <w:fldChar w:fldCharType="separate"/>
      </w:r>
      <w:r w:rsidR="00432150" w:rsidRPr="00BC081A">
        <w:rPr>
          <w:noProof/>
        </w:rPr>
        <w:t>(Meyers et al., 2006)</w:t>
      </w:r>
      <w:r w:rsidR="00432150" w:rsidRPr="00BC081A">
        <w:fldChar w:fldCharType="end"/>
      </w:r>
      <w:r w:rsidR="00432150" w:rsidRPr="00BC081A">
        <w:t xml:space="preserve">. </w:t>
      </w:r>
      <w:r w:rsidR="00F77C56">
        <w:t xml:space="preserve">Existence of </w:t>
      </w:r>
      <w:r w:rsidR="002644B5" w:rsidRPr="002644B5">
        <w:t xml:space="preserve">multicollinearity </w:t>
      </w:r>
      <w:r w:rsidR="00B31BF7" w:rsidRPr="00BC081A">
        <w:t xml:space="preserve">is a problem </w:t>
      </w:r>
      <w:r w:rsidR="00F77C56">
        <w:t xml:space="preserve">in </w:t>
      </w:r>
      <w:r w:rsidR="00B31BF7" w:rsidRPr="00BC081A">
        <w:t xml:space="preserve">SEM </w:t>
      </w:r>
      <w:r w:rsidR="00F77C56">
        <w:t>due to</w:t>
      </w:r>
      <w:r w:rsidR="00734AF8">
        <w:t xml:space="preserve"> the increase</w:t>
      </w:r>
      <w:r w:rsidR="00B31BF7" w:rsidRPr="00BC081A">
        <w:t xml:space="preserve"> </w:t>
      </w:r>
      <w:r w:rsidR="00734AF8">
        <w:t xml:space="preserve">in the effect of independent variables on one another, making </w:t>
      </w:r>
      <w:r w:rsidR="00E801EB" w:rsidRPr="00BC081A">
        <w:t xml:space="preserve">the interpretation of the </w:t>
      </w:r>
      <w:proofErr w:type="spellStart"/>
      <w:r w:rsidR="00E801EB" w:rsidRPr="00BC081A">
        <w:rPr>
          <w:i/>
        </w:rPr>
        <w:t>variate</w:t>
      </w:r>
      <w:proofErr w:type="spellEnd"/>
      <w:r w:rsidR="00E801EB" w:rsidRPr="00BC081A">
        <w:rPr>
          <w:i/>
        </w:rPr>
        <w:t xml:space="preserve"> </w:t>
      </w:r>
      <w:r w:rsidR="00E801EB" w:rsidRPr="00BC081A">
        <w:t>in the model</w:t>
      </w:r>
      <w:r w:rsidR="00821993">
        <w:t xml:space="preserve"> and identifying the effect of a single variable</w:t>
      </w:r>
      <w:r w:rsidR="00E801EB" w:rsidRPr="00BC081A">
        <w:t xml:space="preserve"> more complicated </w:t>
      </w:r>
      <w:r w:rsidR="00B31BF7" w:rsidRPr="00BC081A">
        <w:fldChar w:fldCharType="begin" w:fldLock="1"/>
      </w:r>
      <w:r w:rsidR="00AC1F7D">
        <w:instrText>ADDIN CSL_CITATION { "citationItems" : [ { "id" : "ITEM-1", "itemData" : { "author" : [ { "dropping-particle" : "", "family" : "Hair", "given" : "J. F.", "non-dropping-particle" : "", "parse-names" : false, "suffix" : "" }, { "dropping-particle" : "", "family" : "Black", "given" : "W. C.", "non-dropping-particle" : "", "parse-names" : false, "suffix" : "" }, { "dropping-particle" : "", "family" : "Babin", "given" : "B. J.", "non-dropping-particle" : "", "parse-names" : false, "suffix" : "" }, { "dropping-particle" : "", "family" : "Anderson", "given" : "R. E.", "non-dropping-particle" : "", "parse-names" : false, "suffix" : "" } ], "id" : "ITEM-1", "issued" : { "date-parts" : [ [ "2009" ] ] }, "title" : "Multivariate data analysis", "type" : "book" }, "uris" : [ "http://www.mendeley.com/documents/?uuid=bcf38d16-ab35-456d-8d9e-7066442daca2" ] } ], "mendeley" : { "previouslyFormattedCitation" : "(Hair, Black, Babin, &amp; Anderson, 2009)" }, "properties" : { "noteIndex" : 0 }, "schema" : "https://github.com/citation-style-language/schema/raw/master/csl-citation.json" }</w:instrText>
      </w:r>
      <w:r w:rsidR="00B31BF7" w:rsidRPr="00BC081A">
        <w:fldChar w:fldCharType="separate"/>
      </w:r>
      <w:r w:rsidR="006B1A0C" w:rsidRPr="00BC081A">
        <w:rPr>
          <w:noProof/>
        </w:rPr>
        <w:t>(Hair, Black, Babin, &amp; Anderson, 2009)</w:t>
      </w:r>
      <w:r w:rsidR="00B31BF7" w:rsidRPr="00BC081A">
        <w:fldChar w:fldCharType="end"/>
      </w:r>
      <w:r w:rsidR="00B31BF7" w:rsidRPr="00BC081A">
        <w:t xml:space="preserve">. </w:t>
      </w:r>
      <w:r w:rsidRPr="00BC081A">
        <w:t xml:space="preserve">To check for </w:t>
      </w:r>
      <w:r w:rsidR="002644B5" w:rsidRPr="002644B5">
        <w:t>multicollinearity</w:t>
      </w:r>
      <w:r w:rsidR="00035597" w:rsidRPr="00BC081A">
        <w:t xml:space="preserve">, three tests were conducted: 1) </w:t>
      </w:r>
      <w:r w:rsidR="0013470A" w:rsidRPr="00BC081A">
        <w:t xml:space="preserve">test of </w:t>
      </w:r>
      <w:r w:rsidR="001D68BE">
        <w:t xml:space="preserve">the </w:t>
      </w:r>
      <w:r w:rsidR="0013470A" w:rsidRPr="00BC081A">
        <w:t xml:space="preserve">correlation matrix, 2) test of </w:t>
      </w:r>
      <w:r w:rsidR="001D68BE">
        <w:t xml:space="preserve">the </w:t>
      </w:r>
      <w:r w:rsidR="0013470A" w:rsidRPr="00BC081A">
        <w:t xml:space="preserve">condition index, and 3) test of </w:t>
      </w:r>
      <w:r w:rsidR="001D68BE">
        <w:t xml:space="preserve">the </w:t>
      </w:r>
      <w:r w:rsidR="0013470A" w:rsidRPr="00BC081A">
        <w:t xml:space="preserve">Variance Inflation Factor (VIF). </w:t>
      </w:r>
      <w:r w:rsidR="00125836" w:rsidRPr="00BC081A">
        <w:t>First, checking the correlation table matrix (</w:t>
      </w:r>
      <w:r w:rsidR="00125836" w:rsidRPr="00BC081A">
        <w:fldChar w:fldCharType="begin"/>
      </w:r>
      <w:r w:rsidR="00125836" w:rsidRPr="00BC081A">
        <w:instrText xml:space="preserve"> REF _Ref267337376 \h </w:instrText>
      </w:r>
      <w:r w:rsidR="00125836" w:rsidRPr="00BC081A">
        <w:fldChar w:fldCharType="separate"/>
      </w:r>
      <w:r w:rsidR="008C71FB" w:rsidRPr="00BC081A">
        <w:t xml:space="preserve">Table </w:t>
      </w:r>
      <w:r w:rsidR="008C71FB">
        <w:rPr>
          <w:noProof/>
        </w:rPr>
        <w:t>6</w:t>
      </w:r>
      <w:r w:rsidR="00125836" w:rsidRPr="00BC081A">
        <w:fldChar w:fldCharType="end"/>
      </w:r>
      <w:r w:rsidR="00125836" w:rsidRPr="00BC081A">
        <w:t xml:space="preserve">), it is evident that none of the constructs is highly correlated with another one as the correlations are all well below </w:t>
      </w:r>
      <w:r w:rsidR="001D68BE">
        <w:t xml:space="preserve">the </w:t>
      </w:r>
      <w:r w:rsidR="00125836" w:rsidRPr="00BC081A">
        <w:t xml:space="preserve">0.8 critical value </w:t>
      </w:r>
      <w:r w:rsidR="00125836" w:rsidRPr="00BC081A">
        <w:fldChar w:fldCharType="begin" w:fldLock="1"/>
      </w:r>
      <w:r w:rsidR="00AC1F7D">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"publisher" : "Allyn and Bacon Boston", "title" : "Using multivariate statistics", "type" : "article-journal" }, "uris" : [ "http://www.mendeley.com/documents/?uuid=ce1007d7-68d9-4815-aab0-d6c228bc1587" ] } ], "mendeley" : { "previouslyFormattedCitation" : "(Tabachnick &amp; Fidell, 2001)" }, "properties" : { "noteIndex" : 0 }, "schema" : "https://github.com/citation-style-language/schema/raw/master/csl-citation.json" }</w:instrText>
      </w:r>
      <w:r w:rsidR="00125836" w:rsidRPr="00BC081A">
        <w:fldChar w:fldCharType="separate"/>
      </w:r>
      <w:r w:rsidR="00162C73" w:rsidRPr="00BC081A">
        <w:rPr>
          <w:noProof/>
        </w:rPr>
        <w:t>(Tabachnick &amp; Fidell, 2001)</w:t>
      </w:r>
      <w:r w:rsidR="00125836" w:rsidRPr="00BC081A">
        <w:fldChar w:fldCharType="end"/>
      </w:r>
      <w:r w:rsidR="00125836" w:rsidRPr="00BC081A">
        <w:t xml:space="preserve">. </w:t>
      </w:r>
      <w:r w:rsidR="00124E90" w:rsidRPr="00BC081A">
        <w:t>Second, in SPSS, a simple multiple regression was conducted with all the variables in the model except satisfaction as independent variables and satisfaction as</w:t>
      </w:r>
      <w:r w:rsidR="001D68BE">
        <w:t xml:space="preserve"> the </w:t>
      </w:r>
      <w:r w:rsidR="00124E90" w:rsidRPr="00BC081A">
        <w:t>dependent</w:t>
      </w:r>
      <w:r w:rsidR="001D68BE">
        <w:t xml:space="preserve"> variable</w:t>
      </w:r>
      <w:r w:rsidR="00124E90" w:rsidRPr="00BC081A">
        <w:t xml:space="preserve">. </w:t>
      </w:r>
      <w:r w:rsidR="00AE743D" w:rsidRPr="00BC081A">
        <w:t xml:space="preserve">The results of </w:t>
      </w:r>
      <w:r w:rsidR="002644B5">
        <w:t>multicollinearity</w:t>
      </w:r>
      <w:r w:rsidR="00AE743D" w:rsidRPr="00BC081A">
        <w:t xml:space="preserve"> test in SPSS show that all condition indices were below </w:t>
      </w:r>
      <w:r w:rsidR="001D68BE">
        <w:t xml:space="preserve">the </w:t>
      </w:r>
      <w:r w:rsidR="00AE743D" w:rsidRPr="00BC081A">
        <w:t>30 critical value</w:t>
      </w:r>
      <w:r w:rsidR="003E795F">
        <w:t xml:space="preserve"> </w:t>
      </w:r>
      <w:r w:rsidR="003E795F">
        <w:fldChar w:fldCharType="begin" w:fldLock="1"/>
      </w:r>
      <w:r w:rsidR="00AC1F7D">
        <w:instrText>ADDIN CSL_CITATION { "citationItems" : [ { "id" : "ITEM-1", "itemData" : { "author" : [ { "dropping-particle" : "", "family" : "Pedhazur", "given" : "E J", "non-dropping-particle" : "", "parse-names" : false, "suffix" : "" } ], "id" : "ITEM-1", "issued" : { "date-parts" : [ [ "1997" ] ] }, "publisher" : "Holt, Rinehart and Winston", "title" : "Multiple regression in behavioral research: Explanation and prediction", "type" : "article-journal" }, "uris" : [ "http://www.mendeley.com/documents/?uuid=8cd5f482-d8db-4015-8f9c-8c8dcb4e7e3d" ] } ], "mendeley" : { "previouslyFormattedCitation" : "(Pedhazur, 1997)" }, "properties" : { "noteIndex" : 0 }, "schema" : "https://github.com/citation-style-language/schema/raw/master/csl-citation.json" }</w:instrText>
      </w:r>
      <w:r w:rsidR="003E795F">
        <w:fldChar w:fldCharType="separate"/>
      </w:r>
      <w:r w:rsidR="003E795F" w:rsidRPr="003E795F">
        <w:rPr>
          <w:noProof/>
        </w:rPr>
        <w:t>(Pedhazur, 1997)</w:t>
      </w:r>
      <w:r w:rsidR="003E795F">
        <w:fldChar w:fldCharType="end"/>
      </w:r>
      <w:r w:rsidR="00AE743D" w:rsidRPr="00BC081A">
        <w:t xml:space="preserve">, except the last dimension, which had variance of more than 0.5 for only one variable (constant value). This further shows the lack of </w:t>
      </w:r>
      <w:r w:rsidR="002644B5">
        <w:lastRenderedPageBreak/>
        <w:t>multicollinearity</w:t>
      </w:r>
      <w:r w:rsidR="00AE743D" w:rsidRPr="00BC081A">
        <w:t xml:space="preserve"> as criteria for </w:t>
      </w:r>
      <w:r w:rsidR="00162C73" w:rsidRPr="00BC081A">
        <w:t xml:space="preserve">diagnosing </w:t>
      </w:r>
      <w:r w:rsidR="002644B5">
        <w:t>multicollinearity</w:t>
      </w:r>
      <w:r w:rsidR="00162C73" w:rsidRPr="00BC081A">
        <w:t xml:space="preserve"> is to have condition index of higher than 30 for one dimension “coupled with variance proportions greater than .50 for at least two different variables” </w:t>
      </w:r>
      <w:r w:rsidR="00162C73" w:rsidRPr="00BC081A">
        <w:fldChar w:fldCharType="begin" w:fldLock="1"/>
      </w:r>
      <w:r w:rsidR="00AC1F7D">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"publisher" : "Allyn and Bacon Boston", "title" : "Using multivariate statistics", "type" : "article-journal" }, "locator" : "91", "uris" : [ "http://www.mendeley.com/documents/?uuid=ce1007d7-68d9-4815-aab0-d6c228bc1587" ] } ], "mendeley" : { "previouslyFormattedCitation" : "(Tabachnick &amp; Fidell, 2001, p. 91)" }, "properties" : { "noteIndex" : 0 }, "schema" : "https://github.com/citation-style-language/schema/raw/master/csl-citation.json" }</w:instrText>
      </w:r>
      <w:r w:rsidR="00162C73" w:rsidRPr="00BC081A">
        <w:fldChar w:fldCharType="separate"/>
      </w:r>
      <w:r w:rsidR="00162C73" w:rsidRPr="00BC081A">
        <w:rPr>
          <w:noProof/>
        </w:rPr>
        <w:t>(Tabachnick &amp; Fidell, 2001, p. 91)</w:t>
      </w:r>
      <w:r w:rsidR="00162C73" w:rsidRPr="00BC081A">
        <w:fldChar w:fldCharType="end"/>
      </w:r>
      <w:r w:rsidR="00162C73" w:rsidRPr="00BC081A">
        <w:t>.</w:t>
      </w:r>
      <w:r w:rsidR="00AC5E2E" w:rsidRPr="00BC081A">
        <w:t xml:space="preserve"> </w:t>
      </w:r>
      <w:r w:rsidR="00B60B95">
        <w:t>F</w:t>
      </w:r>
      <w:r w:rsidR="001D68BE">
        <w:t>inally</w:t>
      </w:r>
      <w:r w:rsidR="00AC5E2E" w:rsidRPr="00BC081A">
        <w:t xml:space="preserve">, to test </w:t>
      </w:r>
      <w:r w:rsidR="002644B5">
        <w:t>multicollinearity</w:t>
      </w:r>
      <w:r w:rsidR="00AC5E2E" w:rsidRPr="00BC081A">
        <w:t xml:space="preserve">, VIF and </w:t>
      </w:r>
      <w:r w:rsidR="004500C9" w:rsidRPr="00BC081A">
        <w:t xml:space="preserve">Tolerance values of the multiple </w:t>
      </w:r>
      <w:proofErr w:type="gramStart"/>
      <w:r w:rsidR="004500C9" w:rsidRPr="00BC081A">
        <w:t>regression</w:t>
      </w:r>
      <w:proofErr w:type="gramEnd"/>
      <w:r w:rsidR="004500C9" w:rsidRPr="00BC081A">
        <w:t xml:space="preserve"> conducted in </w:t>
      </w:r>
      <w:r w:rsidR="001D68BE">
        <w:t xml:space="preserve">the </w:t>
      </w:r>
      <w:r w:rsidR="004500C9" w:rsidRPr="00BC081A">
        <w:t xml:space="preserve">previous test were evaluated. </w:t>
      </w:r>
      <w:r w:rsidR="0059628C" w:rsidRPr="00BC081A">
        <w:t>Scholars define 0.1 and lower for tolerance values and 10 or greater for VIF</w:t>
      </w:r>
      <w:r w:rsidR="001D68BE">
        <w:t xml:space="preserve"> values </w:t>
      </w:r>
      <w:r w:rsidR="0059628C" w:rsidRPr="00BC081A">
        <w:t xml:space="preserve">as signs of </w:t>
      </w:r>
      <w:r w:rsidR="002644B5">
        <w:t>multicollinearity</w:t>
      </w:r>
      <w:r w:rsidR="0059628C" w:rsidRPr="00BC081A">
        <w:t xml:space="preserve"> issue </w:t>
      </w:r>
      <w:r w:rsidR="0059628C" w:rsidRPr="00BC081A">
        <w:fldChar w:fldCharType="begin" w:fldLock="1"/>
      </w:r>
      <w:r w:rsidR="00AC1F7D">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"publisher" : "Allyn and Bacon Boston", "title" : "Using multivariate statistics", "type" : "article-journal" }, "uris" : [ "http://www.mendeley.com/documents/?uuid=ce1007d7-68d9-4815-aab0-d6c228bc1587" ] }, { "id" : "ITEM-2", "itemData" : { "author" : [ { "dropping-particle" : "", "family" : "Stevens", "given" : "James P", "non-dropping-particle" : "", "parse-names" : false, "suffix" : "" } ], "id" : "ITEM-2", "issued" : { "date-parts" : [ [ "2012" ] ] }, "publisher" : "Routledge", "title" : "Applied multivariate statistics for the social sciences", "type" : "book" }, "uris" : [ "http://www.mendeley.com/documents/?uuid=e0a12b03-3ef7-4edb-b445-87abaecec5b3" ] } ], "mendeley" : { "previouslyFormattedCitation" : "(Stevens, 2012; Tabachnick &amp; Fidell, 2001)" }, "properties" : { "noteIndex" : 0 }, "schema" : "https://github.com/citation-style-language/schema/raw/master/csl-citation.json" }</w:instrText>
      </w:r>
      <w:r w:rsidR="0059628C" w:rsidRPr="00BC081A">
        <w:fldChar w:fldCharType="separate"/>
      </w:r>
      <w:r w:rsidR="00EF0155" w:rsidRPr="00BC081A">
        <w:rPr>
          <w:noProof/>
        </w:rPr>
        <w:t>(Stevens, 2012; Tabachnick &amp; Fidell, 2001)</w:t>
      </w:r>
      <w:r w:rsidR="0059628C" w:rsidRPr="00BC081A">
        <w:fldChar w:fldCharType="end"/>
      </w:r>
      <w:r w:rsidR="00EF0155" w:rsidRPr="00BC081A">
        <w:t xml:space="preserve">. </w:t>
      </w:r>
      <w:r w:rsidR="001D68BE">
        <w:t>A</w:t>
      </w:r>
      <w:r w:rsidR="00EF0155" w:rsidRPr="00BC081A">
        <w:t xml:space="preserve">ll of the model’s tolerance values are well above 0.1 and VIFs are all smaller than 3 (well below 10 critical value), also showing that the variables have no </w:t>
      </w:r>
      <w:r w:rsidR="002644B5">
        <w:t>multicollinearity</w:t>
      </w:r>
      <w:r w:rsidR="00EF0155" w:rsidRPr="00BC081A">
        <w:t xml:space="preserve"> problem. </w:t>
      </w:r>
    </w:p>
    <w:p w14:paraId="1D40F6D5" w14:textId="156721D7" w:rsidR="006359AB" w:rsidRPr="00BC081A" w:rsidRDefault="006359AB" w:rsidP="006359AB">
      <w:pPr>
        <w:pStyle w:val="Heading3"/>
      </w:pPr>
      <w:bookmarkStart w:id="81" w:name="_Toc275209836"/>
      <w:r w:rsidRPr="00BC081A">
        <w:t>The Structural Model Evaluation</w:t>
      </w:r>
      <w:bookmarkEnd w:id="81"/>
    </w:p>
    <w:p w14:paraId="137B1485" w14:textId="7B4BBB3A" w:rsidR="00BF0159" w:rsidRPr="00BC081A" w:rsidRDefault="00BE77CB" w:rsidP="006359AB">
      <w:proofErr w:type="spellStart"/>
      <w:r w:rsidRPr="00BC081A">
        <w:t>SmartPLS</w:t>
      </w:r>
      <w:proofErr w:type="spellEnd"/>
      <w:r w:rsidRPr="00BC081A">
        <w:t xml:space="preserve"> was used to test the structural equation model</w:t>
      </w:r>
      <w:r w:rsidR="004F3D52" w:rsidRPr="00BC081A">
        <w:t xml:space="preserve"> using the cross-</w:t>
      </w:r>
      <w:r w:rsidR="007C7A4C" w:rsidRPr="00BC081A">
        <w:t xml:space="preserve">sectional data gathered throughout </w:t>
      </w:r>
      <w:r w:rsidR="004F3D52" w:rsidRPr="00BC081A">
        <w:t>experiments</w:t>
      </w:r>
      <w:r w:rsidRPr="00BC081A">
        <w:t xml:space="preserve">. The results of the PLS analysis is presented in </w:t>
      </w:r>
      <w:r w:rsidR="00781FBB" w:rsidRPr="00BC081A">
        <w:fldChar w:fldCharType="begin"/>
      </w:r>
      <w:r w:rsidR="00781FBB" w:rsidRPr="00BC081A">
        <w:instrText xml:space="preserve"> REF _Ref267345168 \h </w:instrText>
      </w:r>
      <w:r w:rsidR="00781FBB" w:rsidRPr="00BC081A">
        <w:fldChar w:fldCharType="separate"/>
      </w:r>
      <w:r w:rsidR="008C71FB" w:rsidRPr="00C80442">
        <w:rPr>
          <w:b/>
        </w:rPr>
        <w:t xml:space="preserve">Figure </w:t>
      </w:r>
      <w:r w:rsidR="008C71FB">
        <w:rPr>
          <w:b/>
          <w:noProof/>
        </w:rPr>
        <w:t>11</w:t>
      </w:r>
      <w:r w:rsidR="00781FBB" w:rsidRPr="00BC081A">
        <w:fldChar w:fldCharType="end"/>
      </w:r>
      <w:r w:rsidR="00781FBB" w:rsidRPr="00BC081A">
        <w:t>.</w:t>
      </w:r>
      <w:r w:rsidR="00636D83" w:rsidRPr="00BC081A">
        <w:t xml:space="preserve"> The level of significance for each relationship is calculated based on the t-statistics of bootstrapping process with 500 resampling cases. </w:t>
      </w:r>
    </w:p>
    <w:p w14:paraId="3026E8A3" w14:textId="2233BB0B" w:rsidR="00BE77CB" w:rsidRPr="00BC081A" w:rsidRDefault="004A4E64" w:rsidP="004A4E64">
      <w:pPr>
        <w:keepNext/>
        <w:ind w:firstLine="0"/>
        <w:jc w:val="center"/>
      </w:pPr>
      <w:r w:rsidRPr="00BC081A">
        <w:rPr>
          <w:noProof/>
          <w:lang w:val="en-US"/>
        </w:rPr>
        <w:drawing>
          <wp:inline distT="0" distB="0" distL="0" distR="0" wp14:anchorId="7C30EF79" wp14:editId="15679636">
            <wp:extent cx="6096000" cy="2400300"/>
            <wp:effectExtent l="0" t="0" r="0" b="1270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7737" cy="2400984"/>
                    </a:xfrm>
                    <a:prstGeom prst="rect">
                      <a:avLst/>
                    </a:prstGeom>
                    <a:noFill/>
                    <a:ln>
                      <a:noFill/>
                    </a:ln>
                  </pic:spPr>
                </pic:pic>
              </a:graphicData>
            </a:graphic>
          </wp:inline>
        </w:drawing>
      </w:r>
    </w:p>
    <w:p w14:paraId="79833E44" w14:textId="77777777" w:rsidR="00D8702B" w:rsidRPr="00C80442" w:rsidRDefault="00BE77CB" w:rsidP="00BE77CB">
      <w:pPr>
        <w:pStyle w:val="Figure"/>
        <w:rPr>
          <w:b w:val="0"/>
          <w:lang w:val="en-CA"/>
        </w:rPr>
      </w:pPr>
      <w:bookmarkStart w:id="82" w:name="_Ref267345168"/>
      <w:bookmarkStart w:id="83" w:name="_Toc278912301"/>
      <w:r w:rsidRPr="00C80442">
        <w:rPr>
          <w:b w:val="0"/>
          <w:lang w:val="en-CA"/>
        </w:rPr>
        <w:t xml:space="preserve">Figure </w:t>
      </w:r>
      <w:r w:rsidRPr="00C80442">
        <w:rPr>
          <w:b w:val="0"/>
          <w:lang w:val="en-CA"/>
        </w:rPr>
        <w:fldChar w:fldCharType="begin"/>
      </w:r>
      <w:r w:rsidRPr="00C80442">
        <w:rPr>
          <w:b w:val="0"/>
          <w:lang w:val="en-CA"/>
        </w:rPr>
        <w:instrText xml:space="preserve"> SEQ Figure \* ARABIC </w:instrText>
      </w:r>
      <w:r w:rsidRPr="00C80442">
        <w:rPr>
          <w:b w:val="0"/>
          <w:lang w:val="en-CA"/>
        </w:rPr>
        <w:fldChar w:fldCharType="separate"/>
      </w:r>
      <w:r w:rsidR="008C71FB">
        <w:rPr>
          <w:b w:val="0"/>
          <w:lang w:val="en-CA"/>
        </w:rPr>
        <w:t>11</w:t>
      </w:r>
      <w:r w:rsidRPr="00C80442">
        <w:rPr>
          <w:b w:val="0"/>
          <w:lang w:val="en-CA"/>
        </w:rPr>
        <w:fldChar w:fldCharType="end"/>
      </w:r>
      <w:bookmarkEnd w:id="82"/>
      <w:r w:rsidRPr="00C80442">
        <w:rPr>
          <w:b w:val="0"/>
          <w:lang w:val="en-CA"/>
        </w:rPr>
        <w:t xml:space="preserve"> – Result of PLS Analysis of the Proposed Structural Equation Model</w:t>
      </w:r>
      <w:bookmarkEnd w:id="83"/>
      <w:r w:rsidR="00D8702B" w:rsidRPr="00C80442">
        <w:rPr>
          <w:b w:val="0"/>
          <w:lang w:val="en-CA"/>
        </w:rPr>
        <w:t xml:space="preserve"> </w:t>
      </w:r>
    </w:p>
    <w:p w14:paraId="5A74A38D" w14:textId="35F9337A" w:rsidR="00BE77CB" w:rsidRPr="00C80442" w:rsidRDefault="00D8702B" w:rsidP="00BE77CB">
      <w:pPr>
        <w:pStyle w:val="Figure"/>
        <w:rPr>
          <w:b w:val="0"/>
          <w:lang w:val="en-CA"/>
        </w:rPr>
      </w:pPr>
      <w:r w:rsidRPr="00C80442">
        <w:rPr>
          <w:b w:val="0"/>
          <w:vertAlign w:val="superscript"/>
          <w:lang w:val="en-CA"/>
        </w:rPr>
        <w:t>***</w:t>
      </w:r>
      <w:r w:rsidR="002F48DC" w:rsidRPr="00C80442">
        <w:rPr>
          <w:b w:val="0"/>
          <w:lang w:val="en-CA"/>
        </w:rPr>
        <w:t>: significant at p&lt;.00</w:t>
      </w:r>
      <w:r w:rsidRPr="00C80442">
        <w:rPr>
          <w:b w:val="0"/>
          <w:lang w:val="en-CA"/>
        </w:rPr>
        <w:t>1</w:t>
      </w:r>
    </w:p>
    <w:p w14:paraId="1488EA94" w14:textId="7D765349" w:rsidR="00D8702B" w:rsidRPr="00C80442" w:rsidRDefault="00D8702B" w:rsidP="00BE77CB">
      <w:pPr>
        <w:pStyle w:val="Figure"/>
        <w:rPr>
          <w:b w:val="0"/>
          <w:lang w:val="en-CA"/>
        </w:rPr>
      </w:pPr>
      <w:r w:rsidRPr="00C80442">
        <w:rPr>
          <w:b w:val="0"/>
          <w:vertAlign w:val="superscript"/>
          <w:lang w:val="en-CA"/>
        </w:rPr>
        <w:t>**</w:t>
      </w:r>
      <w:r w:rsidR="002F48DC" w:rsidRPr="00C80442">
        <w:rPr>
          <w:b w:val="0"/>
          <w:lang w:val="en-CA"/>
        </w:rPr>
        <w:t>: significant at p&lt;.</w:t>
      </w:r>
      <w:r w:rsidRPr="00C80442">
        <w:rPr>
          <w:b w:val="0"/>
          <w:lang w:val="en-CA"/>
        </w:rPr>
        <w:t>01</w:t>
      </w:r>
    </w:p>
    <w:p w14:paraId="7C7B175C" w14:textId="1D1A1C13" w:rsidR="00F712B9" w:rsidRPr="00C80442" w:rsidRDefault="00F712B9" w:rsidP="00BE77CB">
      <w:pPr>
        <w:pStyle w:val="Figure"/>
        <w:rPr>
          <w:b w:val="0"/>
          <w:lang w:val="en-CA"/>
        </w:rPr>
      </w:pPr>
      <w:r w:rsidRPr="00C80442">
        <w:rPr>
          <w:b w:val="0"/>
          <w:vertAlign w:val="superscript"/>
          <w:lang w:val="en-CA"/>
        </w:rPr>
        <w:t>*</w:t>
      </w:r>
      <w:r w:rsidRPr="00C80442">
        <w:rPr>
          <w:b w:val="0"/>
          <w:lang w:val="en-CA"/>
        </w:rPr>
        <w:t>: significant at p&lt;.05</w:t>
      </w:r>
    </w:p>
    <w:p w14:paraId="73E008CC" w14:textId="77777777" w:rsidR="00064139" w:rsidRPr="00BC081A" w:rsidRDefault="00064139" w:rsidP="00592466">
      <w:pPr>
        <w:ind w:firstLine="0"/>
      </w:pPr>
    </w:p>
    <w:p w14:paraId="721665F1" w14:textId="43A21C4E" w:rsidR="00064139" w:rsidRPr="00BC081A" w:rsidRDefault="00064139" w:rsidP="00064139">
      <w:r w:rsidRPr="00BC081A">
        <w:lastRenderedPageBreak/>
        <w:t xml:space="preserve">All the relationships in the model were significant, except the relationship between </w:t>
      </w:r>
      <w:r w:rsidR="002905E6" w:rsidRPr="00BC081A">
        <w:t>C</w:t>
      </w:r>
      <w:r w:rsidRPr="00BC081A">
        <w:t xml:space="preserve">hallenge and </w:t>
      </w:r>
      <w:r w:rsidR="002905E6" w:rsidRPr="00BC081A">
        <w:t xml:space="preserve">Flow. </w:t>
      </w:r>
      <w:r w:rsidR="007C7A4C" w:rsidRPr="00BC081A">
        <w:t xml:space="preserve">This </w:t>
      </w:r>
      <w:r w:rsidR="004271F8" w:rsidRPr="00BC081A">
        <w:t>may be</w:t>
      </w:r>
      <w:r w:rsidR="00994F9F" w:rsidRPr="00BC081A">
        <w:t xml:space="preserve"> due to the fact that Arousal mediates the relationship between Challenge and Flow</w:t>
      </w:r>
      <w:r w:rsidR="00FE3541" w:rsidRPr="00BC081A">
        <w:t xml:space="preserve"> (further explained below)</w:t>
      </w:r>
      <w:r w:rsidR="00994F9F" w:rsidRPr="00BC081A">
        <w:t>.</w:t>
      </w:r>
      <w:r w:rsidR="00473547" w:rsidRPr="00BC081A">
        <w:t xml:space="preserve"> In addition, the variance explained for the endogenous variables is all above 10% as per </w:t>
      </w:r>
      <w:r w:rsidR="00EE5AAE" w:rsidRPr="00BC081A">
        <w:fldChar w:fldCharType="begin" w:fldLock="1"/>
      </w:r>
      <w:r w:rsidR="00AC1F7D">
        <w:instrText>ADDIN CSL_CITATION { "citationItems" : [ { "id" : "ITEM-1", "itemData" : { "author" : [ { "dropping-particle" : "", "family" : "Falk", "given" : "R Frank", "non-dropping-particle" : "", "parse-names" : false, "suffix" : "" }, { "dropping-particle" : "", "family" : "Miller", "given" : "Nancy B", "non-dropping-particle" : "", "parse-names" : false, "suffix" : "" } ], "id" : "ITEM-1", "issued" : { "date-parts" : [ [ "1992" ] ] }, "publisher" : "University of Akron Press", "title" : "A primer for soft modeling.", "type" : "book" }, "uris" : [ "http://www.mendeley.com/documents/?uuid=f0e103be-7f56-45c8-843f-54a1d0dcdd86" ] } ], "mendeley" : { "manualFormatting" : "Falk &amp; Miller's (1992)", "previouslyFormattedCitation" : "(Falk &amp; Miller, 1992)" }, "properties" : { "noteIndex" : 0 }, "schema" : "https://github.com/citation-style-language/schema/raw/master/csl-citation.json" }</w:instrText>
      </w:r>
      <w:r w:rsidR="00EE5AAE" w:rsidRPr="00BC081A">
        <w:fldChar w:fldCharType="separate"/>
      </w:r>
      <w:r w:rsidR="00EE5AAE" w:rsidRPr="00BC081A">
        <w:rPr>
          <w:noProof/>
        </w:rPr>
        <w:t>Falk &amp; Miller's (1992)</w:t>
      </w:r>
      <w:r w:rsidR="00EE5AAE" w:rsidRPr="00BC081A">
        <w:fldChar w:fldCharType="end"/>
      </w:r>
      <w:r w:rsidR="00EE5AAE" w:rsidRPr="00BC081A">
        <w:t xml:space="preserve"> recommendation. </w:t>
      </w:r>
      <w:r w:rsidR="00827301" w:rsidRPr="00BC081A">
        <w:t>The variance explained of the last endogenous construct (Satisfaction) is R</w:t>
      </w:r>
      <w:r w:rsidR="00827301" w:rsidRPr="00BC081A">
        <w:rPr>
          <w:vertAlign w:val="superscript"/>
        </w:rPr>
        <w:t>2</w:t>
      </w:r>
      <w:r w:rsidR="00827301" w:rsidRPr="00BC081A">
        <w:t xml:space="preserve"> = 0.43 further supporting the validity of the proposed model.</w:t>
      </w:r>
      <w:r w:rsidR="004F3D52" w:rsidRPr="00BC081A">
        <w:t xml:space="preserve"> </w:t>
      </w:r>
      <w:r w:rsidR="001415EC" w:rsidRPr="00BC081A">
        <w:t>A s</w:t>
      </w:r>
      <w:r w:rsidR="001638E1" w:rsidRPr="00BC081A">
        <w:t xml:space="preserve">ummary of </w:t>
      </w:r>
      <w:r w:rsidR="001415EC" w:rsidRPr="00BC081A">
        <w:t xml:space="preserve">the hypothesis </w:t>
      </w:r>
      <w:r w:rsidR="001638E1" w:rsidRPr="00BC081A">
        <w:t xml:space="preserve">findings </w:t>
      </w:r>
      <w:r w:rsidR="001415EC" w:rsidRPr="00BC081A">
        <w:t>i</w:t>
      </w:r>
      <w:r w:rsidR="004271F8">
        <w:t>s</w:t>
      </w:r>
      <w:r w:rsidR="001415EC" w:rsidRPr="00BC081A">
        <w:t xml:space="preserve"> provided </w:t>
      </w:r>
      <w:r w:rsidR="001638E1" w:rsidRPr="00BC081A">
        <w:t>in</w:t>
      </w:r>
      <w:r w:rsidR="00DA6425" w:rsidRPr="00BC081A">
        <w:t xml:space="preserve"> </w:t>
      </w:r>
      <w:r w:rsidR="00DA6425" w:rsidRPr="00BC081A">
        <w:fldChar w:fldCharType="begin"/>
      </w:r>
      <w:r w:rsidR="00DA6425" w:rsidRPr="00BC081A">
        <w:instrText xml:space="preserve"> REF _Ref268811692 \h </w:instrText>
      </w:r>
      <w:r w:rsidR="00DA6425" w:rsidRPr="00BC081A">
        <w:fldChar w:fldCharType="separate"/>
      </w:r>
      <w:r w:rsidR="008C71FB" w:rsidRPr="0060329A">
        <w:t xml:space="preserve">Table </w:t>
      </w:r>
      <w:r w:rsidR="008C71FB">
        <w:rPr>
          <w:noProof/>
        </w:rPr>
        <w:t>7</w:t>
      </w:r>
      <w:r w:rsidR="00DA6425" w:rsidRPr="00BC081A">
        <w:fldChar w:fldCharType="end"/>
      </w:r>
      <w:r w:rsidR="001638E1" w:rsidRPr="00BC081A">
        <w:t xml:space="preserve">. </w:t>
      </w:r>
    </w:p>
    <w:p w14:paraId="381B16AB" w14:textId="057BF7D0" w:rsidR="001638E1" w:rsidRPr="0060329A" w:rsidRDefault="001638E1" w:rsidP="0060329A">
      <w:pPr>
        <w:pStyle w:val="Caption"/>
      </w:pPr>
      <w:bookmarkStart w:id="84" w:name="_Ref268811692"/>
      <w:bookmarkStart w:id="85" w:name="_Toc275209765"/>
      <w:r w:rsidRPr="0060329A">
        <w:t xml:space="preserve">Table </w:t>
      </w:r>
      <w:r w:rsidR="007804FF">
        <w:fldChar w:fldCharType="begin"/>
      </w:r>
      <w:r w:rsidR="007804FF">
        <w:instrText xml:space="preserve"> SEQ Table \* ARABIC </w:instrText>
      </w:r>
      <w:r w:rsidR="007804FF">
        <w:fldChar w:fldCharType="separate"/>
      </w:r>
      <w:r w:rsidR="008C71FB">
        <w:rPr>
          <w:noProof/>
        </w:rPr>
        <w:t>7</w:t>
      </w:r>
      <w:r w:rsidR="007804FF">
        <w:fldChar w:fldCharType="end"/>
      </w:r>
      <w:bookmarkEnd w:id="84"/>
      <w:r w:rsidRPr="0060329A">
        <w:t xml:space="preserve"> – Summary of Findings for Supporting the Proposed Hypotheses</w:t>
      </w:r>
      <w:bookmarkEnd w:id="85"/>
    </w:p>
    <w:tbl>
      <w:tblPr>
        <w:tblStyle w:val="TableGrid"/>
        <w:tblW w:w="0" w:type="auto"/>
        <w:tblLook w:val="04A0" w:firstRow="1" w:lastRow="0" w:firstColumn="1" w:lastColumn="0" w:noHBand="0" w:noVBand="1"/>
      </w:tblPr>
      <w:tblGrid>
        <w:gridCol w:w="1578"/>
        <w:gridCol w:w="1911"/>
        <w:gridCol w:w="1577"/>
        <w:gridCol w:w="1502"/>
        <w:gridCol w:w="1445"/>
        <w:gridCol w:w="1563"/>
      </w:tblGrid>
      <w:tr w:rsidR="00F3774C" w:rsidRPr="00BC081A" w14:paraId="18AD8C24" w14:textId="77777777" w:rsidTr="00C2617F">
        <w:tc>
          <w:tcPr>
            <w:tcW w:w="1578" w:type="dxa"/>
            <w:shd w:val="clear" w:color="auto" w:fill="F2F2F2" w:themeFill="background1" w:themeFillShade="F2"/>
          </w:tcPr>
          <w:p w14:paraId="1923BF5B" w14:textId="069C21E6" w:rsidR="00F3774C" w:rsidRPr="00BC081A" w:rsidRDefault="00F3774C" w:rsidP="00F3774C">
            <w:pPr>
              <w:pStyle w:val="TableContext"/>
              <w:rPr>
                <w:lang w:val="en-CA"/>
              </w:rPr>
            </w:pPr>
            <w:r w:rsidRPr="00BC081A">
              <w:rPr>
                <w:lang w:val="en-CA"/>
              </w:rPr>
              <w:t>Hypothesis</w:t>
            </w:r>
          </w:p>
        </w:tc>
        <w:tc>
          <w:tcPr>
            <w:tcW w:w="1911" w:type="dxa"/>
            <w:shd w:val="clear" w:color="auto" w:fill="F2F2F2" w:themeFill="background1" w:themeFillShade="F2"/>
          </w:tcPr>
          <w:p w14:paraId="0B70CB25" w14:textId="2ECD1EAA" w:rsidR="00F3774C" w:rsidRPr="00BC081A" w:rsidRDefault="00F3774C" w:rsidP="00F3774C">
            <w:pPr>
              <w:pStyle w:val="TableContext"/>
              <w:rPr>
                <w:lang w:val="en-CA"/>
              </w:rPr>
            </w:pPr>
            <w:r w:rsidRPr="00BC081A">
              <w:rPr>
                <w:lang w:val="en-CA"/>
              </w:rPr>
              <w:t>Path</w:t>
            </w:r>
          </w:p>
        </w:tc>
        <w:tc>
          <w:tcPr>
            <w:tcW w:w="1577" w:type="dxa"/>
            <w:shd w:val="clear" w:color="auto" w:fill="F2F2F2" w:themeFill="background1" w:themeFillShade="F2"/>
          </w:tcPr>
          <w:p w14:paraId="012E100E" w14:textId="0E1E3CBF" w:rsidR="00F3774C" w:rsidRPr="00BC081A" w:rsidRDefault="00F3774C" w:rsidP="00F3774C">
            <w:pPr>
              <w:pStyle w:val="TableContext"/>
              <w:rPr>
                <w:lang w:val="en-CA"/>
              </w:rPr>
            </w:pPr>
            <w:r w:rsidRPr="00BC081A">
              <w:rPr>
                <w:lang w:val="en-CA"/>
              </w:rPr>
              <w:t>Path Coefficient</w:t>
            </w:r>
          </w:p>
        </w:tc>
        <w:tc>
          <w:tcPr>
            <w:tcW w:w="1502" w:type="dxa"/>
            <w:shd w:val="clear" w:color="auto" w:fill="F2F2F2" w:themeFill="background1" w:themeFillShade="F2"/>
          </w:tcPr>
          <w:p w14:paraId="5F2A92BF" w14:textId="390D2ED3" w:rsidR="00F3774C" w:rsidRPr="00BC081A" w:rsidRDefault="00F3774C" w:rsidP="00F3774C">
            <w:pPr>
              <w:pStyle w:val="TableContext"/>
              <w:rPr>
                <w:lang w:val="en-CA"/>
              </w:rPr>
            </w:pPr>
            <w:proofErr w:type="gramStart"/>
            <w:r w:rsidRPr="00BC081A">
              <w:rPr>
                <w:lang w:val="en-CA"/>
              </w:rPr>
              <w:t>t</w:t>
            </w:r>
            <w:proofErr w:type="gramEnd"/>
            <w:r w:rsidRPr="00BC081A">
              <w:rPr>
                <w:lang w:val="en-CA"/>
              </w:rPr>
              <w:t>-Statistic</w:t>
            </w:r>
          </w:p>
        </w:tc>
        <w:tc>
          <w:tcPr>
            <w:tcW w:w="1445" w:type="dxa"/>
            <w:shd w:val="clear" w:color="auto" w:fill="F2F2F2" w:themeFill="background1" w:themeFillShade="F2"/>
          </w:tcPr>
          <w:p w14:paraId="7F4C82EC" w14:textId="49CA1A69" w:rsidR="00F3774C" w:rsidRPr="00BC081A" w:rsidRDefault="00F3774C" w:rsidP="00F3774C">
            <w:pPr>
              <w:pStyle w:val="TableContext"/>
              <w:rPr>
                <w:lang w:val="en-CA"/>
              </w:rPr>
            </w:pPr>
            <w:r w:rsidRPr="00BC081A">
              <w:rPr>
                <w:lang w:val="en-CA"/>
              </w:rPr>
              <w:t>Sig. Level</w:t>
            </w:r>
          </w:p>
        </w:tc>
        <w:tc>
          <w:tcPr>
            <w:tcW w:w="1563" w:type="dxa"/>
            <w:shd w:val="clear" w:color="auto" w:fill="F2F2F2" w:themeFill="background1" w:themeFillShade="F2"/>
          </w:tcPr>
          <w:p w14:paraId="3547A5B9" w14:textId="3E31391B" w:rsidR="00F3774C" w:rsidRPr="00BC081A" w:rsidRDefault="00F3774C" w:rsidP="00F3774C">
            <w:pPr>
              <w:pStyle w:val="TableContext"/>
              <w:rPr>
                <w:lang w:val="en-CA"/>
              </w:rPr>
            </w:pPr>
            <w:r w:rsidRPr="00BC081A">
              <w:rPr>
                <w:lang w:val="en-CA"/>
              </w:rPr>
              <w:t xml:space="preserve">Validation </w:t>
            </w:r>
          </w:p>
        </w:tc>
      </w:tr>
      <w:tr w:rsidR="00C2617F" w:rsidRPr="00BC081A" w14:paraId="23382E76" w14:textId="77777777" w:rsidTr="00C2617F">
        <w:tc>
          <w:tcPr>
            <w:tcW w:w="1578" w:type="dxa"/>
            <w:shd w:val="clear" w:color="auto" w:fill="F2F2F2" w:themeFill="background1" w:themeFillShade="F2"/>
          </w:tcPr>
          <w:p w14:paraId="658FAD3A" w14:textId="2C973239" w:rsidR="00C2617F" w:rsidRPr="00BC081A" w:rsidRDefault="00C2617F" w:rsidP="00BE6A35">
            <w:pPr>
              <w:pStyle w:val="TableContext"/>
              <w:rPr>
                <w:lang w:val="en-CA"/>
              </w:rPr>
            </w:pPr>
            <w:r w:rsidRPr="00BC081A">
              <w:rPr>
                <w:lang w:val="en-CA"/>
              </w:rPr>
              <w:t>H1</w:t>
            </w:r>
          </w:p>
        </w:tc>
        <w:tc>
          <w:tcPr>
            <w:tcW w:w="1911" w:type="dxa"/>
          </w:tcPr>
          <w:p w14:paraId="53F58759" w14:textId="77777777" w:rsidR="00C2617F" w:rsidRPr="00BC081A" w:rsidRDefault="00C2617F" w:rsidP="00BE6A35">
            <w:pPr>
              <w:pStyle w:val="TableContext"/>
              <w:rPr>
                <w:lang w:val="en-CA"/>
              </w:rPr>
            </w:pPr>
            <w:r w:rsidRPr="00BC081A">
              <w:rPr>
                <w:lang w:val="en-CA"/>
              </w:rPr>
              <w:t>Flow</w:t>
            </w:r>
            <w:r w:rsidRPr="00BC081A">
              <w:rPr>
                <w:lang w:val="en-CA"/>
              </w:rPr>
              <w:sym w:font="Wingdings" w:char="F0E0"/>
            </w:r>
            <w:r w:rsidRPr="00BC081A">
              <w:rPr>
                <w:lang w:val="en-CA"/>
              </w:rPr>
              <w:t>SA</w:t>
            </w:r>
          </w:p>
        </w:tc>
        <w:tc>
          <w:tcPr>
            <w:tcW w:w="1577" w:type="dxa"/>
          </w:tcPr>
          <w:p w14:paraId="0D565626" w14:textId="3AD3392F" w:rsidR="00C2617F" w:rsidRPr="00BC081A" w:rsidRDefault="00C2617F" w:rsidP="00BE6A35">
            <w:pPr>
              <w:pStyle w:val="TableContext"/>
              <w:rPr>
                <w:lang w:val="en-CA"/>
              </w:rPr>
            </w:pPr>
            <w:r w:rsidRPr="00BC081A">
              <w:rPr>
                <w:lang w:val="en-CA"/>
              </w:rPr>
              <w:t>.65</w:t>
            </w:r>
          </w:p>
        </w:tc>
        <w:tc>
          <w:tcPr>
            <w:tcW w:w="1502" w:type="dxa"/>
          </w:tcPr>
          <w:p w14:paraId="4433AA19" w14:textId="56BA1C2F" w:rsidR="00C2617F" w:rsidRPr="00BC081A" w:rsidRDefault="00C2617F" w:rsidP="00BE6A35">
            <w:pPr>
              <w:pStyle w:val="TableContext"/>
              <w:rPr>
                <w:lang w:val="en-CA"/>
              </w:rPr>
            </w:pPr>
            <w:r>
              <w:rPr>
                <w:lang w:val="en-CA"/>
              </w:rPr>
              <w:t>9.93</w:t>
            </w:r>
          </w:p>
        </w:tc>
        <w:tc>
          <w:tcPr>
            <w:tcW w:w="1445" w:type="dxa"/>
          </w:tcPr>
          <w:p w14:paraId="0D116710" w14:textId="77777777" w:rsidR="00C2617F" w:rsidRPr="00BC081A" w:rsidRDefault="00C2617F" w:rsidP="00BE6A35">
            <w:pPr>
              <w:pStyle w:val="TableContext"/>
              <w:rPr>
                <w:lang w:val="en-CA"/>
              </w:rPr>
            </w:pPr>
            <w:r w:rsidRPr="00BC081A">
              <w:rPr>
                <w:lang w:val="en-CA"/>
              </w:rPr>
              <w:t>.000</w:t>
            </w:r>
          </w:p>
        </w:tc>
        <w:tc>
          <w:tcPr>
            <w:tcW w:w="1563" w:type="dxa"/>
          </w:tcPr>
          <w:p w14:paraId="6FAB8C74" w14:textId="77777777" w:rsidR="00C2617F" w:rsidRPr="00BC081A" w:rsidRDefault="00C2617F" w:rsidP="00BE6A35">
            <w:pPr>
              <w:pStyle w:val="TableContext"/>
              <w:rPr>
                <w:lang w:val="en-CA"/>
              </w:rPr>
            </w:pPr>
            <w:r w:rsidRPr="00BC081A">
              <w:rPr>
                <w:lang w:val="en-CA"/>
              </w:rPr>
              <w:t>Supported</w:t>
            </w:r>
          </w:p>
        </w:tc>
      </w:tr>
      <w:tr w:rsidR="00C2617F" w:rsidRPr="00BC081A" w14:paraId="31506219" w14:textId="77777777" w:rsidTr="00C2617F">
        <w:tc>
          <w:tcPr>
            <w:tcW w:w="1578" w:type="dxa"/>
            <w:shd w:val="clear" w:color="auto" w:fill="F2F2F2" w:themeFill="background1" w:themeFillShade="F2"/>
          </w:tcPr>
          <w:p w14:paraId="497EE263" w14:textId="12A93727" w:rsidR="00C2617F" w:rsidRPr="00BC081A" w:rsidRDefault="00C2617F" w:rsidP="00BE6A35">
            <w:pPr>
              <w:pStyle w:val="TableContext"/>
              <w:rPr>
                <w:lang w:val="en-CA"/>
              </w:rPr>
            </w:pPr>
            <w:r w:rsidRPr="00BC081A">
              <w:rPr>
                <w:lang w:val="en-CA"/>
              </w:rPr>
              <w:t>H2</w:t>
            </w:r>
          </w:p>
        </w:tc>
        <w:tc>
          <w:tcPr>
            <w:tcW w:w="1911" w:type="dxa"/>
          </w:tcPr>
          <w:p w14:paraId="23BFCBE7" w14:textId="77777777" w:rsidR="00C2617F" w:rsidRPr="00BC081A" w:rsidRDefault="00C2617F" w:rsidP="00BE6A35">
            <w:pPr>
              <w:pStyle w:val="TableContext"/>
              <w:rPr>
                <w:lang w:val="en-CA"/>
              </w:rPr>
            </w:pPr>
            <w:r w:rsidRPr="00BC081A">
              <w:rPr>
                <w:lang w:val="en-CA"/>
              </w:rPr>
              <w:t>CH</w:t>
            </w:r>
            <w:r w:rsidRPr="00BC081A">
              <w:rPr>
                <w:lang w:val="en-CA"/>
              </w:rPr>
              <w:sym w:font="Wingdings" w:char="F0E0"/>
            </w:r>
            <w:r w:rsidRPr="00BC081A">
              <w:rPr>
                <w:lang w:val="en-CA"/>
              </w:rPr>
              <w:t>Flow</w:t>
            </w:r>
          </w:p>
        </w:tc>
        <w:tc>
          <w:tcPr>
            <w:tcW w:w="1577" w:type="dxa"/>
          </w:tcPr>
          <w:p w14:paraId="0FFE31E4" w14:textId="4BE16A60" w:rsidR="00C2617F" w:rsidRPr="00BC081A" w:rsidRDefault="00C2617F" w:rsidP="00BE6A35">
            <w:pPr>
              <w:pStyle w:val="TableContext"/>
              <w:rPr>
                <w:lang w:val="en-CA"/>
              </w:rPr>
            </w:pPr>
            <w:r w:rsidRPr="00BC081A">
              <w:rPr>
                <w:lang w:val="en-CA"/>
              </w:rPr>
              <w:t>.12</w:t>
            </w:r>
          </w:p>
        </w:tc>
        <w:tc>
          <w:tcPr>
            <w:tcW w:w="1502" w:type="dxa"/>
          </w:tcPr>
          <w:p w14:paraId="25CCAA8E" w14:textId="46DA2084" w:rsidR="00C2617F" w:rsidRPr="00BC081A" w:rsidRDefault="00C2617F" w:rsidP="00BE6A35">
            <w:pPr>
              <w:pStyle w:val="TableContext"/>
              <w:rPr>
                <w:lang w:val="en-CA"/>
              </w:rPr>
            </w:pPr>
            <w:r w:rsidRPr="00BC081A">
              <w:rPr>
                <w:lang w:val="en-CA"/>
              </w:rPr>
              <w:t>1.2</w:t>
            </w:r>
            <w:r>
              <w:rPr>
                <w:lang w:val="en-CA"/>
              </w:rPr>
              <w:t>3</w:t>
            </w:r>
          </w:p>
        </w:tc>
        <w:tc>
          <w:tcPr>
            <w:tcW w:w="1445" w:type="dxa"/>
          </w:tcPr>
          <w:p w14:paraId="37B7E24D" w14:textId="37F78126" w:rsidR="00C2617F" w:rsidRPr="00BC081A" w:rsidRDefault="00C2617F" w:rsidP="00BE6A35">
            <w:pPr>
              <w:pStyle w:val="TableContext"/>
              <w:rPr>
                <w:lang w:val="en-CA"/>
              </w:rPr>
            </w:pPr>
            <w:r w:rsidRPr="00BC081A">
              <w:rPr>
                <w:lang w:val="en-CA"/>
              </w:rPr>
              <w:t>.104</w:t>
            </w:r>
          </w:p>
        </w:tc>
        <w:tc>
          <w:tcPr>
            <w:tcW w:w="1563" w:type="dxa"/>
          </w:tcPr>
          <w:p w14:paraId="24718036" w14:textId="4357FD9D" w:rsidR="00C2617F" w:rsidRPr="00BC081A" w:rsidRDefault="00C2617F" w:rsidP="00BE6A35">
            <w:pPr>
              <w:pStyle w:val="TableContext"/>
              <w:rPr>
                <w:lang w:val="en-CA"/>
              </w:rPr>
            </w:pPr>
            <w:r w:rsidRPr="00BC081A">
              <w:rPr>
                <w:lang w:val="en-CA"/>
              </w:rPr>
              <w:t>Not Supported</w:t>
            </w:r>
          </w:p>
        </w:tc>
      </w:tr>
      <w:tr w:rsidR="00C2617F" w:rsidRPr="00BC081A" w14:paraId="2E000319" w14:textId="77777777" w:rsidTr="00C2617F">
        <w:tc>
          <w:tcPr>
            <w:tcW w:w="1578" w:type="dxa"/>
            <w:shd w:val="clear" w:color="auto" w:fill="F2F2F2" w:themeFill="background1" w:themeFillShade="F2"/>
          </w:tcPr>
          <w:p w14:paraId="334DA3BE" w14:textId="52FA8B93" w:rsidR="00C2617F" w:rsidRPr="00BC081A" w:rsidRDefault="00C2617F" w:rsidP="00BE6A35">
            <w:pPr>
              <w:pStyle w:val="TableContext"/>
              <w:rPr>
                <w:lang w:val="en-CA"/>
              </w:rPr>
            </w:pPr>
            <w:r w:rsidRPr="00BC081A">
              <w:rPr>
                <w:lang w:val="en-CA"/>
              </w:rPr>
              <w:t>H3</w:t>
            </w:r>
          </w:p>
        </w:tc>
        <w:tc>
          <w:tcPr>
            <w:tcW w:w="1911" w:type="dxa"/>
          </w:tcPr>
          <w:p w14:paraId="448F7BDA" w14:textId="77777777" w:rsidR="00C2617F" w:rsidRPr="00BC081A" w:rsidRDefault="00C2617F" w:rsidP="00BE6A35">
            <w:pPr>
              <w:pStyle w:val="TableContext"/>
              <w:rPr>
                <w:lang w:val="en-CA"/>
              </w:rPr>
            </w:pPr>
            <w:r w:rsidRPr="00BC081A">
              <w:rPr>
                <w:lang w:val="en-CA"/>
              </w:rPr>
              <w:t>AR</w:t>
            </w:r>
            <w:r w:rsidRPr="00BC081A">
              <w:rPr>
                <w:lang w:val="en-CA"/>
              </w:rPr>
              <w:sym w:font="Wingdings" w:char="F0E0"/>
            </w:r>
            <w:r w:rsidRPr="00BC081A">
              <w:rPr>
                <w:lang w:val="en-CA"/>
              </w:rPr>
              <w:t>Flow</w:t>
            </w:r>
          </w:p>
        </w:tc>
        <w:tc>
          <w:tcPr>
            <w:tcW w:w="1577" w:type="dxa"/>
          </w:tcPr>
          <w:p w14:paraId="4F8F2D24" w14:textId="6CA9119D" w:rsidR="00C2617F" w:rsidRPr="00BC081A" w:rsidRDefault="00C2617F" w:rsidP="00BE6A35">
            <w:pPr>
              <w:pStyle w:val="TableContext"/>
              <w:rPr>
                <w:lang w:val="en-CA"/>
              </w:rPr>
            </w:pPr>
            <w:r w:rsidRPr="00BC081A">
              <w:rPr>
                <w:lang w:val="en-CA"/>
              </w:rPr>
              <w:t>.63</w:t>
            </w:r>
          </w:p>
        </w:tc>
        <w:tc>
          <w:tcPr>
            <w:tcW w:w="1502" w:type="dxa"/>
          </w:tcPr>
          <w:p w14:paraId="42C39AD7" w14:textId="5B94DA79" w:rsidR="00C2617F" w:rsidRPr="00BC081A" w:rsidRDefault="00C2617F" w:rsidP="00BE6A35">
            <w:pPr>
              <w:pStyle w:val="TableContext"/>
              <w:rPr>
                <w:lang w:val="en-CA"/>
              </w:rPr>
            </w:pPr>
            <w:r>
              <w:rPr>
                <w:lang w:val="en-CA"/>
              </w:rPr>
              <w:t>6.66</w:t>
            </w:r>
          </w:p>
        </w:tc>
        <w:tc>
          <w:tcPr>
            <w:tcW w:w="1445" w:type="dxa"/>
          </w:tcPr>
          <w:p w14:paraId="6517FEFF" w14:textId="77777777" w:rsidR="00C2617F" w:rsidRPr="00BC081A" w:rsidRDefault="00C2617F" w:rsidP="00BE6A35">
            <w:pPr>
              <w:pStyle w:val="TableContext"/>
              <w:rPr>
                <w:lang w:val="en-CA"/>
              </w:rPr>
            </w:pPr>
            <w:r w:rsidRPr="00BC081A">
              <w:rPr>
                <w:lang w:val="en-CA"/>
              </w:rPr>
              <w:t>.000</w:t>
            </w:r>
          </w:p>
        </w:tc>
        <w:tc>
          <w:tcPr>
            <w:tcW w:w="1563" w:type="dxa"/>
          </w:tcPr>
          <w:p w14:paraId="649E751F" w14:textId="77777777" w:rsidR="00C2617F" w:rsidRPr="00BC081A" w:rsidRDefault="00C2617F" w:rsidP="00BE6A35">
            <w:pPr>
              <w:pStyle w:val="TableContext"/>
              <w:rPr>
                <w:lang w:val="en-CA"/>
              </w:rPr>
            </w:pPr>
            <w:r w:rsidRPr="00BC081A">
              <w:rPr>
                <w:lang w:val="en-CA"/>
              </w:rPr>
              <w:t>Supported</w:t>
            </w:r>
          </w:p>
        </w:tc>
      </w:tr>
      <w:tr w:rsidR="00C2617F" w:rsidRPr="00BC081A" w14:paraId="062B4D1E" w14:textId="77777777" w:rsidTr="00C2617F">
        <w:tc>
          <w:tcPr>
            <w:tcW w:w="1578" w:type="dxa"/>
            <w:shd w:val="clear" w:color="auto" w:fill="F2F2F2" w:themeFill="background1" w:themeFillShade="F2"/>
          </w:tcPr>
          <w:p w14:paraId="567C1DF6" w14:textId="3F686184" w:rsidR="00C2617F" w:rsidRPr="00BC081A" w:rsidRDefault="00C2617F" w:rsidP="00BE6A35">
            <w:pPr>
              <w:pStyle w:val="TableContext"/>
              <w:rPr>
                <w:lang w:val="en-CA"/>
              </w:rPr>
            </w:pPr>
            <w:r w:rsidRPr="00BC081A">
              <w:rPr>
                <w:lang w:val="en-CA"/>
              </w:rPr>
              <w:t>H4</w:t>
            </w:r>
          </w:p>
        </w:tc>
        <w:tc>
          <w:tcPr>
            <w:tcW w:w="1911" w:type="dxa"/>
          </w:tcPr>
          <w:p w14:paraId="729656C2" w14:textId="77777777" w:rsidR="00C2617F" w:rsidRPr="00BC081A" w:rsidRDefault="00C2617F" w:rsidP="00BE6A35">
            <w:pPr>
              <w:pStyle w:val="TableContext"/>
              <w:rPr>
                <w:lang w:val="en-CA"/>
              </w:rPr>
            </w:pPr>
            <w:r w:rsidRPr="00BC081A">
              <w:rPr>
                <w:lang w:val="en-CA"/>
              </w:rPr>
              <w:t>CH</w:t>
            </w:r>
            <w:r w:rsidRPr="00BC081A">
              <w:rPr>
                <w:lang w:val="en-CA"/>
              </w:rPr>
              <w:sym w:font="Wingdings" w:char="F0E0"/>
            </w:r>
            <w:r w:rsidRPr="00BC081A">
              <w:rPr>
                <w:lang w:val="en-CA"/>
              </w:rPr>
              <w:t>AR</w:t>
            </w:r>
          </w:p>
        </w:tc>
        <w:tc>
          <w:tcPr>
            <w:tcW w:w="1577" w:type="dxa"/>
          </w:tcPr>
          <w:p w14:paraId="0C8B3C01" w14:textId="5557185A" w:rsidR="00C2617F" w:rsidRPr="00BC081A" w:rsidRDefault="00C2617F" w:rsidP="00BE6A35">
            <w:pPr>
              <w:pStyle w:val="TableContext"/>
              <w:rPr>
                <w:lang w:val="en-CA"/>
              </w:rPr>
            </w:pPr>
            <w:r w:rsidRPr="00BC081A">
              <w:rPr>
                <w:lang w:val="en-CA"/>
              </w:rPr>
              <w:t>.26</w:t>
            </w:r>
          </w:p>
        </w:tc>
        <w:tc>
          <w:tcPr>
            <w:tcW w:w="1502" w:type="dxa"/>
          </w:tcPr>
          <w:p w14:paraId="548998A7" w14:textId="041D7EA7" w:rsidR="00C2617F" w:rsidRPr="00BC081A" w:rsidRDefault="00C2617F" w:rsidP="00BE6A35">
            <w:pPr>
              <w:pStyle w:val="TableContext"/>
              <w:rPr>
                <w:lang w:val="en-CA"/>
              </w:rPr>
            </w:pPr>
            <w:r>
              <w:rPr>
                <w:lang w:val="en-CA"/>
              </w:rPr>
              <w:t>2.69</w:t>
            </w:r>
          </w:p>
        </w:tc>
        <w:tc>
          <w:tcPr>
            <w:tcW w:w="1445" w:type="dxa"/>
          </w:tcPr>
          <w:p w14:paraId="3DB2118A" w14:textId="3B264188" w:rsidR="00C2617F" w:rsidRPr="00BC081A" w:rsidRDefault="00C2617F" w:rsidP="00BE6A35">
            <w:pPr>
              <w:pStyle w:val="TableContext"/>
              <w:rPr>
                <w:lang w:val="en-CA"/>
              </w:rPr>
            </w:pPr>
            <w:r w:rsidRPr="00BC081A">
              <w:rPr>
                <w:lang w:val="en-CA"/>
              </w:rPr>
              <w:t>.003</w:t>
            </w:r>
          </w:p>
        </w:tc>
        <w:tc>
          <w:tcPr>
            <w:tcW w:w="1563" w:type="dxa"/>
          </w:tcPr>
          <w:p w14:paraId="7357B0EC" w14:textId="77777777" w:rsidR="00C2617F" w:rsidRPr="00BC081A" w:rsidRDefault="00C2617F" w:rsidP="00BE6A35">
            <w:pPr>
              <w:pStyle w:val="TableContext"/>
              <w:rPr>
                <w:lang w:val="en-CA"/>
              </w:rPr>
            </w:pPr>
            <w:r w:rsidRPr="00BC081A">
              <w:rPr>
                <w:lang w:val="en-CA"/>
              </w:rPr>
              <w:t>Supported</w:t>
            </w:r>
          </w:p>
        </w:tc>
      </w:tr>
      <w:tr w:rsidR="00C2617F" w:rsidRPr="00BC081A" w14:paraId="197FB78B" w14:textId="77777777" w:rsidTr="00C2617F">
        <w:tc>
          <w:tcPr>
            <w:tcW w:w="1578" w:type="dxa"/>
            <w:shd w:val="clear" w:color="auto" w:fill="F2F2F2" w:themeFill="background1" w:themeFillShade="F2"/>
          </w:tcPr>
          <w:p w14:paraId="7DFF4131" w14:textId="77777777" w:rsidR="00C2617F" w:rsidRPr="00BC081A" w:rsidRDefault="00C2617F" w:rsidP="00BE6A35">
            <w:pPr>
              <w:pStyle w:val="TableContext"/>
              <w:rPr>
                <w:lang w:val="en-CA"/>
              </w:rPr>
            </w:pPr>
            <w:r w:rsidRPr="00BC081A">
              <w:rPr>
                <w:lang w:val="en-CA"/>
              </w:rPr>
              <w:t>H5</w:t>
            </w:r>
          </w:p>
        </w:tc>
        <w:tc>
          <w:tcPr>
            <w:tcW w:w="1911" w:type="dxa"/>
          </w:tcPr>
          <w:p w14:paraId="4474F0CF" w14:textId="39E28C35" w:rsidR="00C2617F" w:rsidRPr="00BC081A" w:rsidRDefault="00C2617F" w:rsidP="00BE6A35">
            <w:pPr>
              <w:pStyle w:val="TableContext"/>
              <w:rPr>
                <w:lang w:val="en-CA"/>
              </w:rPr>
            </w:pPr>
            <w:proofErr w:type="spellStart"/>
            <w:r w:rsidRPr="00BC081A">
              <w:rPr>
                <w:lang w:val="en-CA"/>
              </w:rPr>
              <w:t>SCompt</w:t>
            </w:r>
            <w:proofErr w:type="spellEnd"/>
            <w:r w:rsidRPr="00BC081A">
              <w:rPr>
                <w:lang w:val="en-CA"/>
              </w:rPr>
              <w:sym w:font="Wingdings" w:char="F0E0"/>
            </w:r>
            <w:r w:rsidRPr="00BC081A">
              <w:rPr>
                <w:lang w:val="en-CA"/>
              </w:rPr>
              <w:t>AR</w:t>
            </w:r>
          </w:p>
        </w:tc>
        <w:tc>
          <w:tcPr>
            <w:tcW w:w="1577" w:type="dxa"/>
          </w:tcPr>
          <w:p w14:paraId="5547005A" w14:textId="2758EF31" w:rsidR="00C2617F" w:rsidRPr="00BC081A" w:rsidRDefault="00C2617F" w:rsidP="00BE6A35">
            <w:pPr>
              <w:pStyle w:val="TableContext"/>
              <w:rPr>
                <w:lang w:val="en-CA"/>
              </w:rPr>
            </w:pPr>
            <w:r w:rsidRPr="00BC081A">
              <w:rPr>
                <w:lang w:val="en-CA"/>
              </w:rPr>
              <w:t>.28</w:t>
            </w:r>
          </w:p>
        </w:tc>
        <w:tc>
          <w:tcPr>
            <w:tcW w:w="1502" w:type="dxa"/>
          </w:tcPr>
          <w:p w14:paraId="1FE55DA8" w14:textId="14575FB4" w:rsidR="00C2617F" w:rsidRPr="00BC081A" w:rsidRDefault="00C2617F" w:rsidP="00BE6A35">
            <w:pPr>
              <w:pStyle w:val="TableContext"/>
              <w:rPr>
                <w:lang w:val="en-CA"/>
              </w:rPr>
            </w:pPr>
            <w:r w:rsidRPr="00BC081A">
              <w:rPr>
                <w:lang w:val="en-CA"/>
              </w:rPr>
              <w:t>2.44</w:t>
            </w:r>
          </w:p>
        </w:tc>
        <w:tc>
          <w:tcPr>
            <w:tcW w:w="1445" w:type="dxa"/>
          </w:tcPr>
          <w:p w14:paraId="3D46AB28" w14:textId="5013F132" w:rsidR="00C2617F" w:rsidRPr="00BC081A" w:rsidRDefault="00C2617F" w:rsidP="00BE6A35">
            <w:pPr>
              <w:pStyle w:val="TableContext"/>
              <w:rPr>
                <w:lang w:val="en-CA"/>
              </w:rPr>
            </w:pPr>
            <w:r w:rsidRPr="00BC081A">
              <w:rPr>
                <w:lang w:val="en-CA"/>
              </w:rPr>
              <w:t>.008</w:t>
            </w:r>
          </w:p>
        </w:tc>
        <w:tc>
          <w:tcPr>
            <w:tcW w:w="1563" w:type="dxa"/>
          </w:tcPr>
          <w:p w14:paraId="5B20EF0D" w14:textId="77777777" w:rsidR="00C2617F" w:rsidRPr="00BC081A" w:rsidRDefault="00C2617F" w:rsidP="00BE6A35">
            <w:pPr>
              <w:pStyle w:val="TableContext"/>
              <w:rPr>
                <w:lang w:val="en-CA"/>
              </w:rPr>
            </w:pPr>
            <w:r w:rsidRPr="00BC081A">
              <w:rPr>
                <w:lang w:val="en-CA"/>
              </w:rPr>
              <w:t>Supported</w:t>
            </w:r>
          </w:p>
        </w:tc>
      </w:tr>
      <w:tr w:rsidR="00C2617F" w:rsidRPr="00BC081A" w14:paraId="1226852F" w14:textId="77777777" w:rsidTr="00C2617F">
        <w:tc>
          <w:tcPr>
            <w:tcW w:w="1578" w:type="dxa"/>
            <w:shd w:val="clear" w:color="auto" w:fill="F2F2F2" w:themeFill="background1" w:themeFillShade="F2"/>
          </w:tcPr>
          <w:p w14:paraId="066B2D80" w14:textId="77777777" w:rsidR="00C2617F" w:rsidRPr="00BC081A" w:rsidRDefault="00C2617F" w:rsidP="00BE6A35">
            <w:pPr>
              <w:pStyle w:val="TableContext"/>
              <w:rPr>
                <w:lang w:val="en-CA"/>
              </w:rPr>
            </w:pPr>
            <w:r w:rsidRPr="00BC081A">
              <w:rPr>
                <w:lang w:val="en-CA"/>
              </w:rPr>
              <w:t>H6</w:t>
            </w:r>
          </w:p>
        </w:tc>
        <w:tc>
          <w:tcPr>
            <w:tcW w:w="1911" w:type="dxa"/>
          </w:tcPr>
          <w:p w14:paraId="58BD2D7D" w14:textId="2C951C94" w:rsidR="00C2617F" w:rsidRPr="00BC081A" w:rsidRDefault="00C2617F" w:rsidP="00BE6A35">
            <w:pPr>
              <w:pStyle w:val="TableContext"/>
              <w:rPr>
                <w:lang w:val="en-CA"/>
              </w:rPr>
            </w:pPr>
            <w:proofErr w:type="spellStart"/>
            <w:r w:rsidRPr="00BC081A">
              <w:rPr>
                <w:lang w:val="en-CA"/>
              </w:rPr>
              <w:t>SCompt</w:t>
            </w:r>
            <w:proofErr w:type="spellEnd"/>
            <w:r w:rsidRPr="00BC081A">
              <w:rPr>
                <w:lang w:val="en-CA"/>
              </w:rPr>
              <w:sym w:font="Wingdings" w:char="F0E0"/>
            </w:r>
            <w:r w:rsidRPr="00BC081A">
              <w:rPr>
                <w:lang w:val="en-CA"/>
              </w:rPr>
              <w:t>CH</w:t>
            </w:r>
          </w:p>
        </w:tc>
        <w:tc>
          <w:tcPr>
            <w:tcW w:w="1577" w:type="dxa"/>
          </w:tcPr>
          <w:p w14:paraId="6C86F1C5" w14:textId="63A1E044" w:rsidR="00C2617F" w:rsidRPr="00BC081A" w:rsidRDefault="00C2617F" w:rsidP="00BE6A35">
            <w:pPr>
              <w:pStyle w:val="TableContext"/>
              <w:rPr>
                <w:lang w:val="en-CA"/>
              </w:rPr>
            </w:pPr>
            <w:r w:rsidRPr="00BC081A">
              <w:rPr>
                <w:lang w:val="en-CA"/>
              </w:rPr>
              <w:t>.46</w:t>
            </w:r>
          </w:p>
        </w:tc>
        <w:tc>
          <w:tcPr>
            <w:tcW w:w="1502" w:type="dxa"/>
          </w:tcPr>
          <w:p w14:paraId="0FF5F8D9" w14:textId="37AB2002" w:rsidR="00C2617F" w:rsidRPr="00BC081A" w:rsidRDefault="00C2617F" w:rsidP="00BE6A35">
            <w:pPr>
              <w:pStyle w:val="TableContext"/>
              <w:rPr>
                <w:lang w:val="en-CA"/>
              </w:rPr>
            </w:pPr>
            <w:r w:rsidRPr="00BC081A">
              <w:rPr>
                <w:lang w:val="en-CA"/>
              </w:rPr>
              <w:t>6.</w:t>
            </w:r>
            <w:r>
              <w:rPr>
                <w:lang w:val="en-CA"/>
              </w:rPr>
              <w:t>71</w:t>
            </w:r>
          </w:p>
        </w:tc>
        <w:tc>
          <w:tcPr>
            <w:tcW w:w="1445" w:type="dxa"/>
          </w:tcPr>
          <w:p w14:paraId="6A584E0F" w14:textId="77777777" w:rsidR="00C2617F" w:rsidRPr="00BC081A" w:rsidRDefault="00C2617F" w:rsidP="00BE6A35">
            <w:pPr>
              <w:pStyle w:val="TableContext"/>
              <w:rPr>
                <w:lang w:val="en-CA"/>
              </w:rPr>
            </w:pPr>
            <w:r w:rsidRPr="00BC081A">
              <w:rPr>
                <w:lang w:val="en-CA"/>
              </w:rPr>
              <w:t>.000</w:t>
            </w:r>
          </w:p>
        </w:tc>
        <w:tc>
          <w:tcPr>
            <w:tcW w:w="1563" w:type="dxa"/>
          </w:tcPr>
          <w:p w14:paraId="58B77C40" w14:textId="77777777" w:rsidR="00C2617F" w:rsidRPr="00BC081A" w:rsidRDefault="00C2617F" w:rsidP="00BE6A35">
            <w:pPr>
              <w:pStyle w:val="TableContext"/>
              <w:rPr>
                <w:lang w:val="en-CA"/>
              </w:rPr>
            </w:pPr>
            <w:r w:rsidRPr="00BC081A">
              <w:rPr>
                <w:lang w:val="en-CA"/>
              </w:rPr>
              <w:t>Supported</w:t>
            </w:r>
          </w:p>
        </w:tc>
      </w:tr>
      <w:tr w:rsidR="00C2617F" w:rsidRPr="00BC081A" w14:paraId="77A97799" w14:textId="77777777" w:rsidTr="00C2617F">
        <w:tc>
          <w:tcPr>
            <w:tcW w:w="1578" w:type="dxa"/>
            <w:shd w:val="clear" w:color="auto" w:fill="F2F2F2" w:themeFill="background1" w:themeFillShade="F2"/>
          </w:tcPr>
          <w:p w14:paraId="27610D0A" w14:textId="22DA209A" w:rsidR="00C2617F" w:rsidRPr="00BC081A" w:rsidRDefault="00C2617F" w:rsidP="00BE6A35">
            <w:pPr>
              <w:pStyle w:val="TableContext"/>
              <w:rPr>
                <w:lang w:val="en-CA"/>
              </w:rPr>
            </w:pPr>
            <w:r w:rsidRPr="00BC081A">
              <w:rPr>
                <w:lang w:val="en-CA"/>
              </w:rPr>
              <w:t>H7</w:t>
            </w:r>
          </w:p>
        </w:tc>
        <w:tc>
          <w:tcPr>
            <w:tcW w:w="1911" w:type="dxa"/>
          </w:tcPr>
          <w:p w14:paraId="513DF446" w14:textId="21FD51A2" w:rsidR="00C2617F" w:rsidRPr="00BC081A" w:rsidRDefault="00C2617F" w:rsidP="00BE6A35">
            <w:pPr>
              <w:pStyle w:val="TableContext"/>
              <w:rPr>
                <w:lang w:val="en-CA"/>
              </w:rPr>
            </w:pPr>
            <w:r w:rsidRPr="00BC081A">
              <w:rPr>
                <w:lang w:val="en-CA"/>
              </w:rPr>
              <w:t>SP</w:t>
            </w:r>
            <w:r w:rsidRPr="00BC081A">
              <w:rPr>
                <w:lang w:val="en-CA"/>
              </w:rPr>
              <w:sym w:font="Wingdings" w:char="F0E0"/>
            </w:r>
            <w:proofErr w:type="spellStart"/>
            <w:r w:rsidRPr="00BC081A">
              <w:rPr>
                <w:lang w:val="en-CA"/>
              </w:rPr>
              <w:t>SCompt</w:t>
            </w:r>
            <w:proofErr w:type="spellEnd"/>
          </w:p>
        </w:tc>
        <w:tc>
          <w:tcPr>
            <w:tcW w:w="1577" w:type="dxa"/>
          </w:tcPr>
          <w:p w14:paraId="50D111BF" w14:textId="77777777" w:rsidR="00C2617F" w:rsidRPr="00BC081A" w:rsidRDefault="00C2617F" w:rsidP="00BE6A35">
            <w:pPr>
              <w:pStyle w:val="TableContext"/>
              <w:rPr>
                <w:lang w:val="en-CA"/>
              </w:rPr>
            </w:pPr>
            <w:r w:rsidRPr="00BC081A">
              <w:rPr>
                <w:lang w:val="en-CA"/>
              </w:rPr>
              <w:t>.26</w:t>
            </w:r>
          </w:p>
        </w:tc>
        <w:tc>
          <w:tcPr>
            <w:tcW w:w="1502" w:type="dxa"/>
          </w:tcPr>
          <w:p w14:paraId="7FA2B0F0" w14:textId="5004E947" w:rsidR="00C2617F" w:rsidRPr="00BC081A" w:rsidRDefault="00C2617F" w:rsidP="00BE6A35">
            <w:pPr>
              <w:pStyle w:val="TableContext"/>
              <w:rPr>
                <w:lang w:val="en-CA"/>
              </w:rPr>
            </w:pPr>
            <w:r w:rsidRPr="00BC081A">
              <w:rPr>
                <w:lang w:val="en-CA"/>
              </w:rPr>
              <w:t>3.3</w:t>
            </w:r>
            <w:r>
              <w:rPr>
                <w:lang w:val="en-CA"/>
              </w:rPr>
              <w:t>0</w:t>
            </w:r>
          </w:p>
        </w:tc>
        <w:tc>
          <w:tcPr>
            <w:tcW w:w="1445" w:type="dxa"/>
          </w:tcPr>
          <w:p w14:paraId="1F6ADE40" w14:textId="77777777" w:rsidR="00C2617F" w:rsidRPr="00BC081A" w:rsidRDefault="00C2617F" w:rsidP="00BE6A35">
            <w:pPr>
              <w:pStyle w:val="TableContext"/>
              <w:rPr>
                <w:lang w:val="en-CA"/>
              </w:rPr>
            </w:pPr>
            <w:r w:rsidRPr="00BC081A">
              <w:rPr>
                <w:lang w:val="en-CA"/>
              </w:rPr>
              <w:t>.000</w:t>
            </w:r>
          </w:p>
        </w:tc>
        <w:tc>
          <w:tcPr>
            <w:tcW w:w="1563" w:type="dxa"/>
          </w:tcPr>
          <w:p w14:paraId="61DD08DA" w14:textId="77777777" w:rsidR="00C2617F" w:rsidRPr="00BC081A" w:rsidRDefault="00C2617F" w:rsidP="00BE6A35">
            <w:pPr>
              <w:pStyle w:val="TableContext"/>
              <w:rPr>
                <w:lang w:val="en-CA"/>
              </w:rPr>
            </w:pPr>
            <w:r w:rsidRPr="00BC081A">
              <w:rPr>
                <w:lang w:val="en-CA"/>
              </w:rPr>
              <w:t>Supported</w:t>
            </w:r>
          </w:p>
        </w:tc>
      </w:tr>
      <w:tr w:rsidR="00C2617F" w:rsidRPr="00BC081A" w14:paraId="3CF4D103" w14:textId="77777777" w:rsidTr="00C2617F">
        <w:tc>
          <w:tcPr>
            <w:tcW w:w="1578" w:type="dxa"/>
            <w:shd w:val="clear" w:color="auto" w:fill="F2F2F2" w:themeFill="background1" w:themeFillShade="F2"/>
          </w:tcPr>
          <w:p w14:paraId="1F9D7A32" w14:textId="72EBE475" w:rsidR="00C2617F" w:rsidRPr="00BC081A" w:rsidRDefault="00C2617F" w:rsidP="00BE6A35">
            <w:pPr>
              <w:pStyle w:val="TableContext"/>
              <w:rPr>
                <w:lang w:val="en-CA"/>
              </w:rPr>
            </w:pPr>
            <w:r w:rsidRPr="00BC081A">
              <w:rPr>
                <w:lang w:val="en-CA"/>
              </w:rPr>
              <w:t>H8</w:t>
            </w:r>
          </w:p>
        </w:tc>
        <w:tc>
          <w:tcPr>
            <w:tcW w:w="1911" w:type="dxa"/>
          </w:tcPr>
          <w:p w14:paraId="776586DC" w14:textId="77777777" w:rsidR="00C2617F" w:rsidRPr="00BC081A" w:rsidRDefault="00C2617F" w:rsidP="00BE6A35">
            <w:pPr>
              <w:pStyle w:val="TableContext"/>
              <w:rPr>
                <w:lang w:val="en-CA"/>
              </w:rPr>
            </w:pPr>
            <w:r w:rsidRPr="00BC081A">
              <w:rPr>
                <w:lang w:val="en-CA"/>
              </w:rPr>
              <w:t>Mode</w:t>
            </w:r>
            <w:r w:rsidRPr="00BC081A">
              <w:rPr>
                <w:lang w:val="en-CA"/>
              </w:rPr>
              <w:sym w:font="Wingdings" w:char="F0E0"/>
            </w:r>
            <w:r w:rsidRPr="00BC081A">
              <w:rPr>
                <w:lang w:val="en-CA"/>
              </w:rPr>
              <w:t>SP</w:t>
            </w:r>
          </w:p>
        </w:tc>
        <w:tc>
          <w:tcPr>
            <w:tcW w:w="1577" w:type="dxa"/>
          </w:tcPr>
          <w:p w14:paraId="0CF396B1" w14:textId="3A6A4E47" w:rsidR="00C2617F" w:rsidRPr="00BC081A" w:rsidRDefault="00C2617F" w:rsidP="00BE6A35">
            <w:pPr>
              <w:pStyle w:val="TableContext"/>
              <w:rPr>
                <w:lang w:val="en-CA"/>
              </w:rPr>
            </w:pPr>
            <w:r w:rsidRPr="00BC081A">
              <w:rPr>
                <w:lang w:val="en-CA"/>
              </w:rPr>
              <w:t>.37</w:t>
            </w:r>
          </w:p>
        </w:tc>
        <w:tc>
          <w:tcPr>
            <w:tcW w:w="1502" w:type="dxa"/>
          </w:tcPr>
          <w:p w14:paraId="77E8C603" w14:textId="3901BF33" w:rsidR="00C2617F" w:rsidRPr="00BC081A" w:rsidRDefault="00C2617F" w:rsidP="00BE6A35">
            <w:pPr>
              <w:pStyle w:val="TableContext"/>
              <w:rPr>
                <w:lang w:val="en-CA"/>
              </w:rPr>
            </w:pPr>
            <w:r>
              <w:rPr>
                <w:lang w:val="en-CA"/>
              </w:rPr>
              <w:t>4.06</w:t>
            </w:r>
          </w:p>
        </w:tc>
        <w:tc>
          <w:tcPr>
            <w:tcW w:w="1445" w:type="dxa"/>
          </w:tcPr>
          <w:p w14:paraId="38014665" w14:textId="77777777" w:rsidR="00C2617F" w:rsidRPr="00BC081A" w:rsidRDefault="00C2617F" w:rsidP="00BE6A35">
            <w:pPr>
              <w:pStyle w:val="TableContext"/>
              <w:rPr>
                <w:lang w:val="en-CA"/>
              </w:rPr>
            </w:pPr>
            <w:r w:rsidRPr="00BC081A">
              <w:rPr>
                <w:lang w:val="en-CA"/>
              </w:rPr>
              <w:t>.000</w:t>
            </w:r>
          </w:p>
        </w:tc>
        <w:tc>
          <w:tcPr>
            <w:tcW w:w="1563" w:type="dxa"/>
          </w:tcPr>
          <w:p w14:paraId="23F65A59" w14:textId="77777777" w:rsidR="00C2617F" w:rsidRPr="00BC081A" w:rsidRDefault="00C2617F" w:rsidP="00BE6A35">
            <w:pPr>
              <w:pStyle w:val="TableContext"/>
              <w:rPr>
                <w:lang w:val="en-CA"/>
              </w:rPr>
            </w:pPr>
            <w:r w:rsidRPr="00BC081A">
              <w:rPr>
                <w:lang w:val="en-CA"/>
              </w:rPr>
              <w:t>Supported</w:t>
            </w:r>
          </w:p>
        </w:tc>
      </w:tr>
      <w:tr w:rsidR="00C2617F" w:rsidRPr="00BC081A" w14:paraId="58D2F0AE" w14:textId="77777777" w:rsidTr="00C2617F">
        <w:tc>
          <w:tcPr>
            <w:tcW w:w="1578" w:type="dxa"/>
            <w:shd w:val="clear" w:color="auto" w:fill="F2F2F2" w:themeFill="background1" w:themeFillShade="F2"/>
          </w:tcPr>
          <w:p w14:paraId="0A49C9DC" w14:textId="77777777" w:rsidR="00C2617F" w:rsidRPr="00BC081A" w:rsidRDefault="00C2617F" w:rsidP="00586356">
            <w:pPr>
              <w:pStyle w:val="TableContext"/>
              <w:rPr>
                <w:lang w:val="en-CA"/>
              </w:rPr>
            </w:pPr>
            <w:r w:rsidRPr="00BC081A">
              <w:rPr>
                <w:lang w:val="en-CA"/>
              </w:rPr>
              <w:t>H9</w:t>
            </w:r>
          </w:p>
        </w:tc>
        <w:tc>
          <w:tcPr>
            <w:tcW w:w="1911" w:type="dxa"/>
          </w:tcPr>
          <w:p w14:paraId="4BD1C2AE" w14:textId="1AEAF572" w:rsidR="00C2617F" w:rsidRPr="00BC081A" w:rsidRDefault="00C2617F" w:rsidP="00586356">
            <w:pPr>
              <w:pStyle w:val="TableContext"/>
              <w:rPr>
                <w:lang w:val="en-CA"/>
              </w:rPr>
            </w:pPr>
            <w:r w:rsidRPr="00BC081A">
              <w:rPr>
                <w:lang w:val="en-CA"/>
              </w:rPr>
              <w:t>Mode</w:t>
            </w:r>
            <w:r w:rsidRPr="00BC081A">
              <w:rPr>
                <w:lang w:val="en-CA"/>
              </w:rPr>
              <w:sym w:font="Wingdings" w:char="F0E0"/>
            </w:r>
            <w:proofErr w:type="spellStart"/>
            <w:r w:rsidRPr="00BC081A">
              <w:rPr>
                <w:lang w:val="en-CA"/>
              </w:rPr>
              <w:t>SCompt</w:t>
            </w:r>
            <w:proofErr w:type="spellEnd"/>
          </w:p>
        </w:tc>
        <w:tc>
          <w:tcPr>
            <w:tcW w:w="1577" w:type="dxa"/>
          </w:tcPr>
          <w:p w14:paraId="49266B2C" w14:textId="77777777" w:rsidR="00C2617F" w:rsidRPr="00BC081A" w:rsidRDefault="00C2617F" w:rsidP="00586356">
            <w:pPr>
              <w:pStyle w:val="TableContext"/>
              <w:rPr>
                <w:lang w:val="en-CA"/>
              </w:rPr>
            </w:pPr>
            <w:r w:rsidRPr="00BC081A">
              <w:rPr>
                <w:lang w:val="en-CA"/>
              </w:rPr>
              <w:t>.43</w:t>
            </w:r>
          </w:p>
        </w:tc>
        <w:tc>
          <w:tcPr>
            <w:tcW w:w="1502" w:type="dxa"/>
          </w:tcPr>
          <w:p w14:paraId="61EA4848" w14:textId="06D9C4E6" w:rsidR="00C2617F" w:rsidRPr="00BC081A" w:rsidRDefault="00C2617F" w:rsidP="00586356">
            <w:pPr>
              <w:pStyle w:val="TableContext"/>
              <w:rPr>
                <w:lang w:val="en-CA"/>
              </w:rPr>
            </w:pPr>
            <w:r w:rsidRPr="00BC081A">
              <w:rPr>
                <w:lang w:val="en-CA"/>
              </w:rPr>
              <w:t>5.5</w:t>
            </w:r>
            <w:r>
              <w:rPr>
                <w:lang w:val="en-CA"/>
              </w:rPr>
              <w:t>5</w:t>
            </w:r>
          </w:p>
        </w:tc>
        <w:tc>
          <w:tcPr>
            <w:tcW w:w="1445" w:type="dxa"/>
          </w:tcPr>
          <w:p w14:paraId="73E3CF11" w14:textId="77777777" w:rsidR="00C2617F" w:rsidRPr="00BC081A" w:rsidRDefault="00C2617F" w:rsidP="00586356">
            <w:pPr>
              <w:pStyle w:val="TableContext"/>
              <w:rPr>
                <w:lang w:val="en-CA"/>
              </w:rPr>
            </w:pPr>
            <w:r w:rsidRPr="00BC081A">
              <w:rPr>
                <w:lang w:val="en-CA"/>
              </w:rPr>
              <w:t>.000</w:t>
            </w:r>
          </w:p>
        </w:tc>
        <w:tc>
          <w:tcPr>
            <w:tcW w:w="1563" w:type="dxa"/>
          </w:tcPr>
          <w:p w14:paraId="058BA203" w14:textId="77777777" w:rsidR="00C2617F" w:rsidRPr="00BC081A" w:rsidRDefault="00C2617F" w:rsidP="00586356">
            <w:pPr>
              <w:pStyle w:val="TableContext"/>
              <w:rPr>
                <w:lang w:val="en-CA"/>
              </w:rPr>
            </w:pPr>
            <w:r w:rsidRPr="00BC081A">
              <w:rPr>
                <w:lang w:val="en-CA"/>
              </w:rPr>
              <w:t>Supported</w:t>
            </w:r>
          </w:p>
        </w:tc>
      </w:tr>
      <w:tr w:rsidR="00C2617F" w:rsidRPr="00BC081A" w14:paraId="0371FF8D" w14:textId="77777777" w:rsidTr="00C2617F">
        <w:tc>
          <w:tcPr>
            <w:tcW w:w="1578" w:type="dxa"/>
            <w:shd w:val="clear" w:color="auto" w:fill="F2F2F2" w:themeFill="background1" w:themeFillShade="F2"/>
          </w:tcPr>
          <w:p w14:paraId="61DB5718" w14:textId="0A5CE6A7" w:rsidR="00C2617F" w:rsidRPr="00BC081A" w:rsidRDefault="00C2617F" w:rsidP="00BE6A35">
            <w:pPr>
              <w:pStyle w:val="TableContext"/>
              <w:rPr>
                <w:lang w:val="en-CA"/>
              </w:rPr>
            </w:pPr>
            <w:r w:rsidRPr="00BC081A">
              <w:rPr>
                <w:lang w:val="en-CA"/>
              </w:rPr>
              <w:t>H10</w:t>
            </w:r>
          </w:p>
        </w:tc>
        <w:tc>
          <w:tcPr>
            <w:tcW w:w="1911" w:type="dxa"/>
          </w:tcPr>
          <w:p w14:paraId="36A926F6" w14:textId="46A9EEE1" w:rsidR="00C2617F" w:rsidRPr="00BC081A" w:rsidRDefault="00C2617F" w:rsidP="00BE6A35">
            <w:pPr>
              <w:pStyle w:val="TableContext"/>
              <w:rPr>
                <w:lang w:val="en-CA"/>
              </w:rPr>
            </w:pPr>
            <w:proofErr w:type="spellStart"/>
            <w:r w:rsidRPr="00BC081A">
              <w:rPr>
                <w:lang w:val="en-CA"/>
              </w:rPr>
              <w:t>DCompt</w:t>
            </w:r>
            <w:proofErr w:type="spellEnd"/>
            <w:r w:rsidRPr="00BC081A">
              <w:rPr>
                <w:lang w:val="en-CA"/>
              </w:rPr>
              <w:sym w:font="Wingdings" w:char="F0E0"/>
            </w:r>
            <w:proofErr w:type="spellStart"/>
            <w:r w:rsidRPr="00BC081A">
              <w:rPr>
                <w:lang w:val="en-CA"/>
              </w:rPr>
              <w:t>SCompt</w:t>
            </w:r>
            <w:proofErr w:type="spellEnd"/>
          </w:p>
        </w:tc>
        <w:tc>
          <w:tcPr>
            <w:tcW w:w="1577" w:type="dxa"/>
          </w:tcPr>
          <w:p w14:paraId="12486CC8" w14:textId="0FC0E10B" w:rsidR="00C2617F" w:rsidRPr="00BC081A" w:rsidRDefault="00C2617F" w:rsidP="00BE6A35">
            <w:pPr>
              <w:pStyle w:val="TableContext"/>
              <w:rPr>
                <w:lang w:val="en-CA"/>
              </w:rPr>
            </w:pPr>
            <w:r w:rsidRPr="00BC081A">
              <w:rPr>
                <w:lang w:val="en-CA"/>
              </w:rPr>
              <w:t>.28</w:t>
            </w:r>
          </w:p>
        </w:tc>
        <w:tc>
          <w:tcPr>
            <w:tcW w:w="1502" w:type="dxa"/>
          </w:tcPr>
          <w:p w14:paraId="7F81FE15" w14:textId="5C1F6026" w:rsidR="00C2617F" w:rsidRPr="00BC081A" w:rsidRDefault="00C2617F" w:rsidP="00BE6A35">
            <w:pPr>
              <w:pStyle w:val="TableContext"/>
              <w:rPr>
                <w:lang w:val="en-CA"/>
              </w:rPr>
            </w:pPr>
            <w:r w:rsidRPr="00BC081A">
              <w:rPr>
                <w:lang w:val="en-CA"/>
              </w:rPr>
              <w:t>3.</w:t>
            </w:r>
            <w:r>
              <w:rPr>
                <w:lang w:val="en-CA"/>
              </w:rPr>
              <w:t>63</w:t>
            </w:r>
          </w:p>
        </w:tc>
        <w:tc>
          <w:tcPr>
            <w:tcW w:w="1445" w:type="dxa"/>
          </w:tcPr>
          <w:p w14:paraId="38FD6C22" w14:textId="77777777" w:rsidR="00C2617F" w:rsidRPr="00BC081A" w:rsidRDefault="00C2617F" w:rsidP="00BE6A35">
            <w:pPr>
              <w:pStyle w:val="TableContext"/>
              <w:rPr>
                <w:lang w:val="en-CA"/>
              </w:rPr>
            </w:pPr>
            <w:r w:rsidRPr="00BC081A">
              <w:rPr>
                <w:lang w:val="en-CA"/>
              </w:rPr>
              <w:t>.000</w:t>
            </w:r>
          </w:p>
        </w:tc>
        <w:tc>
          <w:tcPr>
            <w:tcW w:w="1563" w:type="dxa"/>
          </w:tcPr>
          <w:p w14:paraId="6D2A1B9B" w14:textId="77777777" w:rsidR="00C2617F" w:rsidRPr="00BC081A" w:rsidRDefault="00C2617F" w:rsidP="00BE6A35">
            <w:pPr>
              <w:pStyle w:val="TableContext"/>
              <w:rPr>
                <w:lang w:val="en-CA"/>
              </w:rPr>
            </w:pPr>
            <w:r w:rsidRPr="00BC081A">
              <w:rPr>
                <w:lang w:val="en-CA"/>
              </w:rPr>
              <w:t>Supported</w:t>
            </w:r>
          </w:p>
        </w:tc>
      </w:tr>
    </w:tbl>
    <w:p w14:paraId="7A1B28B2" w14:textId="77777777" w:rsidR="00F3774C" w:rsidRPr="00BC081A" w:rsidRDefault="00F3774C" w:rsidP="00064139"/>
    <w:p w14:paraId="725F3552" w14:textId="4D664B6B" w:rsidR="006406A9" w:rsidRPr="00BC081A" w:rsidRDefault="006406A9" w:rsidP="009406A7">
      <w:pPr>
        <w:pStyle w:val="Heading4"/>
      </w:pPr>
      <w:r w:rsidRPr="00BC081A">
        <w:t xml:space="preserve">Mediation Test (Challenge </w:t>
      </w:r>
      <w:r w:rsidRPr="00BC081A">
        <w:sym w:font="Wingdings" w:char="F0E0"/>
      </w:r>
      <w:r w:rsidRPr="00BC081A">
        <w:t xml:space="preserve"> Arousal </w:t>
      </w:r>
      <w:r w:rsidRPr="00BC081A">
        <w:sym w:font="Wingdings" w:char="F0E0"/>
      </w:r>
      <w:r w:rsidRPr="00BC081A">
        <w:t xml:space="preserve"> Flow)</w:t>
      </w:r>
    </w:p>
    <w:p w14:paraId="0F7D1A4A" w14:textId="4C411050" w:rsidR="006406A9" w:rsidRPr="00BC081A" w:rsidRDefault="0009144F" w:rsidP="006406A9">
      <w:r w:rsidRPr="00BC081A">
        <w:t xml:space="preserve">Based on the theory of Flow, it was expected </w:t>
      </w:r>
      <w:r w:rsidR="00CB7801">
        <w:t xml:space="preserve">that there would be </w:t>
      </w:r>
      <w:r w:rsidRPr="00BC081A">
        <w:t xml:space="preserve">a significant relationship between Challenge and Flow. However, the only non-significant relationship in the model was for the hypothesis of the effect of Challenge on Flow. As such, it is </w:t>
      </w:r>
      <w:r w:rsidR="00CB7801">
        <w:t>likely</w:t>
      </w:r>
      <w:r w:rsidR="00CB7801" w:rsidRPr="00BC081A">
        <w:t xml:space="preserve"> </w:t>
      </w:r>
      <w:r w:rsidRPr="00BC081A">
        <w:t xml:space="preserve">that </w:t>
      </w:r>
      <w:r w:rsidRPr="00BC081A">
        <w:lastRenderedPageBreak/>
        <w:t xml:space="preserve">Arousal is fully mediating the relationship between Challenge and Flow. </w:t>
      </w:r>
      <w:r w:rsidR="006406A9" w:rsidRPr="00BC081A">
        <w:t>In order to test for mediation effect of Arousal on the relationship between Challenge and Flow further analysis was conducted. These steps were taken to check the mediation effect:</w:t>
      </w:r>
    </w:p>
    <w:p w14:paraId="01A4C4E0" w14:textId="604228FE" w:rsidR="006406A9" w:rsidRPr="00BC081A" w:rsidRDefault="006406A9" w:rsidP="00536F6A">
      <w:pPr>
        <w:pStyle w:val="ListParagraph"/>
        <w:numPr>
          <w:ilvl w:val="0"/>
          <w:numId w:val="10"/>
        </w:numPr>
      </w:pPr>
      <w:r w:rsidRPr="00BC081A">
        <w:t>Flow was regressed on Challenge</w:t>
      </w:r>
    </w:p>
    <w:p w14:paraId="46164AD8" w14:textId="3B667685" w:rsidR="006406A9" w:rsidRPr="00BC081A" w:rsidRDefault="006406A9" w:rsidP="00536F6A">
      <w:pPr>
        <w:pStyle w:val="ListParagraph"/>
        <w:numPr>
          <w:ilvl w:val="0"/>
          <w:numId w:val="10"/>
        </w:numPr>
      </w:pPr>
      <w:r w:rsidRPr="00BC081A">
        <w:t>Arousal was regressed on Challenge</w:t>
      </w:r>
    </w:p>
    <w:p w14:paraId="458FDEE3" w14:textId="6BFB1BD0" w:rsidR="006406A9" w:rsidRPr="00BC081A" w:rsidRDefault="006406A9" w:rsidP="00536F6A">
      <w:pPr>
        <w:pStyle w:val="ListParagraph"/>
        <w:numPr>
          <w:ilvl w:val="0"/>
          <w:numId w:val="10"/>
        </w:numPr>
      </w:pPr>
      <w:r w:rsidRPr="00BC081A">
        <w:t>Flow was regressed on Arousal and Challenge at the same time</w:t>
      </w:r>
    </w:p>
    <w:p w14:paraId="2295E83C" w14:textId="596FE989" w:rsidR="006406A9" w:rsidRPr="00BC081A" w:rsidRDefault="006406A9" w:rsidP="006406A9">
      <w:r w:rsidRPr="00BC081A">
        <w:t xml:space="preserve">The result of both step 1 and 2 were significant at </w:t>
      </w:r>
      <w:r w:rsidRPr="00BC081A">
        <w:rPr>
          <w:i/>
        </w:rPr>
        <w:t>p&lt;</w:t>
      </w:r>
      <w:proofErr w:type="gramStart"/>
      <w:r w:rsidRPr="00BC081A">
        <w:rPr>
          <w:i/>
        </w:rPr>
        <w:t>.01</w:t>
      </w:r>
      <w:proofErr w:type="gramEnd"/>
      <w:r w:rsidRPr="00BC081A">
        <w:rPr>
          <w:i/>
        </w:rPr>
        <w:t xml:space="preserve"> </w:t>
      </w:r>
      <w:r w:rsidR="007945E5" w:rsidRPr="00BC081A">
        <w:t xml:space="preserve">with standardized coefficient (Beta) value of .275 </w:t>
      </w:r>
      <w:r w:rsidRPr="00BC081A">
        <w:t xml:space="preserve">and </w:t>
      </w:r>
      <w:r w:rsidRPr="00BC081A">
        <w:rPr>
          <w:i/>
        </w:rPr>
        <w:t>p&lt;.001</w:t>
      </w:r>
      <w:r w:rsidR="007945E5" w:rsidRPr="00BC081A">
        <w:t xml:space="preserve"> with Beta value of .357 respectively. </w:t>
      </w:r>
      <w:r w:rsidR="002B4C3F" w:rsidRPr="00BC081A">
        <w:t xml:space="preserve">Step 3 showed that when both variables </w:t>
      </w:r>
      <w:r w:rsidR="00CC7DD0">
        <w:t>are used</w:t>
      </w:r>
      <w:r w:rsidR="00CC7DD0" w:rsidRPr="00BC081A">
        <w:t xml:space="preserve"> </w:t>
      </w:r>
      <w:r w:rsidR="002B4C3F" w:rsidRPr="00BC081A">
        <w:t>together in multiple regression on Flow, the effect of Arousal on Flow is high and significant (</w:t>
      </w:r>
      <w:r w:rsidR="002B4C3F" w:rsidRPr="00BC081A">
        <w:rPr>
          <w:i/>
        </w:rPr>
        <w:t>B=</w:t>
      </w:r>
      <w:proofErr w:type="gramStart"/>
      <w:r w:rsidR="002B4C3F" w:rsidRPr="00BC081A">
        <w:rPr>
          <w:i/>
        </w:rPr>
        <w:t>.562</w:t>
      </w:r>
      <w:proofErr w:type="gramEnd"/>
      <w:r w:rsidR="002B4C3F" w:rsidRPr="00BC081A">
        <w:rPr>
          <w:i/>
        </w:rPr>
        <w:t xml:space="preserve"> </w:t>
      </w:r>
      <w:r w:rsidR="002B4C3F" w:rsidRPr="00BC081A">
        <w:t xml:space="preserve">for </w:t>
      </w:r>
      <w:r w:rsidR="002B4C3F" w:rsidRPr="00BC081A">
        <w:rPr>
          <w:i/>
        </w:rPr>
        <w:t>p&lt;.001</w:t>
      </w:r>
      <w:r w:rsidR="002B4C3F" w:rsidRPr="00BC081A">
        <w:t xml:space="preserve">) while the effect of Challenge on Flow is 0 and not significant at any level. This shows that despite the effect of Challenge on Flow, Arousal fully mediates the relationship between these two variables. </w:t>
      </w:r>
    </w:p>
    <w:p w14:paraId="741053B3" w14:textId="3167E361" w:rsidR="009406A7" w:rsidRPr="00BC081A" w:rsidRDefault="009406A7" w:rsidP="009406A7">
      <w:pPr>
        <w:pStyle w:val="Heading4"/>
      </w:pPr>
      <w:r w:rsidRPr="00BC081A">
        <w:t>Goodness of Fit</w:t>
      </w:r>
    </w:p>
    <w:p w14:paraId="798AC2B2" w14:textId="5F0225C2" w:rsidR="009406A7" w:rsidRPr="00BC081A" w:rsidRDefault="003F767D" w:rsidP="009406A7">
      <w:proofErr w:type="spellStart"/>
      <w:r w:rsidRPr="00BC081A">
        <w:t>SmartPLS</w:t>
      </w:r>
      <w:proofErr w:type="spellEnd"/>
      <w:r w:rsidRPr="00BC081A">
        <w:t xml:space="preserve">, unlike covariance-based SEM tools such as LISREL, AMOS, and </w:t>
      </w:r>
      <w:proofErr w:type="spellStart"/>
      <w:r w:rsidRPr="00BC081A">
        <w:t>Mplus</w:t>
      </w:r>
      <w:proofErr w:type="spellEnd"/>
      <w:r w:rsidRPr="00BC081A">
        <w:t xml:space="preserve"> does not provide</w:t>
      </w:r>
      <w:r w:rsidR="00924DF5" w:rsidRPr="00BC081A">
        <w:t xml:space="preserve"> a</w:t>
      </w:r>
      <w:r w:rsidRPr="00BC081A">
        <w:t xml:space="preserve"> </w:t>
      </w:r>
      <w:r w:rsidR="002A04F0" w:rsidRPr="00BC081A">
        <w:t>Goodness of Fitness (</w:t>
      </w:r>
      <w:proofErr w:type="spellStart"/>
      <w:r w:rsidR="002A04F0" w:rsidRPr="00BC081A">
        <w:t>GoF</w:t>
      </w:r>
      <w:proofErr w:type="spellEnd"/>
      <w:r w:rsidR="002A04F0" w:rsidRPr="00BC081A">
        <w:t>)</w:t>
      </w:r>
      <w:r w:rsidRPr="00BC081A">
        <w:t xml:space="preserve"> index. </w:t>
      </w:r>
      <w:r w:rsidR="00E70971" w:rsidRPr="00BC081A">
        <w:t xml:space="preserve">However, it is possible to calculate a </w:t>
      </w:r>
      <w:proofErr w:type="spellStart"/>
      <w:r w:rsidR="00E70971" w:rsidRPr="00BC081A">
        <w:t>GoF</w:t>
      </w:r>
      <w:proofErr w:type="spellEnd"/>
      <w:r w:rsidR="00E70971" w:rsidRPr="00BC081A">
        <w:t xml:space="preserve"> based on the results of SEM in </w:t>
      </w:r>
      <w:proofErr w:type="spellStart"/>
      <w:r w:rsidR="00E70971" w:rsidRPr="00BC081A">
        <w:t>SmartPLS</w:t>
      </w:r>
      <w:proofErr w:type="spellEnd"/>
      <w:r w:rsidR="00E70971" w:rsidRPr="00BC081A">
        <w:t xml:space="preserve"> in order to assess the fit of the model. </w:t>
      </w:r>
      <w:r w:rsidR="00FB50CD" w:rsidRPr="00BC081A">
        <w:t xml:space="preserve">Here </w:t>
      </w:r>
      <w:r w:rsidR="00FB50CD" w:rsidRPr="00BC081A">
        <w:fldChar w:fldCharType="begin" w:fldLock="1"/>
      </w:r>
      <w:r w:rsidR="00AC1F7D">
        <w:instrText>ADDIN CSL_CITATION { "citationItems" : [ { "id" : "ITEM-1", "itemData" : { "author" : [ { "dropping-particle" : "", "family" : "Wetzels", "given" : "Martin", "non-dropping-particle" : "", "parse-names" : false, "suffix" : "" }, { "dropping-particle" : "", "family" : "Odekerken-Schroder", "given" : "Gaby", "non-dropping-particle" : "", "parse-names" : false, "suffix" : "" }, { "dropping-particle" : "", "family" : "Oppen", "given" : "Claudia", "non-dropping-particle" : "Van", "parse-names" : false, "suffix" : "" } ], "container-title" : "Management Information Systems Quarterly", "id" : "ITEM-1", "issue" : "1", "issued" : { "date-parts" : [ [ "2009" ] ] }, "page" : "11", "title" : "Using PLS path modeling for assessing hierarchical construct models: guidelines and empirical illustration", "type" : "article-journal", "volume" : "33" }, "uris" : [ "http://www.mendeley.com/documents/?uuid=ce9c4b81-b822-45db-bd9e-54fe52cf01dd" ] } ], "mendeley" : { "manualFormatting" : "Wetzels, Odekerken-Schroder, &amp; Van Oppen's (2009)", "previouslyFormattedCitation" : "(Wetzels, Odekerken-Schroder, &amp; Van Oppen, 2009)" }, "properties" : { "noteIndex" : 0 }, "schema" : "https://github.com/citation-style-language/schema/raw/master/csl-citation.json" }</w:instrText>
      </w:r>
      <w:r w:rsidR="00FB50CD" w:rsidRPr="00BC081A">
        <w:fldChar w:fldCharType="separate"/>
      </w:r>
      <w:r w:rsidR="00FB50CD" w:rsidRPr="00BC081A">
        <w:rPr>
          <w:noProof/>
        </w:rPr>
        <w:t>Wetzels, Odekerken-Schroder, &amp; Van Oppen's (2009)</w:t>
      </w:r>
      <w:r w:rsidR="00FB50CD" w:rsidRPr="00BC081A">
        <w:fldChar w:fldCharType="end"/>
      </w:r>
      <w:r w:rsidR="00FB50CD" w:rsidRPr="00BC081A">
        <w:t xml:space="preserve"> </w:t>
      </w:r>
      <w:r w:rsidR="00A1637D" w:rsidRPr="00BC081A">
        <w:t>approach</w:t>
      </w:r>
      <w:r w:rsidR="009C0EC9">
        <w:t xml:space="preserve"> was used</w:t>
      </w:r>
      <w:r w:rsidR="00FB50CD" w:rsidRPr="00BC081A">
        <w:t xml:space="preserve"> </w:t>
      </w:r>
      <w:r w:rsidR="003303F5" w:rsidRPr="00BC081A">
        <w:t>(</w:t>
      </w:r>
      <w:r w:rsidR="003303F5" w:rsidRPr="00BC081A">
        <w:fldChar w:fldCharType="begin"/>
      </w:r>
      <w:r w:rsidR="003303F5" w:rsidRPr="00BC081A">
        <w:instrText xml:space="preserve"> REF _Ref267359023 \h </w:instrText>
      </w:r>
      <w:r w:rsidR="003303F5" w:rsidRPr="00BC081A">
        <w:fldChar w:fldCharType="separate"/>
      </w:r>
      <w:r w:rsidR="008C71FB" w:rsidRPr="00BC081A">
        <w:t xml:space="preserve">Equation </w:t>
      </w:r>
      <w:r w:rsidR="008C71FB">
        <w:rPr>
          <w:noProof/>
        </w:rPr>
        <w:t>1</w:t>
      </w:r>
      <w:r w:rsidR="003303F5" w:rsidRPr="00BC081A">
        <w:fldChar w:fldCharType="end"/>
      </w:r>
      <w:r w:rsidR="003303F5" w:rsidRPr="00BC081A">
        <w:t xml:space="preserve">) </w:t>
      </w:r>
      <w:r w:rsidR="00FB50CD" w:rsidRPr="00BC081A">
        <w:t xml:space="preserve">for measuring </w:t>
      </w:r>
      <w:proofErr w:type="spellStart"/>
      <w:r w:rsidR="00FB50CD" w:rsidRPr="00BC081A">
        <w:t>GoF</w:t>
      </w:r>
      <w:proofErr w:type="spellEnd"/>
      <w:r w:rsidR="00FB50CD" w:rsidRPr="00BC081A">
        <w:t xml:space="preserve"> of a</w:t>
      </w:r>
      <w:r w:rsidR="00DD2764" w:rsidRPr="00BC081A">
        <w:t xml:space="preserve"> variance-based SEM such as PLS. </w:t>
      </w:r>
    </w:p>
    <w:p w14:paraId="3745EFF6" w14:textId="7AD5F974" w:rsidR="00DD2764" w:rsidRPr="00BC081A" w:rsidRDefault="00DD2764" w:rsidP="00C92D78">
      <w:pPr>
        <w:pStyle w:val="Caption"/>
      </w:pPr>
      <w:bookmarkStart w:id="86" w:name="_Ref267359023"/>
      <w:bookmarkStart w:id="87" w:name="_Ref267359020"/>
      <w:bookmarkStart w:id="88" w:name="_Toc274832387"/>
      <w:r w:rsidRPr="00BC081A">
        <w:t xml:space="preserve">Equation </w:t>
      </w:r>
      <w:r w:rsidR="007804FF">
        <w:fldChar w:fldCharType="begin"/>
      </w:r>
      <w:r w:rsidR="007804FF">
        <w:instrText xml:space="preserve"> SEQ Equation \* ARABIC </w:instrText>
      </w:r>
      <w:r w:rsidR="007804FF">
        <w:fldChar w:fldCharType="separate"/>
      </w:r>
      <w:r w:rsidR="008C71FB">
        <w:rPr>
          <w:noProof/>
        </w:rPr>
        <w:t>1</w:t>
      </w:r>
      <w:r w:rsidR="007804FF">
        <w:rPr>
          <w:noProof/>
        </w:rPr>
        <w:fldChar w:fldCharType="end"/>
      </w:r>
      <w:bookmarkEnd w:id="86"/>
      <w:r w:rsidRPr="00BC081A">
        <w:t xml:space="preserve"> – Goodness of Fitness Formula (</w:t>
      </w:r>
      <w:proofErr w:type="spellStart"/>
      <w:r w:rsidRPr="00BC081A">
        <w:t>Wetzels</w:t>
      </w:r>
      <w:proofErr w:type="spellEnd"/>
      <w:r w:rsidRPr="00BC081A">
        <w:t xml:space="preserve"> et al., 2009)</w:t>
      </w:r>
      <w:bookmarkEnd w:id="87"/>
      <w:bookmarkEnd w:id="88"/>
    </w:p>
    <w:p w14:paraId="690AF024" w14:textId="0ABAE1F0" w:rsidR="00DD2764" w:rsidRPr="00BC081A" w:rsidRDefault="00DD2764" w:rsidP="00DD2764">
      <w:pPr>
        <w:jc w:val="center"/>
      </w:pPr>
      <m:oMath>
        <m:r>
          <w:rPr>
            <w:rFonts w:ascii="Cambria Math" w:hAnsi="Cambria Math"/>
          </w:rPr>
          <m:t xml:space="preserve">GoF= </m:t>
        </m:r>
        <m:rad>
          <m:radPr>
            <m:degHide m:val="1"/>
            <m:ctrlPr>
              <w:rPr>
                <w:rFonts w:ascii="Cambria Math" w:hAnsi="Cambria Math"/>
                <w:i/>
              </w:rPr>
            </m:ctrlPr>
          </m:radPr>
          <m:deg/>
          <m:e>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AVE</m:t>
                        </m:r>
                      </m:e>
                      <m:sub>
                        <m:r>
                          <w:rPr>
                            <w:rFonts w:ascii="Cambria Math" w:hAnsi="Cambria Math"/>
                          </w:rPr>
                          <m:t>n</m:t>
                        </m:r>
                      </m:sub>
                    </m:sSub>
                  </m:e>
                </m:nary>
              </m:num>
              <m:den>
                <m:r>
                  <w:rPr>
                    <w:rFonts w:ascii="Cambria Math" w:hAnsi="Cambria Math"/>
                  </w:rPr>
                  <m:t>n</m:t>
                </m:r>
              </m:den>
            </m:f>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m</m:t>
                    </m:r>
                  </m:sub>
                  <m:sup/>
                  <m:e>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2</m:t>
                        </m:r>
                      </m:sup>
                    </m:sSubSup>
                  </m:e>
                </m:nary>
              </m:num>
              <m:den>
                <m:r>
                  <w:rPr>
                    <w:rFonts w:ascii="Cambria Math" w:hAnsi="Cambria Math"/>
                  </w:rPr>
                  <m:t>m</m:t>
                </m:r>
              </m:den>
            </m:f>
          </m:e>
        </m:rad>
        <m:r>
          <w:rPr>
            <w:rFonts w:ascii="Cambria Math" w:hAnsi="Cambria Math"/>
          </w:rPr>
          <m:t xml:space="preserve"> </m:t>
        </m:r>
      </m:oMath>
      <w:r w:rsidRPr="00BC081A">
        <w:t xml:space="preserve">   Where n = number of total constructs</w:t>
      </w:r>
    </w:p>
    <w:p w14:paraId="0B6C5B6A" w14:textId="595D5BF6" w:rsidR="00BB74D9" w:rsidRPr="00BC081A" w:rsidRDefault="00DD2764" w:rsidP="00BB74D9">
      <w:pPr>
        <w:ind w:left="4320" w:firstLine="0"/>
        <w:jc w:val="center"/>
      </w:pPr>
      <w:r w:rsidRPr="00BC081A">
        <w:t xml:space="preserve">        </w:t>
      </w:r>
      <w:proofErr w:type="gramStart"/>
      <w:r w:rsidRPr="00BC081A">
        <w:t>m</w:t>
      </w:r>
      <w:proofErr w:type="gramEnd"/>
      <w:r w:rsidRPr="00BC081A">
        <w:t xml:space="preserve"> = number of endogenous constructs</w:t>
      </w:r>
    </w:p>
    <w:p w14:paraId="577A6F46" w14:textId="67561455" w:rsidR="004C55D3" w:rsidRPr="00BC081A" w:rsidRDefault="00864F7C" w:rsidP="00F9202C">
      <w:r w:rsidRPr="00BC081A">
        <w:lastRenderedPageBreak/>
        <w:t>Based on</w:t>
      </w:r>
      <w:r w:rsidR="00A1637D" w:rsidRPr="00BC081A">
        <w:t xml:space="preserve"> the above</w:t>
      </w:r>
      <w:r w:rsidRPr="00BC081A">
        <w:t xml:space="preserve"> formula,</w:t>
      </w:r>
      <w:r w:rsidR="00A1637D" w:rsidRPr="00BC081A">
        <w:t xml:space="preserve"> the</w:t>
      </w:r>
      <w:r w:rsidRPr="00BC081A">
        <w:t xml:space="preserve"> </w:t>
      </w:r>
      <w:proofErr w:type="spellStart"/>
      <w:r w:rsidRPr="00BC081A">
        <w:t>GoF</w:t>
      </w:r>
      <w:proofErr w:type="spellEnd"/>
      <w:r w:rsidRPr="00BC081A">
        <w:t xml:space="preserve"> for </w:t>
      </w:r>
      <w:r w:rsidR="003D40C4">
        <w:t>the</w:t>
      </w:r>
      <w:r w:rsidRPr="00BC081A">
        <w:t xml:space="preserve"> proposed model is 0.52, which is significantly higher than the </w:t>
      </w:r>
      <w:r w:rsidR="00A1637D" w:rsidRPr="00BC081A">
        <w:t xml:space="preserve">recommended </w:t>
      </w:r>
      <w:r w:rsidRPr="00BC081A">
        <w:t xml:space="preserve">threshold </w:t>
      </w:r>
      <w:r w:rsidR="00A1637D" w:rsidRPr="00BC081A">
        <w:t xml:space="preserve">of </w:t>
      </w:r>
      <w:r w:rsidRPr="00BC081A">
        <w:t xml:space="preserve">0.36 </w:t>
      </w:r>
      <w:r w:rsidRPr="00BC081A">
        <w:fldChar w:fldCharType="begin" w:fldLock="1"/>
      </w:r>
      <w:r w:rsidR="00AC1F7D">
        <w:instrText>ADDIN CSL_CITATION { "citationItems" : [ { "id" : "ITEM-1", "itemData" : { "author" : [ { "dropping-particle" : "", "family" : "Wetzels", "given" : "Martin", "non-dropping-particle" : "", "parse-names" : false, "suffix" : "" }, { "dropping-particle" : "", "family" : "Odekerken-Schroder", "given" : "Gaby", "non-dropping-particle" : "", "parse-names" : false, "suffix" : "" }, { "dropping-particle" : "", "family" : "Oppen", "given" : "Claudia", "non-dropping-particle" : "Van", "parse-names" : false, "suffix" : "" } ], "container-title" : "Management Information Systems Quarterly", "id" : "ITEM-1", "issue" : "1", "issued" : { "date-parts" : [ [ "2009" ] ] }, "page" : "11", "title" : "Using PLS path modeling for assessing hierarchical construct models: guidelines and empirical illustration", "type" : "article-journal", "volume" : "33" }, "uris" : [ "http://www.mendeley.com/documents/?uuid=ce9c4b81-b822-45db-bd9e-54fe52cf01dd" ] } ], "mendeley" : { "previouslyFormattedCitation" : "(Wetzels et al., 2009)" }, "properties" : { "noteIndex" : 0 }, "schema" : "https://github.com/citation-style-language/schema/raw/master/csl-citation.json" }</w:instrText>
      </w:r>
      <w:r w:rsidRPr="00BC081A">
        <w:fldChar w:fldCharType="separate"/>
      </w:r>
      <w:r w:rsidRPr="00BC081A">
        <w:rPr>
          <w:noProof/>
        </w:rPr>
        <w:t>(Wetzels et al., 2009)</w:t>
      </w:r>
      <w:r w:rsidRPr="00BC081A">
        <w:fldChar w:fldCharType="end"/>
      </w:r>
      <w:r w:rsidRPr="00BC081A">
        <w:t>.</w:t>
      </w:r>
      <w:r w:rsidR="00CF395F" w:rsidRPr="00BC081A">
        <w:t xml:space="preserve"> This result also supports the validity of </w:t>
      </w:r>
      <w:r w:rsidR="003D40C4">
        <w:t>the</w:t>
      </w:r>
      <w:r w:rsidR="00CF395F" w:rsidRPr="00BC081A">
        <w:t xml:space="preserve"> proposed model and show that the collected data fits the proposed model </w:t>
      </w:r>
      <w:r w:rsidR="005B2C63" w:rsidRPr="00BC081A">
        <w:t xml:space="preserve">very </w:t>
      </w:r>
      <w:r w:rsidR="00CF395F" w:rsidRPr="00BC081A">
        <w:t>well.</w:t>
      </w:r>
      <w:r w:rsidR="004C55D3" w:rsidRPr="00BC081A">
        <w:t xml:space="preserve"> </w:t>
      </w:r>
    </w:p>
    <w:p w14:paraId="47021715" w14:textId="42EC1056" w:rsidR="00420C4B" w:rsidRPr="00BC081A" w:rsidRDefault="00420C4B" w:rsidP="00420C4B">
      <w:pPr>
        <w:pStyle w:val="Heading3"/>
      </w:pPr>
      <w:bookmarkStart w:id="89" w:name="_Toc275209837"/>
      <w:r w:rsidRPr="00BC081A">
        <w:t>Effect Sizes</w:t>
      </w:r>
      <w:bookmarkEnd w:id="89"/>
    </w:p>
    <w:p w14:paraId="4DAFA2D5" w14:textId="30345991" w:rsidR="00AF10AB" w:rsidRPr="00BC081A" w:rsidRDefault="00C94A15" w:rsidP="00420C4B">
      <w:r w:rsidRPr="00BC081A">
        <w:t xml:space="preserve">Effect size can be used to identify the impact of an independent variable on a dependent variable. </w:t>
      </w:r>
      <w:r w:rsidR="00CE3C14" w:rsidRPr="00BC081A">
        <w:t xml:space="preserve">PLS uses Cohen’s (1998) </w:t>
      </w:r>
      <m:oMath>
        <m:sSup>
          <m:sSupPr>
            <m:ctrlPr>
              <w:rPr>
                <w:rFonts w:ascii="Cambria Math" w:hAnsi="Cambria Math"/>
                <w:b/>
                <w:i/>
              </w:rPr>
            </m:ctrlPr>
          </m:sSupPr>
          <m:e>
            <m:r>
              <w:rPr>
                <w:rFonts w:ascii="Cambria Math" w:hAnsi="Cambria Math"/>
              </w:rPr>
              <m:t>f</m:t>
            </m:r>
          </m:e>
          <m:sup>
            <m:r>
              <w:rPr>
                <w:rFonts w:ascii="Cambria Math" w:hAnsi="Cambria Math"/>
              </w:rPr>
              <m:t>2</m:t>
            </m:r>
          </m:sup>
        </m:sSup>
      </m:oMath>
      <w:r w:rsidR="00CE3C14" w:rsidRPr="00BC081A">
        <w:t xml:space="preserve"> formula (</w:t>
      </w:r>
      <w:r w:rsidR="00CE3C14" w:rsidRPr="00BC081A">
        <w:fldChar w:fldCharType="begin"/>
      </w:r>
      <w:r w:rsidR="00CE3C14" w:rsidRPr="00BC081A">
        <w:instrText xml:space="preserve"> REF _Ref271121225 \h </w:instrText>
      </w:r>
      <w:r w:rsidR="00CE3C14" w:rsidRPr="00BC081A">
        <w:fldChar w:fldCharType="separate"/>
      </w:r>
      <w:r w:rsidR="008C71FB" w:rsidRPr="00BC081A">
        <w:t xml:space="preserve">Equation </w:t>
      </w:r>
      <w:r w:rsidR="008C71FB">
        <w:rPr>
          <w:noProof/>
        </w:rPr>
        <w:t>2</w:t>
      </w:r>
      <w:r w:rsidR="00CE3C14" w:rsidRPr="00BC081A">
        <w:fldChar w:fldCharType="end"/>
      </w:r>
      <w:r w:rsidR="00CE3C14" w:rsidRPr="00BC081A">
        <w:t xml:space="preserve">), which calculates the effect size based on the </w:t>
      </w:r>
      <w:r w:rsidR="00CE3C14" w:rsidRPr="00BC081A">
        <w:rPr>
          <w:i/>
        </w:rPr>
        <w:t>R</w:t>
      </w:r>
      <w:r w:rsidR="00CE3C14" w:rsidRPr="00BC081A">
        <w:rPr>
          <w:i/>
          <w:vertAlign w:val="superscript"/>
        </w:rPr>
        <w:t>2</w:t>
      </w:r>
      <w:r w:rsidR="00CE3C14" w:rsidRPr="00BC081A">
        <w:t xml:space="preserve"> of </w:t>
      </w:r>
      <w:r w:rsidR="00CC7DD0">
        <w:t xml:space="preserve">a </w:t>
      </w:r>
      <w:r w:rsidR="00CE3C14" w:rsidRPr="00BC081A">
        <w:t xml:space="preserve">dependent variable once with the independent variable in the model and once without the independent variable in the model. </w:t>
      </w:r>
    </w:p>
    <w:p w14:paraId="2644982E" w14:textId="77777777" w:rsidR="00C94A15" w:rsidRPr="00BC081A" w:rsidRDefault="00D517AC" w:rsidP="00C92D78">
      <w:pPr>
        <w:pStyle w:val="Caption"/>
        <w:rPr>
          <w:bCs/>
          <w:sz w:val="24"/>
          <w:szCs w:val="24"/>
        </w:rPr>
      </w:pPr>
      <m:oMathPara>
        <m:oMath>
          <m:sSup>
            <m:sSupPr>
              <m:ctrlPr>
                <w:rPr>
                  <w:rFonts w:ascii="Cambria Math" w:hAnsi="Cambria Math"/>
                  <w:sz w:val="24"/>
                  <w:szCs w:val="24"/>
                </w:rPr>
              </m:ctrlPr>
            </m:sSupPr>
            <m:e>
              <m:r>
                <m:rPr>
                  <m:sty m:val="bi"/>
                </m:rPr>
                <w:rPr>
                  <w:rFonts w:ascii="Cambria Math" w:hAnsi="Cambria Math"/>
                </w:rPr>
                <m:t>f</m:t>
              </m:r>
            </m:e>
            <m:sup>
              <m:r>
                <m:rPr>
                  <m:sty m:val="b"/>
                </m:rPr>
                <w:rPr>
                  <w:rFonts w:ascii="Cambria Math" w:hAnsi="Cambria Math"/>
                </w:rPr>
                <m:t>2</m:t>
              </m:r>
            </m:sup>
          </m:sSup>
          <m:r>
            <m:rPr>
              <m:sty m:val="p"/>
            </m:rPr>
            <w:rPr>
              <w:rFonts w:ascii="Cambria Math" w:hAnsi="Cambria Math"/>
            </w:rPr>
            <m:t>=</m:t>
          </m:r>
          <m:f>
            <m:fPr>
              <m:ctrlPr>
                <w:rPr>
                  <w:rFonts w:ascii="Cambria Math" w:hAnsi="Cambria Math"/>
                  <w:sz w:val="24"/>
                  <w:szCs w:val="24"/>
                </w:rPr>
              </m:ctrlPr>
            </m:fPr>
            <m:num>
              <m:sSubSup>
                <m:sSubSupPr>
                  <m:ctrlPr>
                    <w:rPr>
                      <w:rFonts w:ascii="Cambria Math" w:hAnsi="Cambria Math"/>
                      <w:sz w:val="24"/>
                      <w:szCs w:val="24"/>
                    </w:rPr>
                  </m:ctrlPr>
                </m:sSubSupPr>
                <m:e>
                  <m:r>
                    <m:rPr>
                      <m:sty m:val="bi"/>
                    </m:rPr>
                    <w:rPr>
                      <w:rFonts w:ascii="Cambria Math" w:hAnsi="Cambria Math"/>
                    </w:rPr>
                    <m:t>R</m:t>
                  </m:r>
                </m:e>
                <m:sub>
                  <m:r>
                    <m:rPr>
                      <m:sty m:val="bi"/>
                    </m:rPr>
                    <w:rPr>
                      <w:rFonts w:ascii="Cambria Math" w:hAnsi="Cambria Math"/>
                    </w:rPr>
                    <m:t>included</m:t>
                  </m:r>
                </m:sub>
                <m:sup>
                  <m:r>
                    <m:rPr>
                      <m:sty m:val="b"/>
                    </m:rPr>
                    <w:rPr>
                      <w:rFonts w:ascii="Cambria Math" w:hAnsi="Cambria Math"/>
                    </w:rPr>
                    <m:t>2</m:t>
                  </m:r>
                </m:sup>
              </m:sSubSup>
              <m:r>
                <m:rPr>
                  <m:sty m:val="p"/>
                </m:rPr>
                <w:rPr>
                  <w:rFonts w:ascii="Cambria Math" w:hAnsi="Cambria Math"/>
                </w:rPr>
                <m:t xml:space="preserve">- </m:t>
              </m:r>
              <m:sSubSup>
                <m:sSubSupPr>
                  <m:ctrlPr>
                    <w:rPr>
                      <w:rFonts w:ascii="Cambria Math" w:hAnsi="Cambria Math"/>
                      <w:sz w:val="24"/>
                      <w:szCs w:val="24"/>
                    </w:rPr>
                  </m:ctrlPr>
                </m:sSubSupPr>
                <m:e>
                  <m:r>
                    <m:rPr>
                      <m:sty m:val="bi"/>
                    </m:rPr>
                    <w:rPr>
                      <w:rFonts w:ascii="Cambria Math" w:hAnsi="Cambria Math"/>
                    </w:rPr>
                    <m:t>R</m:t>
                  </m:r>
                </m:e>
                <m:sub>
                  <m:r>
                    <m:rPr>
                      <m:sty m:val="bi"/>
                    </m:rPr>
                    <w:rPr>
                      <w:rFonts w:ascii="Cambria Math" w:hAnsi="Cambria Math"/>
                    </w:rPr>
                    <m:t>excluded</m:t>
                  </m:r>
                </m:sub>
                <m:sup>
                  <m:r>
                    <m:rPr>
                      <m:sty m:val="b"/>
                    </m:rPr>
                    <w:rPr>
                      <w:rFonts w:ascii="Cambria Math" w:hAnsi="Cambria Math"/>
                    </w:rPr>
                    <m:t>2</m:t>
                  </m:r>
                </m:sup>
              </m:sSubSup>
            </m:num>
            <m:den>
              <m:r>
                <m:rPr>
                  <m:sty m:val="b"/>
                </m:rPr>
                <w:rPr>
                  <w:rFonts w:ascii="Cambria Math" w:hAnsi="Cambria Math"/>
                </w:rPr>
                <m:t>1</m:t>
              </m:r>
              <m:r>
                <m:rPr>
                  <m:sty m:val="p"/>
                </m:rPr>
                <w:rPr>
                  <w:rFonts w:ascii="Cambria Math" w:hAnsi="Cambria Math"/>
                </w:rPr>
                <m:t>-</m:t>
              </m:r>
              <m:sSubSup>
                <m:sSubSupPr>
                  <m:ctrlPr>
                    <w:rPr>
                      <w:rFonts w:ascii="Cambria Math" w:hAnsi="Cambria Math"/>
                      <w:sz w:val="24"/>
                      <w:szCs w:val="24"/>
                    </w:rPr>
                  </m:ctrlPr>
                </m:sSubSupPr>
                <m:e>
                  <m:r>
                    <m:rPr>
                      <m:sty m:val="bi"/>
                    </m:rPr>
                    <w:rPr>
                      <w:rFonts w:ascii="Cambria Math" w:hAnsi="Cambria Math"/>
                    </w:rPr>
                    <m:t>R</m:t>
                  </m:r>
                </m:e>
                <m:sub>
                  <m:r>
                    <m:rPr>
                      <m:sty m:val="bi"/>
                    </m:rPr>
                    <w:rPr>
                      <w:rFonts w:ascii="Cambria Math" w:hAnsi="Cambria Math"/>
                    </w:rPr>
                    <m:t>excluded</m:t>
                  </m:r>
                </m:sub>
                <m:sup>
                  <m:r>
                    <m:rPr>
                      <m:sty m:val="b"/>
                    </m:rPr>
                    <w:rPr>
                      <w:rFonts w:ascii="Cambria Math" w:hAnsi="Cambria Math"/>
                    </w:rPr>
                    <m:t>2</m:t>
                  </m:r>
                </m:sup>
              </m:sSubSup>
            </m:den>
          </m:f>
        </m:oMath>
      </m:oMathPara>
      <w:bookmarkStart w:id="90" w:name="_Ref267919745"/>
    </w:p>
    <w:p w14:paraId="308ED56F" w14:textId="77777777" w:rsidR="00C94A15" w:rsidRPr="00BC081A" w:rsidRDefault="00C94A15" w:rsidP="00C92D78">
      <w:pPr>
        <w:pStyle w:val="Caption"/>
      </w:pPr>
      <w:bookmarkStart w:id="91" w:name="_Ref271121225"/>
      <w:bookmarkStart w:id="92" w:name="_Toc274832388"/>
      <w:r w:rsidRPr="00BC081A">
        <w:t xml:space="preserve">Equation </w:t>
      </w:r>
      <w:r w:rsidR="007804FF">
        <w:fldChar w:fldCharType="begin"/>
      </w:r>
      <w:r w:rsidR="007804FF">
        <w:instrText xml:space="preserve"> SEQ Equation \* ARABIC </w:instrText>
      </w:r>
      <w:r w:rsidR="007804FF">
        <w:fldChar w:fldCharType="separate"/>
      </w:r>
      <w:r w:rsidR="008C71FB">
        <w:rPr>
          <w:noProof/>
        </w:rPr>
        <w:t>2</w:t>
      </w:r>
      <w:r w:rsidR="007804FF">
        <w:rPr>
          <w:noProof/>
        </w:rPr>
        <w:fldChar w:fldCharType="end"/>
      </w:r>
      <w:bookmarkEnd w:id="90"/>
      <w:bookmarkEnd w:id="91"/>
      <w:r w:rsidRPr="00BC081A">
        <w:t xml:space="preserve"> – </w:t>
      </w:r>
      <m:oMath>
        <m:sSup>
          <m:sSupPr>
            <m:ctrlPr>
              <w:rPr>
                <w:rFonts w:ascii="Cambria Math" w:hAnsi="Cambria Math"/>
                <w:i/>
                <w:sz w:val="24"/>
                <w:szCs w:val="24"/>
              </w:rPr>
            </m:ctrlPr>
          </m:sSupPr>
          <m:e>
            <m:r>
              <m:rPr>
                <m:sty m:val="bi"/>
              </m:rPr>
              <w:rPr>
                <w:rFonts w:ascii="Cambria Math" w:hAnsi="Cambria Math"/>
              </w:rPr>
              <m:t>f</m:t>
            </m:r>
          </m:e>
          <m:sup>
            <m:r>
              <m:rPr>
                <m:sty m:val="bi"/>
              </m:rPr>
              <w:rPr>
                <w:rFonts w:ascii="Cambria Math" w:hAnsi="Cambria Math"/>
              </w:rPr>
              <m:t>2</m:t>
            </m:r>
          </m:sup>
        </m:sSup>
      </m:oMath>
      <w:r w:rsidRPr="00BC081A">
        <w:rPr>
          <w:sz w:val="24"/>
          <w:szCs w:val="24"/>
        </w:rPr>
        <w:t xml:space="preserve"> </w:t>
      </w:r>
      <w:r w:rsidRPr="00BC081A">
        <w:t>Formula (Cohen 1998)</w:t>
      </w:r>
      <w:bookmarkEnd w:id="92"/>
    </w:p>
    <w:p w14:paraId="77CF75D6" w14:textId="2F14D059" w:rsidR="00C94A15" w:rsidRPr="00BC081A" w:rsidRDefault="00C94A15" w:rsidP="00C94A15">
      <w:r w:rsidRPr="00BC081A">
        <w:t xml:space="preserve">The direct effect sizes of independent variables on dependent variables can be seen in </w:t>
      </w:r>
      <w:r w:rsidRPr="00BC081A">
        <w:fldChar w:fldCharType="begin"/>
      </w:r>
      <w:r w:rsidRPr="00BC081A">
        <w:instrText xml:space="preserve"> REF _Ref267920814 \h </w:instrText>
      </w:r>
      <w:r w:rsidRPr="00BC081A">
        <w:fldChar w:fldCharType="separate"/>
      </w:r>
      <w:r w:rsidR="008C71FB" w:rsidRPr="00BC081A">
        <w:t xml:space="preserve">Table </w:t>
      </w:r>
      <w:r w:rsidR="008C71FB">
        <w:rPr>
          <w:noProof/>
        </w:rPr>
        <w:t>8</w:t>
      </w:r>
      <w:r w:rsidRPr="00BC081A">
        <w:fldChar w:fldCharType="end"/>
      </w:r>
      <w:r w:rsidRPr="00BC081A">
        <w:t xml:space="preserve">. Based on Cohen’s </w:t>
      </w:r>
      <w:r w:rsidRPr="00BC081A">
        <w:fldChar w:fldCharType="begin" w:fldLock="1"/>
      </w:r>
      <w:r w:rsidR="00AC1F7D">
        <w:instrText>ADDIN CSL_CITATION { "citationItems" : [ { "id" : "ITEM-1", "itemData" : { "author" : [ { "dropping-particle" : "", "family" : "Cohen", "given" : "J", "non-dropping-particle" : "", "parse-names" : false, "suffix" : "" } ], "id" : "ITEM-1", "issued" : { "date-parts" : [ [ "1988" ] ] }, "publisher" : "Lawrence Erlbaum", "title" : "Statistical power analysis for the behavioral sciences", "type" : "book" }, "suppress-author" : 1, "uris" : [ "http://www.mendeley.com/documents/?uuid=0a4620e9-e57a-48bd-a84e-e8e15475246c" ] } ], "mendeley" : { "previouslyFormattedCitation" : "(1988)" }, "properties" : { "noteIndex" : 0 }, "schema" : "https://github.com/citation-style-language/schema/raw/master/csl-citation.json" }</w:instrText>
      </w:r>
      <w:r w:rsidRPr="00BC081A">
        <w:fldChar w:fldCharType="separate"/>
      </w:r>
      <w:r w:rsidRPr="00BC081A">
        <w:rPr>
          <w:noProof/>
        </w:rPr>
        <w:t>(1988)</w:t>
      </w:r>
      <w:r w:rsidRPr="00BC081A">
        <w:fldChar w:fldCharType="end"/>
      </w:r>
      <w:r w:rsidRPr="00BC081A">
        <w:t xml:space="preserve"> criteria, six out of ten effect sizes can be considered large (above 0.35) and the other four are </w:t>
      </w:r>
      <w:r w:rsidR="00CC7DD0">
        <w:t xml:space="preserve">of </w:t>
      </w:r>
      <w:r w:rsidRPr="00BC081A">
        <w:t xml:space="preserve">medium size (above 0.15). </w:t>
      </w:r>
    </w:p>
    <w:p w14:paraId="1D92DD68" w14:textId="5EDA4D2C" w:rsidR="00C94A15" w:rsidRPr="00BC081A" w:rsidRDefault="00C94A15" w:rsidP="00C94A15">
      <w:pPr>
        <w:ind w:firstLine="0"/>
      </w:pPr>
    </w:p>
    <w:p w14:paraId="33BC043D" w14:textId="541A33F8" w:rsidR="009369FD" w:rsidRPr="00BC081A" w:rsidRDefault="009369FD" w:rsidP="00C92D78">
      <w:pPr>
        <w:pStyle w:val="Caption"/>
      </w:pPr>
      <w:bookmarkStart w:id="93" w:name="_Ref267920814"/>
      <w:bookmarkStart w:id="94" w:name="_Toc275209766"/>
      <w:r w:rsidRPr="00BC081A">
        <w:t xml:space="preserve">Table </w:t>
      </w:r>
      <w:r w:rsidR="007804FF">
        <w:fldChar w:fldCharType="begin"/>
      </w:r>
      <w:r w:rsidR="007804FF">
        <w:instrText xml:space="preserve"> SEQ Table \* ARABIC </w:instrText>
      </w:r>
      <w:r w:rsidR="007804FF">
        <w:fldChar w:fldCharType="separate"/>
      </w:r>
      <w:r w:rsidR="008C71FB">
        <w:rPr>
          <w:noProof/>
        </w:rPr>
        <w:t>8</w:t>
      </w:r>
      <w:r w:rsidR="007804FF">
        <w:rPr>
          <w:noProof/>
        </w:rPr>
        <w:fldChar w:fldCharType="end"/>
      </w:r>
      <w:bookmarkEnd w:id="93"/>
      <w:r w:rsidRPr="00BC081A">
        <w:t xml:space="preserve"> – Direct Relationships' Effect Sizes (</w:t>
      </w:r>
      <m:oMath>
        <m:r>
          <m:rPr>
            <m:sty m:val="bi"/>
          </m:rPr>
          <w:rPr>
            <w:rFonts w:ascii="Cambria Math" w:hAnsi="Cambria Math"/>
          </w:rPr>
          <m:t>α</m:t>
        </m:r>
      </m:oMath>
      <w:r w:rsidR="0011170D" w:rsidRPr="00BC081A">
        <w:t xml:space="preserve"> </w:t>
      </w:r>
      <w:r w:rsidRPr="00BC081A">
        <w:t>= 0.05)</w:t>
      </w:r>
      <w:bookmarkEnd w:id="94"/>
    </w:p>
    <w:tbl>
      <w:tblPr>
        <w:tblW w:w="712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024"/>
        <w:gridCol w:w="1029"/>
        <w:gridCol w:w="1024"/>
        <w:gridCol w:w="1025"/>
        <w:gridCol w:w="1025"/>
        <w:gridCol w:w="1025"/>
      </w:tblGrid>
      <w:tr w:rsidR="00706FAD" w:rsidRPr="00BC081A" w14:paraId="7577FB98" w14:textId="77777777" w:rsidTr="008C71FB">
        <w:trPr>
          <w:trHeight w:val="320"/>
          <w:jc w:val="center"/>
        </w:trPr>
        <w:tc>
          <w:tcPr>
            <w:tcW w:w="938" w:type="dxa"/>
            <w:shd w:val="clear" w:color="auto" w:fill="F2F2F2" w:themeFill="background1" w:themeFillShade="F2"/>
            <w:vAlign w:val="center"/>
            <w:hideMark/>
          </w:tcPr>
          <w:p w14:paraId="26C7605C" w14:textId="77777777" w:rsidR="00706FAD" w:rsidRPr="00BC081A" w:rsidRDefault="00706FAD" w:rsidP="00AF10AB">
            <w:pPr>
              <w:pStyle w:val="TableContext"/>
              <w:rPr>
                <w:lang w:val="en-CA"/>
              </w:rPr>
            </w:pPr>
            <w:r w:rsidRPr="00BC081A">
              <w:rPr>
                <w:lang w:val="en-CA"/>
              </w:rPr>
              <w:t> </w:t>
            </w:r>
          </w:p>
        </w:tc>
        <w:tc>
          <w:tcPr>
            <w:tcW w:w="1031" w:type="dxa"/>
            <w:shd w:val="clear" w:color="000000" w:fill="F2F2F2" w:themeFill="background1" w:themeFillShade="F2"/>
            <w:vAlign w:val="center"/>
          </w:tcPr>
          <w:p w14:paraId="2AA6F06E" w14:textId="4324C0F2" w:rsidR="00706FAD" w:rsidRPr="00BC081A" w:rsidRDefault="00706FAD" w:rsidP="00AF10AB">
            <w:pPr>
              <w:pStyle w:val="TableContext"/>
              <w:rPr>
                <w:lang w:val="en-CA"/>
              </w:rPr>
            </w:pPr>
            <w:r w:rsidRPr="00BC081A">
              <w:rPr>
                <w:lang w:val="en-CA"/>
              </w:rPr>
              <w:t>SP</w:t>
            </w:r>
          </w:p>
        </w:tc>
        <w:tc>
          <w:tcPr>
            <w:tcW w:w="1031" w:type="dxa"/>
            <w:shd w:val="clear" w:color="000000" w:fill="F2F2F2" w:themeFill="background1" w:themeFillShade="F2"/>
            <w:vAlign w:val="center"/>
          </w:tcPr>
          <w:p w14:paraId="78D2F0E7" w14:textId="63F26A40" w:rsidR="00706FAD" w:rsidRPr="00BC081A" w:rsidRDefault="005624B9" w:rsidP="00AF10AB">
            <w:pPr>
              <w:pStyle w:val="TableContext"/>
              <w:rPr>
                <w:lang w:val="en-CA"/>
              </w:rPr>
            </w:pPr>
            <w:proofErr w:type="spellStart"/>
            <w:r w:rsidRPr="00BC081A">
              <w:rPr>
                <w:lang w:val="en-CA"/>
              </w:rPr>
              <w:t>SCompt</w:t>
            </w:r>
            <w:proofErr w:type="spellEnd"/>
          </w:p>
        </w:tc>
        <w:tc>
          <w:tcPr>
            <w:tcW w:w="1031" w:type="dxa"/>
            <w:shd w:val="clear" w:color="000000" w:fill="F2F2F2" w:themeFill="background1" w:themeFillShade="F2"/>
            <w:vAlign w:val="center"/>
            <w:hideMark/>
          </w:tcPr>
          <w:p w14:paraId="49C87A58" w14:textId="67E5E018" w:rsidR="00706FAD" w:rsidRPr="00BC081A" w:rsidRDefault="00706FAD" w:rsidP="00AF10AB">
            <w:pPr>
              <w:pStyle w:val="TableContext"/>
              <w:rPr>
                <w:lang w:val="en-CA"/>
              </w:rPr>
            </w:pPr>
            <w:r w:rsidRPr="00BC081A">
              <w:rPr>
                <w:lang w:val="en-CA"/>
              </w:rPr>
              <w:t>AR</w:t>
            </w:r>
          </w:p>
        </w:tc>
        <w:tc>
          <w:tcPr>
            <w:tcW w:w="1032" w:type="dxa"/>
            <w:shd w:val="clear" w:color="000000" w:fill="F2F2F2" w:themeFill="background1" w:themeFillShade="F2"/>
            <w:vAlign w:val="center"/>
            <w:hideMark/>
          </w:tcPr>
          <w:p w14:paraId="2B0A6267" w14:textId="77777777" w:rsidR="00706FAD" w:rsidRPr="00BC081A" w:rsidRDefault="00706FAD" w:rsidP="00AF10AB">
            <w:pPr>
              <w:pStyle w:val="TableContext"/>
              <w:rPr>
                <w:lang w:val="en-CA"/>
              </w:rPr>
            </w:pPr>
            <w:r w:rsidRPr="00BC081A">
              <w:rPr>
                <w:lang w:val="en-CA"/>
              </w:rPr>
              <w:t>CH</w:t>
            </w:r>
          </w:p>
        </w:tc>
        <w:tc>
          <w:tcPr>
            <w:tcW w:w="1032" w:type="dxa"/>
            <w:shd w:val="clear" w:color="000000" w:fill="F2F2F2" w:themeFill="background1" w:themeFillShade="F2"/>
            <w:vAlign w:val="center"/>
            <w:hideMark/>
          </w:tcPr>
          <w:p w14:paraId="486DDA7D" w14:textId="77777777" w:rsidR="00706FAD" w:rsidRPr="00BC081A" w:rsidRDefault="00706FAD" w:rsidP="00AF10AB">
            <w:pPr>
              <w:pStyle w:val="TableContext"/>
              <w:rPr>
                <w:lang w:val="en-CA"/>
              </w:rPr>
            </w:pPr>
            <w:r w:rsidRPr="00BC081A">
              <w:rPr>
                <w:lang w:val="en-CA"/>
              </w:rPr>
              <w:t>Flow</w:t>
            </w:r>
          </w:p>
        </w:tc>
        <w:tc>
          <w:tcPr>
            <w:tcW w:w="1032" w:type="dxa"/>
            <w:shd w:val="clear" w:color="000000" w:fill="F2F2F2" w:themeFill="background1" w:themeFillShade="F2"/>
            <w:vAlign w:val="center"/>
            <w:hideMark/>
          </w:tcPr>
          <w:p w14:paraId="2A37F769" w14:textId="36E4EE60" w:rsidR="00706FAD" w:rsidRPr="00BC081A" w:rsidRDefault="00706FAD" w:rsidP="00AF10AB">
            <w:pPr>
              <w:pStyle w:val="TableContext"/>
              <w:rPr>
                <w:lang w:val="en-CA"/>
              </w:rPr>
            </w:pPr>
            <w:r w:rsidRPr="00BC081A">
              <w:rPr>
                <w:lang w:val="en-CA"/>
              </w:rPr>
              <w:t>SA</w:t>
            </w:r>
          </w:p>
        </w:tc>
      </w:tr>
      <w:tr w:rsidR="00706FAD" w:rsidRPr="00BC081A" w14:paraId="73F62C87" w14:textId="77777777" w:rsidTr="008C71FB">
        <w:trPr>
          <w:trHeight w:val="320"/>
          <w:jc w:val="center"/>
        </w:trPr>
        <w:tc>
          <w:tcPr>
            <w:tcW w:w="938" w:type="dxa"/>
            <w:shd w:val="clear" w:color="auto" w:fill="F2F2F2" w:themeFill="background1" w:themeFillShade="F2"/>
            <w:vAlign w:val="center"/>
            <w:hideMark/>
          </w:tcPr>
          <w:p w14:paraId="7347A7DE" w14:textId="11A10F81" w:rsidR="00706FAD" w:rsidRPr="00BC081A" w:rsidRDefault="005624B9" w:rsidP="000670AD">
            <w:pPr>
              <w:pStyle w:val="TableContext"/>
              <w:rPr>
                <w:lang w:val="en-CA"/>
              </w:rPr>
            </w:pPr>
            <w:proofErr w:type="spellStart"/>
            <w:r w:rsidRPr="00BC081A">
              <w:rPr>
                <w:lang w:val="en-CA"/>
              </w:rPr>
              <w:t>DCompt</w:t>
            </w:r>
            <w:proofErr w:type="spellEnd"/>
          </w:p>
        </w:tc>
        <w:tc>
          <w:tcPr>
            <w:tcW w:w="1031" w:type="dxa"/>
            <w:vAlign w:val="center"/>
          </w:tcPr>
          <w:p w14:paraId="168F5661" w14:textId="740AEC5C" w:rsidR="00706FAD" w:rsidRPr="00BC081A" w:rsidRDefault="00706FAD" w:rsidP="000670AD">
            <w:pPr>
              <w:pStyle w:val="TableContext"/>
              <w:rPr>
                <w:lang w:val="en-CA"/>
              </w:rPr>
            </w:pPr>
            <w:r w:rsidRPr="00BC081A">
              <w:rPr>
                <w:lang w:val="en-CA"/>
              </w:rPr>
              <w:t> </w:t>
            </w:r>
          </w:p>
        </w:tc>
        <w:tc>
          <w:tcPr>
            <w:tcW w:w="1031" w:type="dxa"/>
            <w:vAlign w:val="center"/>
          </w:tcPr>
          <w:p w14:paraId="1EFFDC72" w14:textId="6162637B" w:rsidR="00706FAD" w:rsidRPr="00BC081A" w:rsidRDefault="00706FAD" w:rsidP="000670AD">
            <w:pPr>
              <w:pStyle w:val="TableContext"/>
              <w:rPr>
                <w:lang w:val="en-CA"/>
              </w:rPr>
            </w:pPr>
            <w:r w:rsidRPr="00BC081A">
              <w:rPr>
                <w:lang w:val="en-CA"/>
              </w:rPr>
              <w:t>0.281</w:t>
            </w:r>
          </w:p>
        </w:tc>
        <w:tc>
          <w:tcPr>
            <w:tcW w:w="1031" w:type="dxa"/>
            <w:shd w:val="clear" w:color="auto" w:fill="auto"/>
            <w:vAlign w:val="center"/>
            <w:hideMark/>
          </w:tcPr>
          <w:p w14:paraId="58B8D15D" w14:textId="77777777" w:rsidR="00706FAD" w:rsidRPr="00BC081A" w:rsidRDefault="00706FAD" w:rsidP="000670AD">
            <w:pPr>
              <w:pStyle w:val="TableContext"/>
              <w:rPr>
                <w:lang w:val="en-CA"/>
              </w:rPr>
            </w:pPr>
          </w:p>
        </w:tc>
        <w:tc>
          <w:tcPr>
            <w:tcW w:w="1032" w:type="dxa"/>
            <w:shd w:val="clear" w:color="auto" w:fill="auto"/>
            <w:vAlign w:val="center"/>
            <w:hideMark/>
          </w:tcPr>
          <w:p w14:paraId="4544AF5B" w14:textId="77777777" w:rsidR="00706FAD" w:rsidRPr="00BC081A" w:rsidRDefault="00706FAD" w:rsidP="000670AD">
            <w:pPr>
              <w:pStyle w:val="TableContext"/>
              <w:rPr>
                <w:lang w:val="en-CA"/>
              </w:rPr>
            </w:pPr>
          </w:p>
        </w:tc>
        <w:tc>
          <w:tcPr>
            <w:tcW w:w="1032" w:type="dxa"/>
            <w:shd w:val="clear" w:color="auto" w:fill="auto"/>
            <w:vAlign w:val="center"/>
            <w:hideMark/>
          </w:tcPr>
          <w:p w14:paraId="77081657" w14:textId="77777777" w:rsidR="00706FAD" w:rsidRPr="00BC081A" w:rsidRDefault="00706FAD" w:rsidP="000670AD">
            <w:pPr>
              <w:pStyle w:val="TableContext"/>
              <w:rPr>
                <w:lang w:val="en-CA"/>
              </w:rPr>
            </w:pPr>
          </w:p>
        </w:tc>
        <w:tc>
          <w:tcPr>
            <w:tcW w:w="1032" w:type="dxa"/>
            <w:shd w:val="clear" w:color="auto" w:fill="auto"/>
            <w:vAlign w:val="center"/>
            <w:hideMark/>
          </w:tcPr>
          <w:p w14:paraId="0C4DF11C" w14:textId="2AA6F37A" w:rsidR="00706FAD" w:rsidRPr="00BC081A" w:rsidRDefault="00706FAD" w:rsidP="000670AD">
            <w:pPr>
              <w:pStyle w:val="TableContext"/>
              <w:rPr>
                <w:lang w:val="en-CA"/>
              </w:rPr>
            </w:pPr>
          </w:p>
        </w:tc>
      </w:tr>
      <w:tr w:rsidR="00706FAD" w:rsidRPr="00BC081A" w14:paraId="6BFB03A8" w14:textId="77777777" w:rsidTr="008C71FB">
        <w:trPr>
          <w:trHeight w:val="320"/>
          <w:jc w:val="center"/>
        </w:trPr>
        <w:tc>
          <w:tcPr>
            <w:tcW w:w="938" w:type="dxa"/>
            <w:shd w:val="clear" w:color="auto" w:fill="F2F2F2" w:themeFill="background1" w:themeFillShade="F2"/>
            <w:vAlign w:val="center"/>
            <w:hideMark/>
          </w:tcPr>
          <w:p w14:paraId="7260F7CB" w14:textId="77777777" w:rsidR="00706FAD" w:rsidRPr="00BC081A" w:rsidRDefault="00706FAD" w:rsidP="000670AD">
            <w:pPr>
              <w:pStyle w:val="TableContext"/>
              <w:rPr>
                <w:lang w:val="en-CA"/>
              </w:rPr>
            </w:pPr>
            <w:r w:rsidRPr="00BC081A">
              <w:rPr>
                <w:lang w:val="en-CA"/>
              </w:rPr>
              <w:t>SP</w:t>
            </w:r>
          </w:p>
        </w:tc>
        <w:tc>
          <w:tcPr>
            <w:tcW w:w="1031" w:type="dxa"/>
            <w:vAlign w:val="center"/>
          </w:tcPr>
          <w:p w14:paraId="0D0F25D4" w14:textId="77777777" w:rsidR="00706FAD" w:rsidRPr="00BC081A" w:rsidRDefault="00706FAD" w:rsidP="000670AD">
            <w:pPr>
              <w:pStyle w:val="TableContext"/>
              <w:rPr>
                <w:lang w:val="en-CA"/>
              </w:rPr>
            </w:pPr>
            <w:r w:rsidRPr="00BC081A">
              <w:rPr>
                <w:lang w:val="en-CA"/>
              </w:rPr>
              <w:t> </w:t>
            </w:r>
          </w:p>
        </w:tc>
        <w:tc>
          <w:tcPr>
            <w:tcW w:w="1031" w:type="dxa"/>
            <w:vAlign w:val="center"/>
          </w:tcPr>
          <w:p w14:paraId="192AEBE4" w14:textId="77777777" w:rsidR="00706FAD" w:rsidRPr="00BC081A" w:rsidRDefault="00706FAD" w:rsidP="000670AD">
            <w:pPr>
              <w:pStyle w:val="TableContext"/>
              <w:rPr>
                <w:lang w:val="en-CA"/>
              </w:rPr>
            </w:pPr>
            <w:r w:rsidRPr="00BC081A">
              <w:rPr>
                <w:lang w:val="en-CA"/>
              </w:rPr>
              <w:t>0.257</w:t>
            </w:r>
          </w:p>
        </w:tc>
        <w:tc>
          <w:tcPr>
            <w:tcW w:w="1031" w:type="dxa"/>
            <w:shd w:val="clear" w:color="auto" w:fill="auto"/>
            <w:vAlign w:val="center"/>
            <w:hideMark/>
          </w:tcPr>
          <w:p w14:paraId="1EA8544F" w14:textId="77777777" w:rsidR="00706FAD" w:rsidRPr="00BC081A" w:rsidRDefault="00706FAD" w:rsidP="000670AD">
            <w:pPr>
              <w:pStyle w:val="TableContext"/>
              <w:rPr>
                <w:lang w:val="en-CA"/>
              </w:rPr>
            </w:pPr>
          </w:p>
        </w:tc>
        <w:tc>
          <w:tcPr>
            <w:tcW w:w="1032" w:type="dxa"/>
            <w:shd w:val="clear" w:color="auto" w:fill="auto"/>
            <w:vAlign w:val="center"/>
            <w:hideMark/>
          </w:tcPr>
          <w:p w14:paraId="3AB7234E" w14:textId="77777777" w:rsidR="00706FAD" w:rsidRPr="00BC081A" w:rsidRDefault="00706FAD" w:rsidP="000670AD">
            <w:pPr>
              <w:pStyle w:val="TableContext"/>
              <w:jc w:val="left"/>
              <w:rPr>
                <w:lang w:val="en-CA"/>
              </w:rPr>
            </w:pPr>
          </w:p>
        </w:tc>
        <w:tc>
          <w:tcPr>
            <w:tcW w:w="1032" w:type="dxa"/>
            <w:shd w:val="clear" w:color="auto" w:fill="auto"/>
            <w:vAlign w:val="center"/>
            <w:hideMark/>
          </w:tcPr>
          <w:p w14:paraId="1ED2418D" w14:textId="77777777" w:rsidR="00706FAD" w:rsidRPr="00BC081A" w:rsidRDefault="00706FAD" w:rsidP="000670AD">
            <w:pPr>
              <w:pStyle w:val="TableContext"/>
              <w:jc w:val="left"/>
              <w:rPr>
                <w:lang w:val="en-CA"/>
              </w:rPr>
            </w:pPr>
          </w:p>
        </w:tc>
        <w:tc>
          <w:tcPr>
            <w:tcW w:w="1032" w:type="dxa"/>
            <w:shd w:val="clear" w:color="auto" w:fill="auto"/>
            <w:vAlign w:val="center"/>
            <w:hideMark/>
          </w:tcPr>
          <w:p w14:paraId="03298C60" w14:textId="77777777" w:rsidR="00706FAD" w:rsidRPr="00BC081A" w:rsidRDefault="00706FAD" w:rsidP="000670AD">
            <w:pPr>
              <w:pStyle w:val="TableContext"/>
              <w:rPr>
                <w:lang w:val="en-CA"/>
              </w:rPr>
            </w:pPr>
          </w:p>
        </w:tc>
      </w:tr>
      <w:tr w:rsidR="00706FAD" w:rsidRPr="00BC081A" w14:paraId="46847317" w14:textId="77777777" w:rsidTr="008C71FB">
        <w:trPr>
          <w:trHeight w:val="320"/>
          <w:jc w:val="center"/>
        </w:trPr>
        <w:tc>
          <w:tcPr>
            <w:tcW w:w="938" w:type="dxa"/>
            <w:shd w:val="clear" w:color="auto" w:fill="F2F2F2" w:themeFill="background1" w:themeFillShade="F2"/>
            <w:vAlign w:val="center"/>
            <w:hideMark/>
          </w:tcPr>
          <w:p w14:paraId="6CDA44A5" w14:textId="50F5FDFF" w:rsidR="00706FAD" w:rsidRPr="00BC081A" w:rsidRDefault="005624B9" w:rsidP="000670AD">
            <w:pPr>
              <w:pStyle w:val="TableContext"/>
              <w:rPr>
                <w:lang w:val="en-CA"/>
              </w:rPr>
            </w:pPr>
            <w:proofErr w:type="spellStart"/>
            <w:r w:rsidRPr="00BC081A">
              <w:rPr>
                <w:lang w:val="en-CA"/>
              </w:rPr>
              <w:t>SCompt</w:t>
            </w:r>
            <w:proofErr w:type="spellEnd"/>
          </w:p>
        </w:tc>
        <w:tc>
          <w:tcPr>
            <w:tcW w:w="1031" w:type="dxa"/>
            <w:vAlign w:val="center"/>
          </w:tcPr>
          <w:p w14:paraId="331183BD" w14:textId="621A8D91" w:rsidR="00706FAD" w:rsidRPr="00BC081A" w:rsidRDefault="00706FAD" w:rsidP="000670AD">
            <w:pPr>
              <w:pStyle w:val="TableContext"/>
              <w:rPr>
                <w:lang w:val="en-CA"/>
              </w:rPr>
            </w:pPr>
            <w:r w:rsidRPr="00BC081A">
              <w:rPr>
                <w:lang w:val="en-CA"/>
              </w:rPr>
              <w:t> </w:t>
            </w:r>
          </w:p>
        </w:tc>
        <w:tc>
          <w:tcPr>
            <w:tcW w:w="1031" w:type="dxa"/>
            <w:vAlign w:val="center"/>
          </w:tcPr>
          <w:p w14:paraId="0C885B57" w14:textId="13F181E9" w:rsidR="00706FAD" w:rsidRPr="00BC081A" w:rsidRDefault="00706FAD" w:rsidP="000670AD">
            <w:pPr>
              <w:pStyle w:val="TableContext"/>
              <w:rPr>
                <w:lang w:val="en-CA"/>
              </w:rPr>
            </w:pPr>
            <w:r w:rsidRPr="00BC081A">
              <w:rPr>
                <w:lang w:val="en-CA"/>
              </w:rPr>
              <w:t> </w:t>
            </w:r>
          </w:p>
        </w:tc>
        <w:tc>
          <w:tcPr>
            <w:tcW w:w="1031" w:type="dxa"/>
            <w:shd w:val="clear" w:color="auto" w:fill="auto"/>
            <w:vAlign w:val="center"/>
            <w:hideMark/>
          </w:tcPr>
          <w:p w14:paraId="6624D392" w14:textId="77777777" w:rsidR="00706FAD" w:rsidRPr="00BC081A" w:rsidRDefault="00706FAD" w:rsidP="000670AD">
            <w:pPr>
              <w:pStyle w:val="TableContext"/>
              <w:rPr>
                <w:lang w:val="en-CA"/>
              </w:rPr>
            </w:pPr>
            <w:r w:rsidRPr="00BC081A">
              <w:rPr>
                <w:lang w:val="en-CA"/>
              </w:rPr>
              <w:t>0.398</w:t>
            </w:r>
          </w:p>
        </w:tc>
        <w:tc>
          <w:tcPr>
            <w:tcW w:w="1032" w:type="dxa"/>
            <w:shd w:val="clear" w:color="auto" w:fill="auto"/>
            <w:vAlign w:val="center"/>
            <w:hideMark/>
          </w:tcPr>
          <w:p w14:paraId="2DD5865F" w14:textId="77777777" w:rsidR="00706FAD" w:rsidRPr="00BC081A" w:rsidRDefault="00706FAD" w:rsidP="000670AD">
            <w:pPr>
              <w:pStyle w:val="TableContext"/>
              <w:rPr>
                <w:lang w:val="en-CA"/>
              </w:rPr>
            </w:pPr>
            <w:r w:rsidRPr="00BC081A">
              <w:rPr>
                <w:lang w:val="en-CA"/>
              </w:rPr>
              <w:t>0.459</w:t>
            </w:r>
          </w:p>
        </w:tc>
        <w:tc>
          <w:tcPr>
            <w:tcW w:w="1032" w:type="dxa"/>
            <w:shd w:val="clear" w:color="auto" w:fill="auto"/>
            <w:vAlign w:val="center"/>
            <w:hideMark/>
          </w:tcPr>
          <w:p w14:paraId="7390A76D" w14:textId="77777777" w:rsidR="00706FAD" w:rsidRPr="00BC081A" w:rsidRDefault="00706FAD" w:rsidP="000670AD">
            <w:pPr>
              <w:pStyle w:val="TableContext"/>
              <w:rPr>
                <w:lang w:val="en-CA"/>
              </w:rPr>
            </w:pPr>
          </w:p>
        </w:tc>
        <w:tc>
          <w:tcPr>
            <w:tcW w:w="1032" w:type="dxa"/>
            <w:shd w:val="clear" w:color="auto" w:fill="auto"/>
            <w:vAlign w:val="center"/>
            <w:hideMark/>
          </w:tcPr>
          <w:p w14:paraId="0F73F44A" w14:textId="1FC4BD40" w:rsidR="00706FAD" w:rsidRPr="00BC081A" w:rsidRDefault="00706FAD" w:rsidP="000670AD">
            <w:pPr>
              <w:pStyle w:val="TableContext"/>
              <w:rPr>
                <w:lang w:val="en-CA"/>
              </w:rPr>
            </w:pPr>
          </w:p>
        </w:tc>
      </w:tr>
      <w:tr w:rsidR="00706FAD" w:rsidRPr="00BC081A" w14:paraId="1B4F3C11" w14:textId="77777777" w:rsidTr="008C71FB">
        <w:trPr>
          <w:trHeight w:val="320"/>
          <w:jc w:val="center"/>
        </w:trPr>
        <w:tc>
          <w:tcPr>
            <w:tcW w:w="938" w:type="dxa"/>
            <w:shd w:val="clear" w:color="auto" w:fill="F2F2F2" w:themeFill="background1" w:themeFillShade="F2"/>
            <w:vAlign w:val="center"/>
            <w:hideMark/>
          </w:tcPr>
          <w:p w14:paraId="16FBFB12" w14:textId="77777777" w:rsidR="00706FAD" w:rsidRPr="00BC081A" w:rsidRDefault="00706FAD" w:rsidP="00AF10AB">
            <w:pPr>
              <w:pStyle w:val="TableContext"/>
              <w:rPr>
                <w:lang w:val="en-CA"/>
              </w:rPr>
            </w:pPr>
            <w:r w:rsidRPr="00BC081A">
              <w:rPr>
                <w:lang w:val="en-CA"/>
              </w:rPr>
              <w:t>AR</w:t>
            </w:r>
          </w:p>
        </w:tc>
        <w:tc>
          <w:tcPr>
            <w:tcW w:w="1031" w:type="dxa"/>
            <w:vAlign w:val="center"/>
          </w:tcPr>
          <w:p w14:paraId="5736ACA4" w14:textId="2FB5CF2A" w:rsidR="00706FAD" w:rsidRPr="00BC081A" w:rsidRDefault="00706FAD" w:rsidP="00AF10AB">
            <w:pPr>
              <w:pStyle w:val="TableContext"/>
              <w:rPr>
                <w:lang w:val="en-CA"/>
              </w:rPr>
            </w:pPr>
            <w:r w:rsidRPr="00BC081A">
              <w:rPr>
                <w:lang w:val="en-CA"/>
              </w:rPr>
              <w:t> </w:t>
            </w:r>
          </w:p>
        </w:tc>
        <w:tc>
          <w:tcPr>
            <w:tcW w:w="1031" w:type="dxa"/>
            <w:vAlign w:val="center"/>
          </w:tcPr>
          <w:p w14:paraId="31E5F7F2" w14:textId="41F7B710" w:rsidR="00706FAD" w:rsidRPr="00BC081A" w:rsidRDefault="00706FAD" w:rsidP="00AF10AB">
            <w:pPr>
              <w:pStyle w:val="TableContext"/>
              <w:rPr>
                <w:lang w:val="en-CA"/>
              </w:rPr>
            </w:pPr>
            <w:r w:rsidRPr="00BC081A">
              <w:rPr>
                <w:lang w:val="en-CA"/>
              </w:rPr>
              <w:t> </w:t>
            </w:r>
          </w:p>
        </w:tc>
        <w:tc>
          <w:tcPr>
            <w:tcW w:w="1031" w:type="dxa"/>
            <w:shd w:val="clear" w:color="auto" w:fill="auto"/>
            <w:vAlign w:val="center"/>
            <w:hideMark/>
          </w:tcPr>
          <w:p w14:paraId="5BDB96F6" w14:textId="4F70B53E" w:rsidR="00706FAD" w:rsidRPr="00BC081A" w:rsidRDefault="00706FAD" w:rsidP="00AF10AB">
            <w:pPr>
              <w:pStyle w:val="TableContext"/>
              <w:rPr>
                <w:lang w:val="en-CA"/>
              </w:rPr>
            </w:pPr>
            <w:r w:rsidRPr="00BC081A">
              <w:rPr>
                <w:lang w:val="en-CA"/>
              </w:rPr>
              <w:t> </w:t>
            </w:r>
          </w:p>
        </w:tc>
        <w:tc>
          <w:tcPr>
            <w:tcW w:w="1032" w:type="dxa"/>
            <w:shd w:val="clear" w:color="auto" w:fill="auto"/>
            <w:vAlign w:val="center"/>
            <w:hideMark/>
          </w:tcPr>
          <w:p w14:paraId="123B48C4" w14:textId="77777777" w:rsidR="00706FAD" w:rsidRPr="00BC081A" w:rsidRDefault="00706FAD" w:rsidP="00AF10AB">
            <w:pPr>
              <w:pStyle w:val="TableContext"/>
              <w:rPr>
                <w:lang w:val="en-CA"/>
              </w:rPr>
            </w:pPr>
            <w:r w:rsidRPr="00BC081A">
              <w:rPr>
                <w:lang w:val="en-CA"/>
              </w:rPr>
              <w:t> </w:t>
            </w:r>
          </w:p>
        </w:tc>
        <w:tc>
          <w:tcPr>
            <w:tcW w:w="1032" w:type="dxa"/>
            <w:shd w:val="clear" w:color="auto" w:fill="auto"/>
            <w:vAlign w:val="center"/>
            <w:hideMark/>
          </w:tcPr>
          <w:p w14:paraId="0763422D" w14:textId="5EBE6288" w:rsidR="00706FAD" w:rsidRPr="00BC081A" w:rsidRDefault="00706FAD" w:rsidP="00CB3465">
            <w:pPr>
              <w:pStyle w:val="TableContext"/>
              <w:rPr>
                <w:lang w:val="en-CA"/>
              </w:rPr>
            </w:pPr>
            <w:r w:rsidRPr="00BC081A">
              <w:rPr>
                <w:lang w:val="en-CA"/>
              </w:rPr>
              <w:t>0.630</w:t>
            </w:r>
          </w:p>
        </w:tc>
        <w:tc>
          <w:tcPr>
            <w:tcW w:w="1032" w:type="dxa"/>
            <w:shd w:val="clear" w:color="auto" w:fill="auto"/>
            <w:vAlign w:val="center"/>
            <w:hideMark/>
          </w:tcPr>
          <w:p w14:paraId="288759A7" w14:textId="77753EC3" w:rsidR="00706FAD" w:rsidRPr="00BC081A" w:rsidRDefault="00706FAD" w:rsidP="00D94AC3">
            <w:pPr>
              <w:pStyle w:val="TableContext"/>
              <w:rPr>
                <w:lang w:val="en-CA"/>
              </w:rPr>
            </w:pPr>
          </w:p>
        </w:tc>
      </w:tr>
      <w:tr w:rsidR="00706FAD" w:rsidRPr="00BC081A" w14:paraId="3CA8A421" w14:textId="77777777" w:rsidTr="008C71FB">
        <w:trPr>
          <w:trHeight w:val="320"/>
          <w:jc w:val="center"/>
        </w:trPr>
        <w:tc>
          <w:tcPr>
            <w:tcW w:w="938" w:type="dxa"/>
            <w:shd w:val="clear" w:color="auto" w:fill="F2F2F2" w:themeFill="background1" w:themeFillShade="F2"/>
            <w:vAlign w:val="center"/>
            <w:hideMark/>
          </w:tcPr>
          <w:p w14:paraId="49C01F82" w14:textId="77777777" w:rsidR="00706FAD" w:rsidRPr="00BC081A" w:rsidRDefault="00706FAD" w:rsidP="00AF10AB">
            <w:pPr>
              <w:pStyle w:val="TableContext"/>
              <w:rPr>
                <w:lang w:val="en-CA"/>
              </w:rPr>
            </w:pPr>
            <w:r w:rsidRPr="00BC081A">
              <w:rPr>
                <w:lang w:val="en-CA"/>
              </w:rPr>
              <w:lastRenderedPageBreak/>
              <w:t>CH</w:t>
            </w:r>
          </w:p>
        </w:tc>
        <w:tc>
          <w:tcPr>
            <w:tcW w:w="1031" w:type="dxa"/>
            <w:vAlign w:val="center"/>
          </w:tcPr>
          <w:p w14:paraId="2FC40B71" w14:textId="6CD94FC7" w:rsidR="00706FAD" w:rsidRPr="00BC081A" w:rsidRDefault="00706FAD" w:rsidP="00CB3465">
            <w:pPr>
              <w:pStyle w:val="TableContext"/>
              <w:rPr>
                <w:lang w:val="en-CA"/>
              </w:rPr>
            </w:pPr>
            <w:r w:rsidRPr="00BC081A">
              <w:rPr>
                <w:lang w:val="en-CA"/>
              </w:rPr>
              <w:t> </w:t>
            </w:r>
          </w:p>
        </w:tc>
        <w:tc>
          <w:tcPr>
            <w:tcW w:w="1031" w:type="dxa"/>
            <w:vAlign w:val="center"/>
          </w:tcPr>
          <w:p w14:paraId="0344E0C8" w14:textId="6789E286" w:rsidR="00706FAD" w:rsidRPr="00BC081A" w:rsidRDefault="00706FAD" w:rsidP="00CB3465">
            <w:pPr>
              <w:pStyle w:val="TableContext"/>
              <w:rPr>
                <w:lang w:val="en-CA"/>
              </w:rPr>
            </w:pPr>
            <w:r w:rsidRPr="00BC081A">
              <w:rPr>
                <w:lang w:val="en-CA"/>
              </w:rPr>
              <w:t> </w:t>
            </w:r>
          </w:p>
        </w:tc>
        <w:tc>
          <w:tcPr>
            <w:tcW w:w="1031" w:type="dxa"/>
            <w:shd w:val="clear" w:color="auto" w:fill="auto"/>
            <w:vAlign w:val="center"/>
            <w:hideMark/>
          </w:tcPr>
          <w:p w14:paraId="6A859511" w14:textId="5E65D262" w:rsidR="00706FAD" w:rsidRPr="00BC081A" w:rsidRDefault="00706FAD" w:rsidP="00CB3465">
            <w:pPr>
              <w:pStyle w:val="TableContext"/>
              <w:rPr>
                <w:lang w:val="en-CA"/>
              </w:rPr>
            </w:pPr>
            <w:r w:rsidRPr="00BC081A">
              <w:rPr>
                <w:lang w:val="en-CA"/>
              </w:rPr>
              <w:t>0.256</w:t>
            </w:r>
          </w:p>
        </w:tc>
        <w:tc>
          <w:tcPr>
            <w:tcW w:w="1032" w:type="dxa"/>
            <w:shd w:val="clear" w:color="auto" w:fill="auto"/>
            <w:vAlign w:val="center"/>
            <w:hideMark/>
          </w:tcPr>
          <w:p w14:paraId="21B49B06" w14:textId="77777777" w:rsidR="00706FAD" w:rsidRPr="00BC081A" w:rsidRDefault="00706FAD" w:rsidP="00AF10AB">
            <w:pPr>
              <w:pStyle w:val="TableContext"/>
              <w:rPr>
                <w:lang w:val="en-CA"/>
              </w:rPr>
            </w:pPr>
            <w:r w:rsidRPr="00BC081A">
              <w:rPr>
                <w:lang w:val="en-CA"/>
              </w:rPr>
              <w:t> </w:t>
            </w:r>
          </w:p>
        </w:tc>
        <w:tc>
          <w:tcPr>
            <w:tcW w:w="1032" w:type="dxa"/>
            <w:shd w:val="clear" w:color="auto" w:fill="auto"/>
            <w:vAlign w:val="center"/>
            <w:hideMark/>
          </w:tcPr>
          <w:p w14:paraId="28ABF399" w14:textId="75523CF6" w:rsidR="00706FAD" w:rsidRPr="00BC081A" w:rsidRDefault="00706FAD" w:rsidP="00CB3465">
            <w:pPr>
              <w:pStyle w:val="TableContext"/>
              <w:rPr>
                <w:lang w:val="en-CA"/>
              </w:rPr>
            </w:pPr>
            <w:r w:rsidRPr="00BC081A">
              <w:rPr>
                <w:lang w:val="en-CA"/>
              </w:rPr>
              <w:t>0.277</w:t>
            </w:r>
          </w:p>
        </w:tc>
        <w:tc>
          <w:tcPr>
            <w:tcW w:w="1032" w:type="dxa"/>
            <w:shd w:val="clear" w:color="auto" w:fill="auto"/>
            <w:vAlign w:val="center"/>
            <w:hideMark/>
          </w:tcPr>
          <w:p w14:paraId="7003ABE0" w14:textId="58AF0654" w:rsidR="00706FAD" w:rsidRPr="00BC081A" w:rsidRDefault="00706FAD" w:rsidP="00D94AC3">
            <w:pPr>
              <w:pStyle w:val="TableContext"/>
              <w:rPr>
                <w:lang w:val="en-CA"/>
              </w:rPr>
            </w:pPr>
          </w:p>
        </w:tc>
      </w:tr>
      <w:tr w:rsidR="00706FAD" w:rsidRPr="00BC081A" w14:paraId="0B8A9D7C" w14:textId="77777777" w:rsidTr="008C71FB">
        <w:trPr>
          <w:trHeight w:val="320"/>
          <w:jc w:val="center"/>
        </w:trPr>
        <w:tc>
          <w:tcPr>
            <w:tcW w:w="938" w:type="dxa"/>
            <w:shd w:val="clear" w:color="auto" w:fill="F2F2F2" w:themeFill="background1" w:themeFillShade="F2"/>
            <w:vAlign w:val="center"/>
            <w:hideMark/>
          </w:tcPr>
          <w:p w14:paraId="2CAD4D65" w14:textId="77777777" w:rsidR="00706FAD" w:rsidRPr="00BC081A" w:rsidRDefault="00706FAD" w:rsidP="00AF10AB">
            <w:pPr>
              <w:pStyle w:val="TableContext"/>
              <w:rPr>
                <w:lang w:val="en-CA"/>
              </w:rPr>
            </w:pPr>
            <w:r w:rsidRPr="00BC081A">
              <w:rPr>
                <w:lang w:val="en-CA"/>
              </w:rPr>
              <w:t>Flow</w:t>
            </w:r>
          </w:p>
        </w:tc>
        <w:tc>
          <w:tcPr>
            <w:tcW w:w="1031" w:type="dxa"/>
            <w:vAlign w:val="center"/>
          </w:tcPr>
          <w:p w14:paraId="51FE9009" w14:textId="67D6771B" w:rsidR="00706FAD" w:rsidRPr="00BC081A" w:rsidRDefault="00706FAD" w:rsidP="00AF10AB">
            <w:pPr>
              <w:pStyle w:val="TableContext"/>
              <w:rPr>
                <w:lang w:val="en-CA"/>
              </w:rPr>
            </w:pPr>
            <w:r w:rsidRPr="00BC081A">
              <w:rPr>
                <w:lang w:val="en-CA"/>
              </w:rPr>
              <w:t> </w:t>
            </w:r>
          </w:p>
        </w:tc>
        <w:tc>
          <w:tcPr>
            <w:tcW w:w="1031" w:type="dxa"/>
            <w:vAlign w:val="center"/>
          </w:tcPr>
          <w:p w14:paraId="5A3D9E23" w14:textId="0EF7C2F3" w:rsidR="00706FAD" w:rsidRPr="00BC081A" w:rsidRDefault="00706FAD" w:rsidP="00AF10AB">
            <w:pPr>
              <w:pStyle w:val="TableContext"/>
              <w:rPr>
                <w:lang w:val="en-CA"/>
              </w:rPr>
            </w:pPr>
            <w:r w:rsidRPr="00BC081A">
              <w:rPr>
                <w:lang w:val="en-CA"/>
              </w:rPr>
              <w:t> </w:t>
            </w:r>
          </w:p>
        </w:tc>
        <w:tc>
          <w:tcPr>
            <w:tcW w:w="1031" w:type="dxa"/>
            <w:shd w:val="clear" w:color="auto" w:fill="auto"/>
            <w:vAlign w:val="center"/>
            <w:hideMark/>
          </w:tcPr>
          <w:p w14:paraId="0F7EF981" w14:textId="047010B5" w:rsidR="00706FAD" w:rsidRPr="00BC081A" w:rsidRDefault="00706FAD" w:rsidP="00AF10AB">
            <w:pPr>
              <w:pStyle w:val="TableContext"/>
              <w:rPr>
                <w:lang w:val="en-CA"/>
              </w:rPr>
            </w:pPr>
            <w:r w:rsidRPr="00BC081A">
              <w:rPr>
                <w:lang w:val="en-CA"/>
              </w:rPr>
              <w:t> </w:t>
            </w:r>
          </w:p>
        </w:tc>
        <w:tc>
          <w:tcPr>
            <w:tcW w:w="1032" w:type="dxa"/>
            <w:shd w:val="clear" w:color="auto" w:fill="auto"/>
            <w:vAlign w:val="center"/>
            <w:hideMark/>
          </w:tcPr>
          <w:p w14:paraId="15368D3A" w14:textId="77777777" w:rsidR="00706FAD" w:rsidRPr="00BC081A" w:rsidRDefault="00706FAD" w:rsidP="00AF10AB">
            <w:pPr>
              <w:pStyle w:val="TableContext"/>
              <w:rPr>
                <w:lang w:val="en-CA"/>
              </w:rPr>
            </w:pPr>
            <w:r w:rsidRPr="00BC081A">
              <w:rPr>
                <w:lang w:val="en-CA"/>
              </w:rPr>
              <w:t> </w:t>
            </w:r>
          </w:p>
        </w:tc>
        <w:tc>
          <w:tcPr>
            <w:tcW w:w="1032" w:type="dxa"/>
            <w:shd w:val="clear" w:color="auto" w:fill="auto"/>
            <w:vAlign w:val="center"/>
            <w:hideMark/>
          </w:tcPr>
          <w:p w14:paraId="68D4A8DC" w14:textId="77777777" w:rsidR="00706FAD" w:rsidRPr="00BC081A" w:rsidRDefault="00706FAD" w:rsidP="00AF10AB">
            <w:pPr>
              <w:pStyle w:val="TableContext"/>
              <w:rPr>
                <w:lang w:val="en-CA"/>
              </w:rPr>
            </w:pPr>
            <w:r w:rsidRPr="00BC081A">
              <w:rPr>
                <w:lang w:val="en-CA"/>
              </w:rPr>
              <w:t> </w:t>
            </w:r>
          </w:p>
        </w:tc>
        <w:tc>
          <w:tcPr>
            <w:tcW w:w="1032" w:type="dxa"/>
            <w:shd w:val="clear" w:color="auto" w:fill="auto"/>
            <w:vAlign w:val="center"/>
            <w:hideMark/>
          </w:tcPr>
          <w:p w14:paraId="41AB4ACA" w14:textId="0C50808E" w:rsidR="00706FAD" w:rsidRPr="00BC081A" w:rsidRDefault="00706FAD" w:rsidP="00617A40">
            <w:pPr>
              <w:pStyle w:val="TableContext"/>
              <w:rPr>
                <w:lang w:val="en-CA"/>
              </w:rPr>
            </w:pPr>
            <w:r w:rsidRPr="00BC081A">
              <w:rPr>
                <w:lang w:val="en-CA"/>
              </w:rPr>
              <w:t>0.653</w:t>
            </w:r>
          </w:p>
        </w:tc>
      </w:tr>
      <w:tr w:rsidR="00706FAD" w:rsidRPr="00BC081A" w14:paraId="12A7D5DF" w14:textId="77777777" w:rsidTr="008C71FB">
        <w:trPr>
          <w:trHeight w:val="320"/>
          <w:jc w:val="center"/>
        </w:trPr>
        <w:tc>
          <w:tcPr>
            <w:tcW w:w="938" w:type="dxa"/>
            <w:shd w:val="clear" w:color="auto" w:fill="F2F2F2" w:themeFill="background1" w:themeFillShade="F2"/>
            <w:vAlign w:val="center"/>
            <w:hideMark/>
          </w:tcPr>
          <w:p w14:paraId="1887E479" w14:textId="77777777" w:rsidR="00706FAD" w:rsidRPr="00BC081A" w:rsidRDefault="00706FAD" w:rsidP="00AF10AB">
            <w:pPr>
              <w:pStyle w:val="TableContext"/>
              <w:rPr>
                <w:lang w:val="en-CA"/>
              </w:rPr>
            </w:pPr>
            <w:r w:rsidRPr="00BC081A">
              <w:rPr>
                <w:lang w:val="en-CA"/>
              </w:rPr>
              <w:t>Mode</w:t>
            </w:r>
          </w:p>
        </w:tc>
        <w:tc>
          <w:tcPr>
            <w:tcW w:w="1031" w:type="dxa"/>
            <w:vAlign w:val="center"/>
          </w:tcPr>
          <w:p w14:paraId="4C6D95AC" w14:textId="29A443B7" w:rsidR="00706FAD" w:rsidRPr="00BC081A" w:rsidRDefault="00706FAD" w:rsidP="00AF10AB">
            <w:pPr>
              <w:pStyle w:val="TableContext"/>
              <w:rPr>
                <w:lang w:val="en-CA"/>
              </w:rPr>
            </w:pPr>
            <w:r w:rsidRPr="00BC081A">
              <w:rPr>
                <w:lang w:val="en-CA"/>
              </w:rPr>
              <w:t>0.365</w:t>
            </w:r>
          </w:p>
        </w:tc>
        <w:tc>
          <w:tcPr>
            <w:tcW w:w="1031" w:type="dxa"/>
            <w:vAlign w:val="center"/>
          </w:tcPr>
          <w:p w14:paraId="5A7F40EB" w14:textId="2DE8861B" w:rsidR="00706FAD" w:rsidRPr="00BC081A" w:rsidRDefault="00706FAD" w:rsidP="00AF10AB">
            <w:pPr>
              <w:pStyle w:val="TableContext"/>
              <w:rPr>
                <w:lang w:val="en-CA"/>
              </w:rPr>
            </w:pPr>
            <w:r w:rsidRPr="00BC081A">
              <w:rPr>
                <w:lang w:val="en-CA"/>
              </w:rPr>
              <w:t>0.527</w:t>
            </w:r>
          </w:p>
        </w:tc>
        <w:tc>
          <w:tcPr>
            <w:tcW w:w="1031" w:type="dxa"/>
            <w:shd w:val="clear" w:color="auto" w:fill="auto"/>
            <w:vAlign w:val="center"/>
            <w:hideMark/>
          </w:tcPr>
          <w:p w14:paraId="3054AC95" w14:textId="08E87FE6" w:rsidR="00706FAD" w:rsidRPr="00BC081A" w:rsidRDefault="00706FAD" w:rsidP="00AF10AB">
            <w:pPr>
              <w:pStyle w:val="TableContext"/>
              <w:rPr>
                <w:lang w:val="en-CA"/>
              </w:rPr>
            </w:pPr>
          </w:p>
        </w:tc>
        <w:tc>
          <w:tcPr>
            <w:tcW w:w="1032" w:type="dxa"/>
            <w:shd w:val="clear" w:color="auto" w:fill="auto"/>
            <w:vAlign w:val="center"/>
            <w:hideMark/>
          </w:tcPr>
          <w:p w14:paraId="3B6D9391" w14:textId="724C656A" w:rsidR="00706FAD" w:rsidRPr="00BC081A" w:rsidRDefault="00706FAD" w:rsidP="00AF10AB">
            <w:pPr>
              <w:pStyle w:val="TableContext"/>
              <w:rPr>
                <w:lang w:val="en-CA"/>
              </w:rPr>
            </w:pPr>
          </w:p>
        </w:tc>
        <w:tc>
          <w:tcPr>
            <w:tcW w:w="1032" w:type="dxa"/>
            <w:shd w:val="clear" w:color="auto" w:fill="auto"/>
            <w:vAlign w:val="center"/>
            <w:hideMark/>
          </w:tcPr>
          <w:p w14:paraId="75C2E76E" w14:textId="45FE635A" w:rsidR="00706FAD" w:rsidRPr="00BC081A" w:rsidRDefault="00706FAD" w:rsidP="00AF10AB">
            <w:pPr>
              <w:pStyle w:val="TableContext"/>
              <w:rPr>
                <w:lang w:val="en-CA"/>
              </w:rPr>
            </w:pPr>
          </w:p>
        </w:tc>
        <w:tc>
          <w:tcPr>
            <w:tcW w:w="1032" w:type="dxa"/>
            <w:shd w:val="clear" w:color="auto" w:fill="auto"/>
            <w:vAlign w:val="center"/>
            <w:hideMark/>
          </w:tcPr>
          <w:p w14:paraId="36611E5B" w14:textId="1A585241" w:rsidR="00706FAD" w:rsidRPr="00BC081A" w:rsidRDefault="00706FAD" w:rsidP="0097431F">
            <w:pPr>
              <w:pStyle w:val="TableContext"/>
              <w:rPr>
                <w:lang w:val="en-CA"/>
              </w:rPr>
            </w:pPr>
          </w:p>
        </w:tc>
      </w:tr>
    </w:tbl>
    <w:p w14:paraId="5D7E9B8E" w14:textId="77777777" w:rsidR="00AF10AB" w:rsidRPr="00BC081A" w:rsidRDefault="00AF10AB" w:rsidP="00420C4B"/>
    <w:p w14:paraId="740DFF64" w14:textId="1629DA0A" w:rsidR="00A41A52" w:rsidRPr="00BC081A" w:rsidRDefault="00A41A52" w:rsidP="00420C4B">
      <w:r w:rsidRPr="00BC081A">
        <w:fldChar w:fldCharType="begin"/>
      </w:r>
      <w:r w:rsidRPr="00BC081A">
        <w:instrText xml:space="preserve"> REF _Ref267921191 \h </w:instrText>
      </w:r>
      <w:r w:rsidRPr="00BC081A">
        <w:fldChar w:fldCharType="separate"/>
      </w:r>
      <w:r w:rsidR="008C71FB" w:rsidRPr="00BC081A">
        <w:t xml:space="preserve">Table </w:t>
      </w:r>
      <w:r w:rsidR="008C71FB">
        <w:rPr>
          <w:noProof/>
        </w:rPr>
        <w:t>9</w:t>
      </w:r>
      <w:r w:rsidRPr="00BC081A">
        <w:fldChar w:fldCharType="end"/>
      </w:r>
      <w:r w:rsidR="00232587" w:rsidRPr="00BC081A">
        <w:t xml:space="preserve"> also shows the indirect effect sizes in the model for the latent constructs that do not have direct relationship. </w:t>
      </w:r>
      <w:r w:rsidRPr="00BC081A">
        <w:t xml:space="preserve"> </w:t>
      </w:r>
    </w:p>
    <w:p w14:paraId="134100BE" w14:textId="1ACE102F" w:rsidR="00A41A52" w:rsidRPr="00BC081A" w:rsidRDefault="00A41A52" w:rsidP="00C92D78">
      <w:pPr>
        <w:pStyle w:val="Caption"/>
      </w:pPr>
      <w:bookmarkStart w:id="95" w:name="_Ref267921191"/>
      <w:bookmarkStart w:id="96" w:name="_Toc275209767"/>
      <w:r w:rsidRPr="00BC081A">
        <w:t xml:space="preserve">Table </w:t>
      </w:r>
      <w:r w:rsidR="007804FF">
        <w:fldChar w:fldCharType="begin"/>
      </w:r>
      <w:r w:rsidR="007804FF">
        <w:instrText xml:space="preserve"> SEQ Table \* ARABIC </w:instrText>
      </w:r>
      <w:r w:rsidR="007804FF">
        <w:fldChar w:fldCharType="separate"/>
      </w:r>
      <w:r w:rsidR="008C71FB">
        <w:rPr>
          <w:noProof/>
        </w:rPr>
        <w:t>9</w:t>
      </w:r>
      <w:r w:rsidR="007804FF">
        <w:rPr>
          <w:noProof/>
        </w:rPr>
        <w:fldChar w:fldCharType="end"/>
      </w:r>
      <w:bookmarkEnd w:id="95"/>
      <w:r w:rsidRPr="00BC081A">
        <w:t xml:space="preserve"> – Indirect Relationships' Effect Sizes (</w:t>
      </w:r>
      <m:oMath>
        <m:r>
          <m:rPr>
            <m:sty m:val="bi"/>
          </m:rPr>
          <w:rPr>
            <w:rFonts w:ascii="Cambria Math" w:hAnsi="Cambria Math"/>
          </w:rPr>
          <m:t>α</m:t>
        </m:r>
      </m:oMath>
      <w:r w:rsidRPr="00BC081A">
        <w:t xml:space="preserve"> = 0.05)</w:t>
      </w:r>
      <w:bookmarkEnd w:id="96"/>
    </w:p>
    <w:tbl>
      <w:tblPr>
        <w:tblW w:w="71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031"/>
        <w:gridCol w:w="1039"/>
        <w:gridCol w:w="1035"/>
        <w:gridCol w:w="1035"/>
        <w:gridCol w:w="1035"/>
        <w:gridCol w:w="1035"/>
      </w:tblGrid>
      <w:tr w:rsidR="00706FAD" w:rsidRPr="00BC081A" w14:paraId="04F4938F" w14:textId="77777777" w:rsidTr="008C71FB">
        <w:trPr>
          <w:trHeight w:val="320"/>
          <w:jc w:val="center"/>
        </w:trPr>
        <w:tc>
          <w:tcPr>
            <w:tcW w:w="938" w:type="dxa"/>
            <w:shd w:val="clear" w:color="auto" w:fill="F2F2F2" w:themeFill="background1" w:themeFillShade="F2"/>
            <w:vAlign w:val="center"/>
            <w:hideMark/>
          </w:tcPr>
          <w:p w14:paraId="1BDCC248" w14:textId="77777777" w:rsidR="00706FAD" w:rsidRPr="00BC081A" w:rsidRDefault="00706FAD" w:rsidP="00A41A52">
            <w:pPr>
              <w:pStyle w:val="TableContext"/>
              <w:rPr>
                <w:lang w:val="en-CA"/>
              </w:rPr>
            </w:pPr>
            <w:r w:rsidRPr="00BC081A">
              <w:rPr>
                <w:lang w:val="en-CA"/>
              </w:rPr>
              <w:t> </w:t>
            </w:r>
          </w:p>
        </w:tc>
        <w:tc>
          <w:tcPr>
            <w:tcW w:w="1041" w:type="dxa"/>
            <w:shd w:val="clear" w:color="000000" w:fill="F2F2F2" w:themeFill="background1" w:themeFillShade="F2"/>
            <w:vAlign w:val="center"/>
          </w:tcPr>
          <w:p w14:paraId="70FB3158" w14:textId="5B40FC61" w:rsidR="00706FAD" w:rsidRPr="00BC081A" w:rsidRDefault="00706FAD" w:rsidP="00A41A52">
            <w:pPr>
              <w:pStyle w:val="TableContext"/>
              <w:rPr>
                <w:lang w:val="en-CA"/>
              </w:rPr>
            </w:pPr>
            <w:r w:rsidRPr="00BC081A">
              <w:rPr>
                <w:lang w:val="en-CA"/>
              </w:rPr>
              <w:t>SP</w:t>
            </w:r>
          </w:p>
        </w:tc>
        <w:tc>
          <w:tcPr>
            <w:tcW w:w="1041" w:type="dxa"/>
            <w:shd w:val="clear" w:color="000000" w:fill="F2F2F2" w:themeFill="background1" w:themeFillShade="F2"/>
            <w:vAlign w:val="center"/>
          </w:tcPr>
          <w:p w14:paraId="6DFA7A72" w14:textId="017CC90C" w:rsidR="00706FAD" w:rsidRPr="00BC081A" w:rsidRDefault="005624B9" w:rsidP="00A41A52">
            <w:pPr>
              <w:pStyle w:val="TableContext"/>
              <w:rPr>
                <w:lang w:val="en-CA"/>
              </w:rPr>
            </w:pPr>
            <w:proofErr w:type="spellStart"/>
            <w:r w:rsidRPr="00BC081A">
              <w:rPr>
                <w:lang w:val="en-CA"/>
              </w:rPr>
              <w:t>SCompt</w:t>
            </w:r>
            <w:proofErr w:type="spellEnd"/>
          </w:p>
        </w:tc>
        <w:tc>
          <w:tcPr>
            <w:tcW w:w="1041" w:type="dxa"/>
            <w:shd w:val="clear" w:color="000000" w:fill="F2F2F2" w:themeFill="background1" w:themeFillShade="F2"/>
            <w:vAlign w:val="center"/>
            <w:hideMark/>
          </w:tcPr>
          <w:p w14:paraId="7F1600FF" w14:textId="30B34A25" w:rsidR="00706FAD" w:rsidRPr="00BC081A" w:rsidRDefault="00706FAD" w:rsidP="00A41A52">
            <w:pPr>
              <w:pStyle w:val="TableContext"/>
              <w:rPr>
                <w:lang w:val="en-CA"/>
              </w:rPr>
            </w:pPr>
            <w:r w:rsidRPr="00BC081A">
              <w:rPr>
                <w:lang w:val="en-CA"/>
              </w:rPr>
              <w:t>AR</w:t>
            </w:r>
          </w:p>
        </w:tc>
        <w:tc>
          <w:tcPr>
            <w:tcW w:w="1041" w:type="dxa"/>
            <w:shd w:val="clear" w:color="000000" w:fill="F2F2F2" w:themeFill="background1" w:themeFillShade="F2"/>
            <w:vAlign w:val="center"/>
            <w:hideMark/>
          </w:tcPr>
          <w:p w14:paraId="0A312EDD" w14:textId="77777777" w:rsidR="00706FAD" w:rsidRPr="00BC081A" w:rsidRDefault="00706FAD" w:rsidP="00A41A52">
            <w:pPr>
              <w:pStyle w:val="TableContext"/>
              <w:rPr>
                <w:lang w:val="en-CA"/>
              </w:rPr>
            </w:pPr>
            <w:r w:rsidRPr="00BC081A">
              <w:rPr>
                <w:lang w:val="en-CA"/>
              </w:rPr>
              <w:t>CH</w:t>
            </w:r>
          </w:p>
        </w:tc>
        <w:tc>
          <w:tcPr>
            <w:tcW w:w="1041" w:type="dxa"/>
            <w:shd w:val="clear" w:color="000000" w:fill="F2F2F2" w:themeFill="background1" w:themeFillShade="F2"/>
            <w:vAlign w:val="center"/>
            <w:hideMark/>
          </w:tcPr>
          <w:p w14:paraId="1BDF85AA" w14:textId="77777777" w:rsidR="00706FAD" w:rsidRPr="00BC081A" w:rsidRDefault="00706FAD" w:rsidP="00A41A52">
            <w:pPr>
              <w:pStyle w:val="TableContext"/>
              <w:rPr>
                <w:lang w:val="en-CA"/>
              </w:rPr>
            </w:pPr>
            <w:r w:rsidRPr="00BC081A">
              <w:rPr>
                <w:lang w:val="en-CA"/>
              </w:rPr>
              <w:t>Flow</w:t>
            </w:r>
          </w:p>
        </w:tc>
        <w:tc>
          <w:tcPr>
            <w:tcW w:w="1041" w:type="dxa"/>
            <w:shd w:val="clear" w:color="000000" w:fill="F2F2F2" w:themeFill="background1" w:themeFillShade="F2"/>
            <w:vAlign w:val="center"/>
            <w:hideMark/>
          </w:tcPr>
          <w:p w14:paraId="39BA0B91" w14:textId="0A71BD52" w:rsidR="00706FAD" w:rsidRPr="00BC081A" w:rsidRDefault="00706FAD" w:rsidP="00A41A52">
            <w:pPr>
              <w:pStyle w:val="TableContext"/>
              <w:rPr>
                <w:lang w:val="en-CA"/>
              </w:rPr>
            </w:pPr>
            <w:r w:rsidRPr="00BC081A">
              <w:rPr>
                <w:lang w:val="en-CA"/>
              </w:rPr>
              <w:t>SA</w:t>
            </w:r>
          </w:p>
        </w:tc>
      </w:tr>
      <w:tr w:rsidR="00706FAD" w:rsidRPr="00BC081A" w14:paraId="201BA64D" w14:textId="77777777" w:rsidTr="008C71FB">
        <w:trPr>
          <w:trHeight w:val="320"/>
          <w:jc w:val="center"/>
        </w:trPr>
        <w:tc>
          <w:tcPr>
            <w:tcW w:w="938" w:type="dxa"/>
            <w:shd w:val="clear" w:color="auto" w:fill="F2F2F2" w:themeFill="background1" w:themeFillShade="F2"/>
            <w:vAlign w:val="center"/>
            <w:hideMark/>
          </w:tcPr>
          <w:p w14:paraId="565EE95C" w14:textId="2AB624C6" w:rsidR="00706FAD" w:rsidRPr="00BC081A" w:rsidRDefault="005624B9" w:rsidP="000670AD">
            <w:pPr>
              <w:pStyle w:val="TableContext"/>
              <w:rPr>
                <w:lang w:val="en-CA"/>
              </w:rPr>
            </w:pPr>
            <w:proofErr w:type="spellStart"/>
            <w:r w:rsidRPr="00BC081A">
              <w:rPr>
                <w:lang w:val="en-CA"/>
              </w:rPr>
              <w:t>DCompt</w:t>
            </w:r>
            <w:proofErr w:type="spellEnd"/>
          </w:p>
        </w:tc>
        <w:tc>
          <w:tcPr>
            <w:tcW w:w="1041" w:type="dxa"/>
            <w:vAlign w:val="center"/>
          </w:tcPr>
          <w:p w14:paraId="0ACA7904" w14:textId="671F0E05" w:rsidR="00706FAD" w:rsidRPr="00BC081A" w:rsidRDefault="00706FAD" w:rsidP="000670AD">
            <w:pPr>
              <w:pStyle w:val="TableContext"/>
              <w:rPr>
                <w:lang w:val="en-CA"/>
              </w:rPr>
            </w:pPr>
            <w:r w:rsidRPr="00BC081A">
              <w:rPr>
                <w:lang w:val="en-CA"/>
              </w:rPr>
              <w:t> </w:t>
            </w:r>
          </w:p>
        </w:tc>
        <w:tc>
          <w:tcPr>
            <w:tcW w:w="1041" w:type="dxa"/>
            <w:vAlign w:val="center"/>
          </w:tcPr>
          <w:p w14:paraId="122B578D" w14:textId="6FA0E6FD" w:rsidR="00706FAD" w:rsidRPr="00BC081A" w:rsidRDefault="00706FAD" w:rsidP="000670AD">
            <w:pPr>
              <w:pStyle w:val="TableContext"/>
              <w:rPr>
                <w:lang w:val="en-CA"/>
              </w:rPr>
            </w:pPr>
          </w:p>
        </w:tc>
        <w:tc>
          <w:tcPr>
            <w:tcW w:w="1041" w:type="dxa"/>
            <w:shd w:val="clear" w:color="auto" w:fill="auto"/>
            <w:vAlign w:val="center"/>
            <w:hideMark/>
          </w:tcPr>
          <w:p w14:paraId="23CA69A2" w14:textId="7C50C525" w:rsidR="00706FAD" w:rsidRPr="00BC081A" w:rsidRDefault="00706FAD" w:rsidP="000670AD">
            <w:pPr>
              <w:pStyle w:val="TableContext"/>
              <w:rPr>
                <w:lang w:val="en-CA"/>
              </w:rPr>
            </w:pPr>
            <w:r w:rsidRPr="00BC081A">
              <w:rPr>
                <w:lang w:val="en-CA"/>
              </w:rPr>
              <w:t>0.111</w:t>
            </w:r>
          </w:p>
        </w:tc>
        <w:tc>
          <w:tcPr>
            <w:tcW w:w="1041" w:type="dxa"/>
            <w:shd w:val="clear" w:color="auto" w:fill="auto"/>
            <w:vAlign w:val="center"/>
            <w:hideMark/>
          </w:tcPr>
          <w:p w14:paraId="2743222D" w14:textId="77777777" w:rsidR="00706FAD" w:rsidRPr="00BC081A" w:rsidRDefault="00706FAD" w:rsidP="000670AD">
            <w:pPr>
              <w:pStyle w:val="TableContext"/>
              <w:rPr>
                <w:lang w:val="en-CA"/>
              </w:rPr>
            </w:pPr>
            <w:r w:rsidRPr="00BC081A">
              <w:rPr>
                <w:lang w:val="en-CA"/>
              </w:rPr>
              <w:t>0.129</w:t>
            </w:r>
          </w:p>
        </w:tc>
        <w:tc>
          <w:tcPr>
            <w:tcW w:w="1041" w:type="dxa"/>
            <w:shd w:val="clear" w:color="auto" w:fill="auto"/>
            <w:vAlign w:val="center"/>
            <w:hideMark/>
          </w:tcPr>
          <w:p w14:paraId="5582E646" w14:textId="77777777" w:rsidR="00706FAD" w:rsidRPr="00BC081A" w:rsidRDefault="00706FAD" w:rsidP="000670AD">
            <w:pPr>
              <w:pStyle w:val="TableContext"/>
              <w:rPr>
                <w:lang w:val="en-CA"/>
              </w:rPr>
            </w:pPr>
            <w:r w:rsidRPr="00BC081A">
              <w:rPr>
                <w:lang w:val="en-CA"/>
              </w:rPr>
              <w:t>0.085</w:t>
            </w:r>
          </w:p>
        </w:tc>
        <w:tc>
          <w:tcPr>
            <w:tcW w:w="1041" w:type="dxa"/>
            <w:shd w:val="clear" w:color="auto" w:fill="auto"/>
            <w:vAlign w:val="center"/>
            <w:hideMark/>
          </w:tcPr>
          <w:p w14:paraId="4A865FF2" w14:textId="77777777" w:rsidR="00706FAD" w:rsidRPr="00BC081A" w:rsidRDefault="00706FAD" w:rsidP="000670AD">
            <w:pPr>
              <w:pStyle w:val="TableContext"/>
              <w:rPr>
                <w:lang w:val="en-CA"/>
              </w:rPr>
            </w:pPr>
            <w:r w:rsidRPr="00BC081A">
              <w:rPr>
                <w:lang w:val="en-CA"/>
              </w:rPr>
              <w:t>0.198</w:t>
            </w:r>
          </w:p>
        </w:tc>
      </w:tr>
      <w:tr w:rsidR="00706FAD" w:rsidRPr="00BC081A" w14:paraId="0B1006C4" w14:textId="77777777" w:rsidTr="008C71FB">
        <w:trPr>
          <w:trHeight w:val="320"/>
          <w:jc w:val="center"/>
        </w:trPr>
        <w:tc>
          <w:tcPr>
            <w:tcW w:w="938" w:type="dxa"/>
            <w:shd w:val="clear" w:color="auto" w:fill="F2F2F2" w:themeFill="background1" w:themeFillShade="F2"/>
            <w:vAlign w:val="center"/>
            <w:hideMark/>
          </w:tcPr>
          <w:p w14:paraId="795592AA" w14:textId="77777777" w:rsidR="00706FAD" w:rsidRPr="00BC081A" w:rsidRDefault="00706FAD" w:rsidP="000670AD">
            <w:pPr>
              <w:pStyle w:val="TableContext"/>
              <w:rPr>
                <w:lang w:val="en-CA"/>
              </w:rPr>
            </w:pPr>
            <w:r w:rsidRPr="00BC081A">
              <w:rPr>
                <w:lang w:val="en-CA"/>
              </w:rPr>
              <w:t>SP</w:t>
            </w:r>
          </w:p>
        </w:tc>
        <w:tc>
          <w:tcPr>
            <w:tcW w:w="1041" w:type="dxa"/>
            <w:vAlign w:val="center"/>
          </w:tcPr>
          <w:p w14:paraId="236D1B34" w14:textId="2D69CE87" w:rsidR="00706FAD" w:rsidRPr="00BC081A" w:rsidRDefault="00706FAD" w:rsidP="000670AD">
            <w:pPr>
              <w:pStyle w:val="TableContext"/>
              <w:rPr>
                <w:lang w:val="en-CA"/>
              </w:rPr>
            </w:pPr>
            <w:r w:rsidRPr="00BC081A">
              <w:rPr>
                <w:lang w:val="en-CA"/>
              </w:rPr>
              <w:t> </w:t>
            </w:r>
          </w:p>
        </w:tc>
        <w:tc>
          <w:tcPr>
            <w:tcW w:w="1041" w:type="dxa"/>
            <w:vAlign w:val="center"/>
          </w:tcPr>
          <w:p w14:paraId="62E8805D" w14:textId="149140BC" w:rsidR="00706FAD" w:rsidRPr="00BC081A" w:rsidRDefault="00706FAD" w:rsidP="000670AD">
            <w:pPr>
              <w:pStyle w:val="TableContext"/>
              <w:rPr>
                <w:lang w:val="en-CA"/>
              </w:rPr>
            </w:pPr>
          </w:p>
        </w:tc>
        <w:tc>
          <w:tcPr>
            <w:tcW w:w="1041" w:type="dxa"/>
            <w:shd w:val="clear" w:color="auto" w:fill="auto"/>
            <w:vAlign w:val="center"/>
            <w:hideMark/>
          </w:tcPr>
          <w:p w14:paraId="3D29CC24" w14:textId="77777777" w:rsidR="00706FAD" w:rsidRPr="00BC081A" w:rsidRDefault="00706FAD" w:rsidP="000670AD">
            <w:pPr>
              <w:pStyle w:val="TableContext"/>
              <w:rPr>
                <w:lang w:val="en-CA"/>
              </w:rPr>
            </w:pPr>
            <w:r w:rsidRPr="00BC081A">
              <w:rPr>
                <w:lang w:val="en-CA"/>
              </w:rPr>
              <w:t>0.102</w:t>
            </w:r>
          </w:p>
        </w:tc>
        <w:tc>
          <w:tcPr>
            <w:tcW w:w="1041" w:type="dxa"/>
            <w:shd w:val="clear" w:color="auto" w:fill="auto"/>
            <w:vAlign w:val="center"/>
            <w:hideMark/>
          </w:tcPr>
          <w:p w14:paraId="07895F91" w14:textId="77777777" w:rsidR="00706FAD" w:rsidRPr="00BC081A" w:rsidRDefault="00706FAD" w:rsidP="000670AD">
            <w:pPr>
              <w:pStyle w:val="TableContext"/>
              <w:rPr>
                <w:lang w:val="en-CA"/>
              </w:rPr>
            </w:pPr>
            <w:r w:rsidRPr="00BC081A">
              <w:rPr>
                <w:lang w:val="en-CA"/>
              </w:rPr>
              <w:t>0.118</w:t>
            </w:r>
          </w:p>
        </w:tc>
        <w:tc>
          <w:tcPr>
            <w:tcW w:w="1041" w:type="dxa"/>
            <w:shd w:val="clear" w:color="auto" w:fill="auto"/>
            <w:vAlign w:val="center"/>
            <w:hideMark/>
          </w:tcPr>
          <w:p w14:paraId="3C23F306" w14:textId="77777777" w:rsidR="00706FAD" w:rsidRPr="00BC081A" w:rsidRDefault="00706FAD" w:rsidP="000670AD">
            <w:pPr>
              <w:pStyle w:val="TableContext"/>
              <w:rPr>
                <w:lang w:val="en-CA"/>
              </w:rPr>
            </w:pPr>
            <w:r w:rsidRPr="00BC081A">
              <w:rPr>
                <w:lang w:val="en-CA"/>
              </w:rPr>
              <w:t>0.078</w:t>
            </w:r>
          </w:p>
        </w:tc>
        <w:tc>
          <w:tcPr>
            <w:tcW w:w="1041" w:type="dxa"/>
            <w:shd w:val="clear" w:color="auto" w:fill="auto"/>
            <w:vAlign w:val="center"/>
            <w:hideMark/>
          </w:tcPr>
          <w:p w14:paraId="4A2F139B" w14:textId="77777777" w:rsidR="00706FAD" w:rsidRPr="00BC081A" w:rsidRDefault="00706FAD" w:rsidP="000670AD">
            <w:pPr>
              <w:pStyle w:val="TableContext"/>
              <w:rPr>
                <w:lang w:val="en-CA"/>
              </w:rPr>
            </w:pPr>
            <w:r w:rsidRPr="00BC081A">
              <w:rPr>
                <w:lang w:val="en-CA"/>
              </w:rPr>
              <w:t>0.051</w:t>
            </w:r>
          </w:p>
        </w:tc>
      </w:tr>
      <w:tr w:rsidR="00706FAD" w:rsidRPr="00BC081A" w14:paraId="401E73E5" w14:textId="77777777" w:rsidTr="008C71FB">
        <w:trPr>
          <w:trHeight w:val="320"/>
          <w:jc w:val="center"/>
        </w:trPr>
        <w:tc>
          <w:tcPr>
            <w:tcW w:w="938" w:type="dxa"/>
            <w:shd w:val="clear" w:color="auto" w:fill="F2F2F2" w:themeFill="background1" w:themeFillShade="F2"/>
            <w:vAlign w:val="center"/>
            <w:hideMark/>
          </w:tcPr>
          <w:p w14:paraId="6F7FF46E" w14:textId="58EED44F" w:rsidR="00706FAD" w:rsidRPr="00BC081A" w:rsidRDefault="005624B9" w:rsidP="000670AD">
            <w:pPr>
              <w:pStyle w:val="TableContext"/>
              <w:rPr>
                <w:lang w:val="en-CA"/>
              </w:rPr>
            </w:pPr>
            <w:proofErr w:type="spellStart"/>
            <w:r w:rsidRPr="00BC081A">
              <w:rPr>
                <w:lang w:val="en-CA"/>
              </w:rPr>
              <w:t>SCompt</w:t>
            </w:r>
            <w:proofErr w:type="spellEnd"/>
          </w:p>
        </w:tc>
        <w:tc>
          <w:tcPr>
            <w:tcW w:w="1041" w:type="dxa"/>
            <w:vAlign w:val="center"/>
          </w:tcPr>
          <w:p w14:paraId="02EA7202" w14:textId="4F24DC6C" w:rsidR="00706FAD" w:rsidRPr="00BC081A" w:rsidRDefault="00706FAD" w:rsidP="000670AD">
            <w:pPr>
              <w:pStyle w:val="TableContext"/>
              <w:rPr>
                <w:lang w:val="en-CA"/>
              </w:rPr>
            </w:pPr>
            <w:r w:rsidRPr="00BC081A">
              <w:rPr>
                <w:lang w:val="en-CA"/>
              </w:rPr>
              <w:t> </w:t>
            </w:r>
          </w:p>
        </w:tc>
        <w:tc>
          <w:tcPr>
            <w:tcW w:w="1041" w:type="dxa"/>
            <w:vAlign w:val="center"/>
          </w:tcPr>
          <w:p w14:paraId="1AD11D9E" w14:textId="2BB9687E" w:rsidR="00706FAD" w:rsidRPr="00BC081A" w:rsidRDefault="00706FAD" w:rsidP="000670AD">
            <w:pPr>
              <w:pStyle w:val="TableContext"/>
              <w:rPr>
                <w:lang w:val="en-CA"/>
              </w:rPr>
            </w:pPr>
            <w:r w:rsidRPr="00BC081A">
              <w:rPr>
                <w:lang w:val="en-CA"/>
              </w:rPr>
              <w:t> </w:t>
            </w:r>
          </w:p>
        </w:tc>
        <w:tc>
          <w:tcPr>
            <w:tcW w:w="1041" w:type="dxa"/>
            <w:shd w:val="clear" w:color="auto" w:fill="auto"/>
            <w:vAlign w:val="center"/>
            <w:hideMark/>
          </w:tcPr>
          <w:p w14:paraId="636A0166" w14:textId="6706F2CA" w:rsidR="00706FAD" w:rsidRPr="00BC081A" w:rsidRDefault="00706FAD" w:rsidP="000670AD">
            <w:pPr>
              <w:pStyle w:val="TableContext"/>
              <w:rPr>
                <w:lang w:val="en-CA"/>
              </w:rPr>
            </w:pPr>
          </w:p>
        </w:tc>
        <w:tc>
          <w:tcPr>
            <w:tcW w:w="1041" w:type="dxa"/>
            <w:shd w:val="clear" w:color="auto" w:fill="auto"/>
            <w:vAlign w:val="center"/>
            <w:hideMark/>
          </w:tcPr>
          <w:p w14:paraId="74C49F70" w14:textId="77777777" w:rsidR="00706FAD" w:rsidRPr="00BC081A" w:rsidRDefault="00706FAD" w:rsidP="000670AD">
            <w:pPr>
              <w:pStyle w:val="TableContext"/>
              <w:rPr>
                <w:lang w:val="en-CA"/>
              </w:rPr>
            </w:pPr>
          </w:p>
        </w:tc>
        <w:tc>
          <w:tcPr>
            <w:tcW w:w="1041" w:type="dxa"/>
            <w:shd w:val="clear" w:color="auto" w:fill="auto"/>
            <w:vAlign w:val="center"/>
            <w:hideMark/>
          </w:tcPr>
          <w:p w14:paraId="36256F6B" w14:textId="77777777" w:rsidR="00706FAD" w:rsidRPr="00BC081A" w:rsidRDefault="00706FAD" w:rsidP="000670AD">
            <w:pPr>
              <w:pStyle w:val="TableContext"/>
              <w:rPr>
                <w:lang w:val="en-CA"/>
              </w:rPr>
            </w:pPr>
            <w:r w:rsidRPr="00BC081A">
              <w:rPr>
                <w:lang w:val="en-CA"/>
              </w:rPr>
              <w:t>0.304</w:t>
            </w:r>
          </w:p>
        </w:tc>
        <w:tc>
          <w:tcPr>
            <w:tcW w:w="1041" w:type="dxa"/>
            <w:shd w:val="clear" w:color="auto" w:fill="auto"/>
            <w:vAlign w:val="center"/>
            <w:hideMark/>
          </w:tcPr>
          <w:p w14:paraId="55302CB8" w14:textId="5A8ECDD8" w:rsidR="00706FAD" w:rsidRPr="00BC081A" w:rsidRDefault="00706FAD" w:rsidP="000670AD">
            <w:pPr>
              <w:pStyle w:val="TableContext"/>
              <w:rPr>
                <w:lang w:val="en-CA"/>
              </w:rPr>
            </w:pPr>
            <w:r w:rsidRPr="00BC081A">
              <w:rPr>
                <w:lang w:val="en-CA"/>
              </w:rPr>
              <w:t>0.198</w:t>
            </w:r>
          </w:p>
        </w:tc>
      </w:tr>
      <w:tr w:rsidR="00706FAD" w:rsidRPr="00BC081A" w14:paraId="32475305" w14:textId="77777777" w:rsidTr="008C71FB">
        <w:trPr>
          <w:trHeight w:val="320"/>
          <w:jc w:val="center"/>
        </w:trPr>
        <w:tc>
          <w:tcPr>
            <w:tcW w:w="938" w:type="dxa"/>
            <w:shd w:val="clear" w:color="auto" w:fill="F2F2F2" w:themeFill="background1" w:themeFillShade="F2"/>
            <w:vAlign w:val="center"/>
            <w:hideMark/>
          </w:tcPr>
          <w:p w14:paraId="35CD8BB9" w14:textId="77777777" w:rsidR="00706FAD" w:rsidRPr="00BC081A" w:rsidRDefault="00706FAD" w:rsidP="00A41A52">
            <w:pPr>
              <w:pStyle w:val="TableContext"/>
              <w:rPr>
                <w:lang w:val="en-CA"/>
              </w:rPr>
            </w:pPr>
            <w:r w:rsidRPr="00BC081A">
              <w:rPr>
                <w:lang w:val="en-CA"/>
              </w:rPr>
              <w:t>AR</w:t>
            </w:r>
          </w:p>
        </w:tc>
        <w:tc>
          <w:tcPr>
            <w:tcW w:w="1041" w:type="dxa"/>
            <w:vAlign w:val="center"/>
          </w:tcPr>
          <w:p w14:paraId="4BA097D7" w14:textId="5428EABB" w:rsidR="00706FAD" w:rsidRPr="00BC081A" w:rsidRDefault="00706FAD" w:rsidP="00A41A52">
            <w:pPr>
              <w:pStyle w:val="TableContext"/>
              <w:rPr>
                <w:lang w:val="en-CA"/>
              </w:rPr>
            </w:pPr>
            <w:r w:rsidRPr="00BC081A">
              <w:rPr>
                <w:lang w:val="en-CA"/>
              </w:rPr>
              <w:t> </w:t>
            </w:r>
          </w:p>
        </w:tc>
        <w:tc>
          <w:tcPr>
            <w:tcW w:w="1041" w:type="dxa"/>
            <w:vAlign w:val="center"/>
          </w:tcPr>
          <w:p w14:paraId="343D1491" w14:textId="77246E18"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29760995" w14:textId="78150C39"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305A56A5" w14:textId="77777777"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14BAD6A7" w14:textId="036E504C" w:rsidR="00706FAD" w:rsidRPr="00BC081A" w:rsidRDefault="00706FAD" w:rsidP="0045318B">
            <w:pPr>
              <w:pStyle w:val="TableContext"/>
              <w:rPr>
                <w:lang w:val="en-CA"/>
              </w:rPr>
            </w:pPr>
          </w:p>
        </w:tc>
        <w:tc>
          <w:tcPr>
            <w:tcW w:w="1041" w:type="dxa"/>
            <w:shd w:val="clear" w:color="auto" w:fill="auto"/>
            <w:vAlign w:val="center"/>
            <w:hideMark/>
          </w:tcPr>
          <w:p w14:paraId="4317BA0A" w14:textId="2D114112" w:rsidR="00706FAD" w:rsidRPr="00BC081A" w:rsidRDefault="00706FAD" w:rsidP="00630804">
            <w:pPr>
              <w:pStyle w:val="TableContext"/>
              <w:rPr>
                <w:lang w:val="en-CA"/>
              </w:rPr>
            </w:pPr>
            <w:r w:rsidRPr="00BC081A">
              <w:rPr>
                <w:lang w:val="en-CA"/>
              </w:rPr>
              <w:t>0.411</w:t>
            </w:r>
          </w:p>
        </w:tc>
      </w:tr>
      <w:tr w:rsidR="00706FAD" w:rsidRPr="00BC081A" w14:paraId="33EA2F4A" w14:textId="77777777" w:rsidTr="008C71FB">
        <w:trPr>
          <w:trHeight w:val="320"/>
          <w:jc w:val="center"/>
        </w:trPr>
        <w:tc>
          <w:tcPr>
            <w:tcW w:w="938" w:type="dxa"/>
            <w:shd w:val="clear" w:color="auto" w:fill="F2F2F2" w:themeFill="background1" w:themeFillShade="F2"/>
            <w:vAlign w:val="center"/>
            <w:hideMark/>
          </w:tcPr>
          <w:p w14:paraId="7548B1CF" w14:textId="77777777" w:rsidR="00706FAD" w:rsidRPr="00BC081A" w:rsidRDefault="00706FAD" w:rsidP="00A41A52">
            <w:pPr>
              <w:pStyle w:val="TableContext"/>
              <w:rPr>
                <w:lang w:val="en-CA"/>
              </w:rPr>
            </w:pPr>
            <w:r w:rsidRPr="00BC081A">
              <w:rPr>
                <w:lang w:val="en-CA"/>
              </w:rPr>
              <w:t>CH</w:t>
            </w:r>
          </w:p>
        </w:tc>
        <w:tc>
          <w:tcPr>
            <w:tcW w:w="1041" w:type="dxa"/>
            <w:vAlign w:val="center"/>
          </w:tcPr>
          <w:p w14:paraId="44AD9154" w14:textId="40C1FD6C" w:rsidR="00706FAD" w:rsidRPr="00BC081A" w:rsidRDefault="00706FAD" w:rsidP="00EA53A2">
            <w:pPr>
              <w:pStyle w:val="TableContext"/>
              <w:rPr>
                <w:lang w:val="en-CA"/>
              </w:rPr>
            </w:pPr>
            <w:r w:rsidRPr="00BC081A">
              <w:rPr>
                <w:lang w:val="en-CA"/>
              </w:rPr>
              <w:t> </w:t>
            </w:r>
          </w:p>
        </w:tc>
        <w:tc>
          <w:tcPr>
            <w:tcW w:w="1041" w:type="dxa"/>
            <w:vAlign w:val="center"/>
          </w:tcPr>
          <w:p w14:paraId="1CF45912" w14:textId="6AEDED18" w:rsidR="00706FAD" w:rsidRPr="00BC081A" w:rsidRDefault="00706FAD" w:rsidP="00EA53A2">
            <w:pPr>
              <w:pStyle w:val="TableContext"/>
              <w:rPr>
                <w:lang w:val="en-CA"/>
              </w:rPr>
            </w:pPr>
            <w:r w:rsidRPr="00BC081A">
              <w:rPr>
                <w:lang w:val="en-CA"/>
              </w:rPr>
              <w:t> </w:t>
            </w:r>
          </w:p>
        </w:tc>
        <w:tc>
          <w:tcPr>
            <w:tcW w:w="1041" w:type="dxa"/>
            <w:shd w:val="clear" w:color="auto" w:fill="auto"/>
            <w:vAlign w:val="center"/>
            <w:hideMark/>
          </w:tcPr>
          <w:p w14:paraId="00DA3C57" w14:textId="69F2B50C" w:rsidR="00706FAD" w:rsidRPr="00BC081A" w:rsidRDefault="00706FAD" w:rsidP="00EA53A2">
            <w:pPr>
              <w:pStyle w:val="TableContext"/>
              <w:rPr>
                <w:lang w:val="en-CA"/>
              </w:rPr>
            </w:pPr>
          </w:p>
        </w:tc>
        <w:tc>
          <w:tcPr>
            <w:tcW w:w="1041" w:type="dxa"/>
            <w:shd w:val="clear" w:color="auto" w:fill="auto"/>
            <w:vAlign w:val="center"/>
            <w:hideMark/>
          </w:tcPr>
          <w:p w14:paraId="4F49814A" w14:textId="77777777"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51F1C9C0" w14:textId="0B8456AD" w:rsidR="00706FAD" w:rsidRPr="00BC081A" w:rsidRDefault="00706FAD" w:rsidP="00EA53A2">
            <w:pPr>
              <w:pStyle w:val="TableContext"/>
              <w:rPr>
                <w:lang w:val="en-CA"/>
              </w:rPr>
            </w:pPr>
          </w:p>
        </w:tc>
        <w:tc>
          <w:tcPr>
            <w:tcW w:w="1041" w:type="dxa"/>
            <w:shd w:val="clear" w:color="auto" w:fill="auto"/>
            <w:vAlign w:val="center"/>
            <w:hideMark/>
          </w:tcPr>
          <w:p w14:paraId="55720A33" w14:textId="580799FA" w:rsidR="00706FAD" w:rsidRPr="00BC081A" w:rsidRDefault="00706FAD" w:rsidP="00630804">
            <w:pPr>
              <w:pStyle w:val="TableContext"/>
              <w:rPr>
                <w:lang w:val="en-CA"/>
              </w:rPr>
            </w:pPr>
            <w:r w:rsidRPr="00BC081A">
              <w:rPr>
                <w:lang w:val="en-CA"/>
              </w:rPr>
              <w:t>0.181</w:t>
            </w:r>
          </w:p>
        </w:tc>
      </w:tr>
      <w:tr w:rsidR="00706FAD" w:rsidRPr="00BC081A" w14:paraId="4D326CDD" w14:textId="77777777" w:rsidTr="008C71FB">
        <w:trPr>
          <w:trHeight w:val="320"/>
          <w:jc w:val="center"/>
        </w:trPr>
        <w:tc>
          <w:tcPr>
            <w:tcW w:w="938" w:type="dxa"/>
            <w:shd w:val="clear" w:color="auto" w:fill="F2F2F2" w:themeFill="background1" w:themeFillShade="F2"/>
            <w:vAlign w:val="center"/>
            <w:hideMark/>
          </w:tcPr>
          <w:p w14:paraId="3A2503B9" w14:textId="77777777" w:rsidR="00706FAD" w:rsidRPr="00BC081A" w:rsidRDefault="00706FAD" w:rsidP="00A41A52">
            <w:pPr>
              <w:pStyle w:val="TableContext"/>
              <w:rPr>
                <w:lang w:val="en-CA"/>
              </w:rPr>
            </w:pPr>
            <w:r w:rsidRPr="00BC081A">
              <w:rPr>
                <w:lang w:val="en-CA"/>
              </w:rPr>
              <w:t>Flow</w:t>
            </w:r>
          </w:p>
        </w:tc>
        <w:tc>
          <w:tcPr>
            <w:tcW w:w="1041" w:type="dxa"/>
            <w:vAlign w:val="center"/>
          </w:tcPr>
          <w:p w14:paraId="77FE8CBB" w14:textId="6D23EAE1" w:rsidR="00706FAD" w:rsidRPr="00BC081A" w:rsidRDefault="00706FAD" w:rsidP="00A41A52">
            <w:pPr>
              <w:pStyle w:val="TableContext"/>
              <w:rPr>
                <w:lang w:val="en-CA"/>
              </w:rPr>
            </w:pPr>
            <w:r w:rsidRPr="00BC081A">
              <w:rPr>
                <w:lang w:val="en-CA"/>
              </w:rPr>
              <w:t> </w:t>
            </w:r>
          </w:p>
        </w:tc>
        <w:tc>
          <w:tcPr>
            <w:tcW w:w="1041" w:type="dxa"/>
            <w:vAlign w:val="center"/>
          </w:tcPr>
          <w:p w14:paraId="45AB0856" w14:textId="51AD14AA"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390CA1E1" w14:textId="0B6EC553"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34AB0E21" w14:textId="77777777"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2149D637" w14:textId="77777777" w:rsidR="00706FAD" w:rsidRPr="00BC081A" w:rsidRDefault="00706FAD" w:rsidP="00A41A52">
            <w:pPr>
              <w:pStyle w:val="TableContext"/>
              <w:rPr>
                <w:lang w:val="en-CA"/>
              </w:rPr>
            </w:pPr>
            <w:r w:rsidRPr="00BC081A">
              <w:rPr>
                <w:lang w:val="en-CA"/>
              </w:rPr>
              <w:t> </w:t>
            </w:r>
          </w:p>
        </w:tc>
        <w:tc>
          <w:tcPr>
            <w:tcW w:w="1041" w:type="dxa"/>
            <w:shd w:val="clear" w:color="auto" w:fill="auto"/>
            <w:vAlign w:val="center"/>
            <w:hideMark/>
          </w:tcPr>
          <w:p w14:paraId="089F9296" w14:textId="567E2774" w:rsidR="00706FAD" w:rsidRPr="00BC081A" w:rsidRDefault="00706FAD" w:rsidP="00EA53A2">
            <w:pPr>
              <w:pStyle w:val="TableContext"/>
              <w:rPr>
                <w:lang w:val="en-CA"/>
              </w:rPr>
            </w:pPr>
          </w:p>
        </w:tc>
      </w:tr>
      <w:tr w:rsidR="00706FAD" w:rsidRPr="00BC081A" w14:paraId="5112976D" w14:textId="77777777" w:rsidTr="008C71FB">
        <w:trPr>
          <w:trHeight w:val="320"/>
          <w:jc w:val="center"/>
        </w:trPr>
        <w:tc>
          <w:tcPr>
            <w:tcW w:w="938" w:type="dxa"/>
            <w:shd w:val="clear" w:color="auto" w:fill="F2F2F2" w:themeFill="background1" w:themeFillShade="F2"/>
            <w:vAlign w:val="center"/>
            <w:hideMark/>
          </w:tcPr>
          <w:p w14:paraId="46C4FF61" w14:textId="77777777" w:rsidR="00706FAD" w:rsidRPr="00BC081A" w:rsidRDefault="00706FAD" w:rsidP="00A41A52">
            <w:pPr>
              <w:pStyle w:val="TableContext"/>
              <w:rPr>
                <w:lang w:val="en-CA"/>
              </w:rPr>
            </w:pPr>
            <w:r w:rsidRPr="00BC081A">
              <w:rPr>
                <w:lang w:val="en-CA"/>
              </w:rPr>
              <w:t>Mode</w:t>
            </w:r>
          </w:p>
        </w:tc>
        <w:tc>
          <w:tcPr>
            <w:tcW w:w="1041" w:type="dxa"/>
            <w:vAlign w:val="center"/>
          </w:tcPr>
          <w:p w14:paraId="24EA8EEF" w14:textId="77777777" w:rsidR="00706FAD" w:rsidRPr="00BC081A" w:rsidRDefault="00706FAD" w:rsidP="006031A6">
            <w:pPr>
              <w:pStyle w:val="TableContext"/>
              <w:rPr>
                <w:lang w:val="en-CA"/>
              </w:rPr>
            </w:pPr>
          </w:p>
        </w:tc>
        <w:tc>
          <w:tcPr>
            <w:tcW w:w="1041" w:type="dxa"/>
            <w:vAlign w:val="center"/>
          </w:tcPr>
          <w:p w14:paraId="3389A0BF" w14:textId="7B69CD01" w:rsidR="00706FAD" w:rsidRPr="00BC081A" w:rsidRDefault="00706FAD" w:rsidP="006031A6">
            <w:pPr>
              <w:pStyle w:val="TableContext"/>
              <w:rPr>
                <w:lang w:val="en-CA"/>
              </w:rPr>
            </w:pPr>
          </w:p>
        </w:tc>
        <w:tc>
          <w:tcPr>
            <w:tcW w:w="1041" w:type="dxa"/>
            <w:shd w:val="clear" w:color="auto" w:fill="auto"/>
            <w:vAlign w:val="center"/>
            <w:hideMark/>
          </w:tcPr>
          <w:p w14:paraId="0E8609E7" w14:textId="6C55257A" w:rsidR="00706FAD" w:rsidRPr="00BC081A" w:rsidRDefault="00706FAD" w:rsidP="006031A6">
            <w:pPr>
              <w:pStyle w:val="TableContext"/>
              <w:rPr>
                <w:lang w:val="en-CA"/>
              </w:rPr>
            </w:pPr>
            <w:r w:rsidRPr="00BC081A">
              <w:rPr>
                <w:lang w:val="en-CA"/>
              </w:rPr>
              <w:t>0.210</w:t>
            </w:r>
          </w:p>
        </w:tc>
        <w:tc>
          <w:tcPr>
            <w:tcW w:w="1041" w:type="dxa"/>
            <w:shd w:val="clear" w:color="auto" w:fill="auto"/>
            <w:vAlign w:val="center"/>
            <w:hideMark/>
          </w:tcPr>
          <w:p w14:paraId="47369857" w14:textId="4FA49E6E" w:rsidR="00706FAD" w:rsidRPr="00BC081A" w:rsidRDefault="00706FAD" w:rsidP="006031A6">
            <w:pPr>
              <w:pStyle w:val="TableContext"/>
              <w:rPr>
                <w:lang w:val="en-CA"/>
              </w:rPr>
            </w:pPr>
            <w:r w:rsidRPr="00BC081A">
              <w:rPr>
                <w:lang w:val="en-CA"/>
              </w:rPr>
              <w:t>0.242</w:t>
            </w:r>
          </w:p>
        </w:tc>
        <w:tc>
          <w:tcPr>
            <w:tcW w:w="1041" w:type="dxa"/>
            <w:shd w:val="clear" w:color="auto" w:fill="auto"/>
            <w:vAlign w:val="center"/>
            <w:hideMark/>
          </w:tcPr>
          <w:p w14:paraId="147F2F01" w14:textId="300A7E74" w:rsidR="00706FAD" w:rsidRPr="00BC081A" w:rsidRDefault="00706FAD" w:rsidP="006031A6">
            <w:pPr>
              <w:pStyle w:val="TableContext"/>
              <w:rPr>
                <w:lang w:val="en-CA"/>
              </w:rPr>
            </w:pPr>
            <w:r w:rsidRPr="00BC081A">
              <w:rPr>
                <w:lang w:val="en-CA"/>
              </w:rPr>
              <w:t>0.160</w:t>
            </w:r>
          </w:p>
        </w:tc>
        <w:tc>
          <w:tcPr>
            <w:tcW w:w="1041" w:type="dxa"/>
            <w:shd w:val="clear" w:color="auto" w:fill="auto"/>
            <w:vAlign w:val="center"/>
            <w:hideMark/>
          </w:tcPr>
          <w:p w14:paraId="1965E7D2" w14:textId="15EA26D1" w:rsidR="00706FAD" w:rsidRPr="00BC081A" w:rsidRDefault="00706FAD" w:rsidP="006031A6">
            <w:pPr>
              <w:pStyle w:val="TableContext"/>
              <w:rPr>
                <w:lang w:val="en-CA"/>
              </w:rPr>
            </w:pPr>
            <w:r w:rsidRPr="00BC081A">
              <w:rPr>
                <w:lang w:val="en-CA"/>
              </w:rPr>
              <w:t>0.105</w:t>
            </w:r>
          </w:p>
        </w:tc>
      </w:tr>
    </w:tbl>
    <w:p w14:paraId="6AB24099" w14:textId="77777777" w:rsidR="00A41A52" w:rsidRPr="00BC081A" w:rsidRDefault="00A41A52" w:rsidP="00C61D21">
      <w:pPr>
        <w:ind w:firstLine="0"/>
      </w:pPr>
    </w:p>
    <w:p w14:paraId="065FC2A6" w14:textId="355F1F43" w:rsidR="00C61D21" w:rsidRPr="00BC081A" w:rsidRDefault="00C61D21" w:rsidP="00800802">
      <w:pPr>
        <w:pStyle w:val="Heading3"/>
      </w:pPr>
      <w:bookmarkStart w:id="97" w:name="_Toc275209838"/>
      <w:r w:rsidRPr="00BC081A">
        <w:t xml:space="preserve">Post-hoc </w:t>
      </w:r>
      <w:r w:rsidR="00CC7DD0" w:rsidRPr="00BC081A">
        <w:t>Analys</w:t>
      </w:r>
      <w:r w:rsidR="00CC7DD0">
        <w:t>e</w:t>
      </w:r>
      <w:r w:rsidR="00CC7DD0" w:rsidRPr="00BC081A">
        <w:t>s</w:t>
      </w:r>
      <w:bookmarkEnd w:id="97"/>
    </w:p>
    <w:p w14:paraId="0C3E6145" w14:textId="389EF742" w:rsidR="00C61D21" w:rsidRPr="00BC081A" w:rsidRDefault="009B5A6B" w:rsidP="00C61D21">
      <w:r w:rsidRPr="00BC081A">
        <w:t xml:space="preserve">In addition to testing the proposed model by analyzing the collected data, </w:t>
      </w:r>
      <w:r w:rsidR="00210A51" w:rsidRPr="00BC081A">
        <w:t>four</w:t>
      </w:r>
      <w:r w:rsidRPr="00BC081A">
        <w:t xml:space="preserve"> post-hoc analyses were conducted </w:t>
      </w:r>
      <w:r w:rsidR="00CC7DD0">
        <w:t xml:space="preserve">in </w:t>
      </w:r>
      <w:r w:rsidR="00A66CBC">
        <w:t>search</w:t>
      </w:r>
      <w:r w:rsidR="00CC7DD0">
        <w:t xml:space="preserve"> of</w:t>
      </w:r>
      <w:r w:rsidRPr="00BC081A">
        <w:t xml:space="preserve"> other insights that could be extracted from data.</w:t>
      </w:r>
      <w:r w:rsidR="00A87E4B" w:rsidRPr="00BC081A">
        <w:t xml:space="preserve"> These analyses </w:t>
      </w:r>
      <w:r w:rsidR="00210A51" w:rsidRPr="00BC081A">
        <w:t>are:</w:t>
      </w:r>
      <w:r w:rsidR="00A87E4B" w:rsidRPr="00BC081A">
        <w:t xml:space="preserve"> </w:t>
      </w:r>
      <w:r w:rsidR="00210A51" w:rsidRPr="00BC081A">
        <w:t xml:space="preserve">1) testing the model for common method bias, 2) </w:t>
      </w:r>
      <w:r w:rsidR="00A87E4B" w:rsidRPr="00BC081A">
        <w:t xml:space="preserve">examining the saturated model, </w:t>
      </w:r>
      <w:r w:rsidR="00210A51" w:rsidRPr="00BC081A">
        <w:t xml:space="preserve">3) </w:t>
      </w:r>
      <w:r w:rsidR="00A87E4B" w:rsidRPr="00BC081A">
        <w:t xml:space="preserve">testing the effect of control variables, and </w:t>
      </w:r>
      <w:r w:rsidR="00210A51" w:rsidRPr="00BC081A">
        <w:t xml:space="preserve">4) </w:t>
      </w:r>
      <w:r w:rsidR="00A87E4B" w:rsidRPr="00BC081A">
        <w:t>analyzing answers to the open-ended questions.</w:t>
      </w:r>
    </w:p>
    <w:p w14:paraId="722BF171" w14:textId="2D4C82EC" w:rsidR="00210A51" w:rsidRPr="00BC081A" w:rsidRDefault="00210A51" w:rsidP="00210A51">
      <w:pPr>
        <w:pStyle w:val="Heading4"/>
      </w:pPr>
      <w:r w:rsidRPr="00BC081A">
        <w:lastRenderedPageBreak/>
        <w:t>Common Method Bias</w:t>
      </w:r>
      <w:r w:rsidR="00CA7931" w:rsidRPr="00BC081A">
        <w:t xml:space="preserve"> (CMB)</w:t>
      </w:r>
    </w:p>
    <w:p w14:paraId="4CB6B4AB" w14:textId="7048E297" w:rsidR="00CD6105" w:rsidRPr="00BC081A" w:rsidRDefault="00F677DA" w:rsidP="00F677DA">
      <w:r w:rsidRPr="00BC081A">
        <w:t xml:space="preserve">Cross-sectional study with self-reported data poses a threat to biases due to various factors such as social desirability and bias due to </w:t>
      </w:r>
      <w:r w:rsidR="00481396" w:rsidRPr="00BC081A">
        <w:t xml:space="preserve">the </w:t>
      </w:r>
      <w:r w:rsidRPr="00BC081A">
        <w:t xml:space="preserve">method of </w:t>
      </w:r>
      <w:r w:rsidR="00481396" w:rsidRPr="00BC081A">
        <w:t xml:space="preserve">the </w:t>
      </w:r>
      <w:r w:rsidRPr="00BC081A">
        <w:t xml:space="preserve">experiment. As such, common method bias should be tested in order to make sure that </w:t>
      </w:r>
      <w:r w:rsidR="0099159C" w:rsidRPr="00BC081A">
        <w:t xml:space="preserve">such </w:t>
      </w:r>
      <w:r w:rsidRPr="00BC081A">
        <w:t xml:space="preserve">biases </w:t>
      </w:r>
      <w:r w:rsidR="0099159C" w:rsidRPr="00BC081A">
        <w:t xml:space="preserve">do not </w:t>
      </w:r>
      <w:r w:rsidRPr="00BC081A">
        <w:t xml:space="preserve">exist </w:t>
      </w:r>
      <w:r w:rsidR="0099159C" w:rsidRPr="00BC081A">
        <w:t xml:space="preserve">or are not severe </w:t>
      </w:r>
      <w:r w:rsidRPr="00BC081A">
        <w:t xml:space="preserve">in the collected data. </w:t>
      </w:r>
      <w:r w:rsidR="0099159C" w:rsidRPr="00BC081A">
        <w:t xml:space="preserve">Thus, two tests were conducted for evaluating the severity of common method bias if it exits. These two techniques are Harman’s one factor test </w:t>
      </w:r>
      <w:r w:rsidR="0099159C" w:rsidRPr="00BC081A">
        <w:fldChar w:fldCharType="begin" w:fldLock="1"/>
      </w:r>
      <w:r w:rsidR="00AC1F7D">
        <w:instrText>ADDIN CSL_CITATION { "citationItems" : [ { "id" : "ITEM-1", "itemData" : { "author" : [ { "dropping-particle" : "", "family" : "Podsakoff", "given" : "Philip M", "non-dropping-particle" : "", "parse-names" : false, "suffix" : "" }, { "dropping-particle" : "", "family" : "Organ", "given" : "Dennis W", "non-dropping-particle" : "", "parse-names" : false, "suffix" : "" } ], "container-title" : "Journal of management", "id" : "ITEM-1", "issue" : "4", "issued" : { "date-parts" : [ [ "1986" ] ] }, "page" : "531-544", "publisher" : "Sage Publications", "title" : "Self-reports in organizational research: Problems and prospects", "type" : "article-journal", "volume" : "12" }, "uris" : [ "http://www.mendeley.com/documents/?uuid=1efdb48f-a8d7-4e55-838b-07a1ba2848ff" ] } ], "mendeley" : { "previouslyFormattedCitation" : "(Podsakoff &amp; Organ, 1986)" }, "properties" : { "noteIndex" : 0 }, "schema" : "https://github.com/citation-style-language/schema/raw/master/csl-citation.json" }</w:instrText>
      </w:r>
      <w:r w:rsidR="0099159C" w:rsidRPr="00BC081A">
        <w:fldChar w:fldCharType="separate"/>
      </w:r>
      <w:r w:rsidR="0099159C" w:rsidRPr="00BC081A">
        <w:rPr>
          <w:noProof/>
        </w:rPr>
        <w:t>(Podsakoff &amp; Organ, 1986)</w:t>
      </w:r>
      <w:r w:rsidR="0099159C" w:rsidRPr="00BC081A">
        <w:fldChar w:fldCharType="end"/>
      </w:r>
      <w:r w:rsidR="0099159C" w:rsidRPr="00BC081A">
        <w:t xml:space="preserve"> and unmeasured latent market construct </w:t>
      </w:r>
      <w:r w:rsidR="0099159C" w:rsidRPr="00BC081A">
        <w:fldChar w:fldCharType="begin" w:fldLock="1"/>
      </w:r>
      <w:r w:rsidR="00AC1F7D">
        <w:instrText>ADDIN CSL_CITATION { "citationItems" : [ { "id" : "ITEM-1", "itemData" : { "DOI" : "10.1037/0021-9010.88.5.879", "ISSN" : "0021-9010", "PMID" : "14516251", "abstract" : "Interest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 "author" : [ { "dropping-particle" : "", "family" : "Podsakoff", "given" : "Philip M", "non-dropping-particle" : "", "parse-names" : false, "suffix" : "" }, { "dropping-particle" : "", "family" : "MacKenzie", "given" : "Scott B", "non-dropping-particle" : "", "parse-names" : false, "suffix" : "" }, { "dropping-particle" : "", "family" : "Lee", "given" : "Jeong-Yeon", "non-dropping-particle" : "", "parse-names" : false, "suffix" : "" }, { "dropping-particle" : "", "family" : "Podsakoff", "given" : "Nathan P", "non-dropping-particle" : "", "parse-names" : false, "suffix" : "" } ], "container-title" : "The Journal of applied psychology", "id" : "ITEM-1", "issue" : "5", "issued" : { "date-parts" : [ [ "2003", "10" ] ] }, "page" : "879-903", "title" : "Common method biases in behavioral research: a critical review of the literature and recommended remedies.", "type" : "article-journal", "volume" : "88" }, "uris" : [ "http://www.mendeley.com/documents/?uuid=5926f42a-05a1-412d-b694-19daebcf9065" ] } ], "mendeley" : { "previouslyFormattedCitation" : "(Podsakoff, MacKenzie, Lee, &amp; Podsakoff, 2003)" }, "properties" : { "noteIndex" : 0 }, "schema" : "https://github.com/citation-style-language/schema/raw/master/csl-citation.json" }</w:instrText>
      </w:r>
      <w:r w:rsidR="0099159C" w:rsidRPr="00BC081A">
        <w:fldChar w:fldCharType="separate"/>
      </w:r>
      <w:r w:rsidR="0099159C" w:rsidRPr="00BC081A">
        <w:rPr>
          <w:noProof/>
        </w:rPr>
        <w:t>(Podsakoff, MacKenzie, Lee, &amp; Podsakoff, 2003)</w:t>
      </w:r>
      <w:r w:rsidR="0099159C" w:rsidRPr="00BC081A">
        <w:fldChar w:fldCharType="end"/>
      </w:r>
      <w:r w:rsidR="0099159C" w:rsidRPr="00BC081A">
        <w:t>.</w:t>
      </w:r>
    </w:p>
    <w:p w14:paraId="53B29644" w14:textId="4AD0DC89" w:rsidR="00210A51" w:rsidRPr="00BC081A" w:rsidRDefault="0099159C" w:rsidP="00CD6105">
      <w:pPr>
        <w:pStyle w:val="Heading5"/>
      </w:pPr>
      <w:r w:rsidRPr="00BC081A">
        <w:t xml:space="preserve"> </w:t>
      </w:r>
      <w:r w:rsidR="00CD6105" w:rsidRPr="00BC081A">
        <w:t>Harman’s One Factor Test</w:t>
      </w:r>
    </w:p>
    <w:p w14:paraId="432A5A24" w14:textId="07BA0D13" w:rsidR="00CD6105" w:rsidRPr="00BC081A" w:rsidRDefault="00CD6105" w:rsidP="00CD6105">
      <w:r w:rsidRPr="00BC081A">
        <w:t xml:space="preserve">Harman’s One Factor Test </w:t>
      </w:r>
      <w:r w:rsidRPr="00BC081A">
        <w:fldChar w:fldCharType="begin" w:fldLock="1"/>
      </w:r>
      <w:r w:rsidR="00AC1F7D">
        <w:instrText>ADDIN CSL_CITATION { "citationItems" : [ { "id" : "ITEM-1", "itemData" : { "author" : [ { "dropping-particle" : "", "family" : "Podsakoff", "given" : "Philip M", "non-dropping-particle" : "", "parse-names" : false, "suffix" : "" }, { "dropping-particle" : "", "family" : "Organ", "given" : "Dennis W", "non-dropping-particle" : "", "parse-names" : false, "suffix" : "" } ], "container-title" : "Journal of management", "id" : "ITEM-1", "issue" : "4", "issued" : { "date-parts" : [ [ "1986" ] ] }, "page" : "531-544", "publisher" : "Sage Publications", "title" : "Self-reports in organizational research: Problems and prospects", "type" : "article-journal", "volume" : "12" }, "uris" : [ "http://www.mendeley.com/documents/?uuid=1efdb48f-a8d7-4e55-838b-07a1ba2848ff" ] } ], "mendeley" : { "previouslyFormattedCitation" : "(Podsakoff &amp; Organ, 1986)" }, "properties" : { "noteIndex" : 0 }, "schema" : "https://github.com/citation-style-language/schema/raw/master/csl-citation.json" }</w:instrText>
      </w:r>
      <w:r w:rsidRPr="00BC081A">
        <w:fldChar w:fldCharType="separate"/>
      </w:r>
      <w:r w:rsidRPr="00BC081A">
        <w:rPr>
          <w:noProof/>
        </w:rPr>
        <w:t>(Podsakoff &amp; Organ, 1986)</w:t>
      </w:r>
      <w:r w:rsidRPr="00BC081A">
        <w:fldChar w:fldCharType="end"/>
      </w:r>
      <w:r w:rsidRPr="00BC081A">
        <w:t xml:space="preserve"> explains that in order to test whether all the items in the model tend to load on a shared variable one should perform an exploratory factor analysis with all the items in the model. Therefore, </w:t>
      </w:r>
      <w:r w:rsidR="00AD5C9F">
        <w:t xml:space="preserve">an </w:t>
      </w:r>
      <w:r w:rsidRPr="00BC081A">
        <w:t>un</w:t>
      </w:r>
      <w:r w:rsidR="00AD5C9F">
        <w:t>-</w:t>
      </w:r>
      <w:r w:rsidRPr="00BC081A">
        <w:t>rotated principal components analysis (PCA) was conducted with all the items in the model</w:t>
      </w:r>
      <w:r w:rsidR="00CA7931" w:rsidRPr="00BC081A">
        <w:t xml:space="preserve">. The results show how many factors can be extracted from the PCA. Harman’s One Factor Test indicates that if all the items load on a single factor or one factor explains more than half of the variance of all the items then </w:t>
      </w:r>
      <w:r w:rsidR="009C0EC9">
        <w:t xml:space="preserve">it </w:t>
      </w:r>
      <w:r w:rsidR="00CA7931" w:rsidRPr="00BC081A">
        <w:t xml:space="preserve">can </w:t>
      </w:r>
      <w:r w:rsidR="009C0EC9">
        <w:t xml:space="preserve">be </w:t>
      </w:r>
      <w:r w:rsidR="00CA7931" w:rsidRPr="00BC081A">
        <w:t>suspect</w:t>
      </w:r>
      <w:r w:rsidR="009C0EC9">
        <w:t>ed</w:t>
      </w:r>
      <w:r w:rsidR="00CA7931" w:rsidRPr="00BC081A">
        <w:t xml:space="preserve"> that CMB exists. </w:t>
      </w:r>
    </w:p>
    <w:p w14:paraId="3E125949" w14:textId="6D602559" w:rsidR="00CA7931" w:rsidRPr="00BC081A" w:rsidRDefault="00CA7931" w:rsidP="00CD6105">
      <w:r w:rsidRPr="00BC081A">
        <w:t xml:space="preserve">The results of PCA in the proposed model show that nine factors were extracted from the items of the model based on the survey data. </w:t>
      </w:r>
      <w:r w:rsidR="000A7073" w:rsidRPr="00BC081A">
        <w:t xml:space="preserve">These factors </w:t>
      </w:r>
      <w:r w:rsidR="00AD5C9F">
        <w:t>together</w:t>
      </w:r>
      <w:r w:rsidR="00AD5C9F" w:rsidRPr="00BC081A">
        <w:t xml:space="preserve"> </w:t>
      </w:r>
      <w:r w:rsidR="000A7073" w:rsidRPr="00BC081A">
        <w:t>explained less than 26% of the variance in the dataset</w:t>
      </w:r>
      <w:r w:rsidR="00FC60A5" w:rsidRPr="00BC081A">
        <w:t xml:space="preserve"> and no one factor can explain the majority of variance in data</w:t>
      </w:r>
      <w:r w:rsidR="000A7073" w:rsidRPr="00BC081A">
        <w:t xml:space="preserve">, </w:t>
      </w:r>
      <w:r w:rsidR="00CD41AC" w:rsidRPr="00BC081A">
        <w:t xml:space="preserve">indicating that CMB is not likely </w:t>
      </w:r>
      <w:r w:rsidR="00AD5C9F">
        <w:t>present</w:t>
      </w:r>
      <w:r w:rsidR="00CD41AC" w:rsidRPr="00BC081A">
        <w:t xml:space="preserve"> </w:t>
      </w:r>
      <w:r w:rsidR="000A7073" w:rsidRPr="00BC081A">
        <w:t>in this dataset. In fact, all of the predictive variances were below the threshold of 34% that has been proposed</w:t>
      </w:r>
      <w:r w:rsidR="007625DA" w:rsidRPr="00BC081A">
        <w:t xml:space="preserve"> in previous studies</w:t>
      </w:r>
      <w:r w:rsidR="000A7073" w:rsidRPr="00BC081A">
        <w:t xml:space="preserve"> </w:t>
      </w:r>
      <w:r w:rsidR="000A7073" w:rsidRPr="00BC081A">
        <w:fldChar w:fldCharType="begin" w:fldLock="1"/>
      </w:r>
      <w:r w:rsidR="00AC1F7D">
        <w:instrText>ADDIN CSL_CITATION { "citationItems" : [ { "id" : "ITEM-1", "itemData" : { "DOI" : "10.1057/palgrave.ejis.3000619", "ISSN" : "0960-085X", "author" : [ { "dropping-particle" : "", "family" : "Wakefield", "given" : "Robin L", "non-dropping-particle" : "", "parse-names" : false, "suffix" : "" }, { "dropping-particle" : "", "family" : "Whitten", "given" : "Dwayne", "non-dropping-particle" : "", "parse-names" : false, "suffix" : "" } ], "container-title" : "European Journal of Information Systems", "id" : "ITEM-1", "issue" : "3", "issued" : { "date-parts" : [ [ "2006", "6" ] ] }, "page" : "292-300", "title" : "Mobile computing: a user study on hedonic/utilitarian mobile device usage", "type" : "article-journal", "volume" : "15" }, "uris" : [ "http://www.mendeley.com/documents/?uuid=ffb22de2-22b0-4d59-84b4-1b7a8996a323" ] } ], "mendeley" : { "previouslyFormattedCitation" : "(Wakefield &amp; Whitten, 2006)" }, "properties" : { "noteIndex" : 0 }, "schema" : "https://github.com/citation-style-language/schema/raw/master/csl-citation.json" }</w:instrText>
      </w:r>
      <w:r w:rsidR="000A7073" w:rsidRPr="00BC081A">
        <w:fldChar w:fldCharType="separate"/>
      </w:r>
      <w:r w:rsidR="000A7073" w:rsidRPr="00BC081A">
        <w:rPr>
          <w:noProof/>
        </w:rPr>
        <w:t>(Wakefield &amp; Whitten, 2006)</w:t>
      </w:r>
      <w:r w:rsidR="000A7073" w:rsidRPr="00BC081A">
        <w:fldChar w:fldCharType="end"/>
      </w:r>
      <w:r w:rsidR="000A7073" w:rsidRPr="00BC081A">
        <w:t xml:space="preserve">. </w:t>
      </w:r>
      <w:r w:rsidR="00FC60A5" w:rsidRPr="00BC081A">
        <w:t>Moreover, all of the nine extracted factor</w:t>
      </w:r>
      <w:r w:rsidR="00AD5C9F">
        <w:t>s</w:t>
      </w:r>
      <w:r w:rsidR="00FC60A5" w:rsidRPr="00BC081A">
        <w:t xml:space="preserve"> had eigenvalues of greater than one, which further supports </w:t>
      </w:r>
      <w:r w:rsidR="00AD5C9F">
        <w:t xml:space="preserve">the </w:t>
      </w:r>
      <w:r w:rsidR="00FC60A5" w:rsidRPr="00BC081A">
        <w:t xml:space="preserve">independence of these factors from one another. </w:t>
      </w:r>
    </w:p>
    <w:p w14:paraId="3EB0831F" w14:textId="35980447" w:rsidR="006D5F14" w:rsidRPr="00BC081A" w:rsidRDefault="006D5F14" w:rsidP="006D5F14">
      <w:pPr>
        <w:pStyle w:val="Heading5"/>
      </w:pPr>
      <w:r w:rsidRPr="00BC081A">
        <w:lastRenderedPageBreak/>
        <w:t>Unmeasured Latent Marker Construct Test</w:t>
      </w:r>
    </w:p>
    <w:p w14:paraId="23E8E366" w14:textId="6FB0AD64" w:rsidR="006D5F14" w:rsidRPr="00BC081A" w:rsidRDefault="00642019" w:rsidP="006D5F14">
      <w:r w:rsidRPr="00BC081A">
        <w:t xml:space="preserve">Unmeasured latent marker technique is the second test for evaluating the possibility of having CMB in the collected data. Based on the earlier approach introduced by </w:t>
      </w:r>
      <w:proofErr w:type="spellStart"/>
      <w:r w:rsidRPr="00BC081A">
        <w:t>Podsakoff</w:t>
      </w:r>
      <w:proofErr w:type="spellEnd"/>
      <w:r w:rsidRPr="00BC081A">
        <w:t xml:space="preserve"> et al. </w:t>
      </w:r>
      <w:r w:rsidRPr="00BC081A">
        <w:fldChar w:fldCharType="begin" w:fldLock="1"/>
      </w:r>
      <w:r w:rsidR="00AC1F7D">
        <w:instrText>ADDIN CSL_CITATION { "citationItems" : [ { "id" : "ITEM-1", "itemData" : { "DOI" : "10.1037/0021-9010.88.5.879", "ISSN" : "0021-9010", "PMID" : "14516251", "abstract" : "Interest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 "author" : [ { "dropping-particle" : "", "family" : "Podsakoff", "given" : "Philip M", "non-dropping-particle" : "", "parse-names" : false, "suffix" : "" }, { "dropping-particle" : "", "family" : "MacKenzie", "given" : "Scott B", "non-dropping-particle" : "", "parse-names" : false, "suffix" : "" }, { "dropping-particle" : "", "family" : "Lee", "given" : "Jeong-Yeon", "non-dropping-particle" : "", "parse-names" : false, "suffix" : "" }, { "dropping-particle" : "", "family" : "Podsakoff", "given" : "Nathan P", "non-dropping-particle" : "", "parse-names" : false, "suffix" : "" } ], "container-title" : "The Journal of applied psychology", "id" : "ITEM-1", "issue" : "5", "issued" : { "date-parts" : [ [ "2003", "10" ] ] }, "page" : "879-903", "title" : "Common method biases in behavioral research: a critical review of the literature and recommended remedies.", "type" : "article-journal", "volume" : "88" }, "suppress-author" : 1, "uris" : [ "http://www.mendeley.com/documents/?uuid=5926f42a-05a1-412d-b694-19daebcf9065" ] } ], "mendeley" : { "previouslyFormattedCitation" : "(2003)" }, "properties" : { "noteIndex" : 0 }, "schema" : "https://github.com/citation-style-language/schema/raw/master/csl-citation.json" }</w:instrText>
      </w:r>
      <w:r w:rsidRPr="00BC081A">
        <w:fldChar w:fldCharType="separate"/>
      </w:r>
      <w:r w:rsidRPr="00BC081A">
        <w:rPr>
          <w:noProof/>
        </w:rPr>
        <w:t>(2003)</w:t>
      </w:r>
      <w:r w:rsidRPr="00BC081A">
        <w:fldChar w:fldCharType="end"/>
      </w:r>
      <w:r w:rsidR="00E02EC9" w:rsidRPr="00BC081A">
        <w:t xml:space="preserve"> for covariance-based SEM models (e.g. LISREL and AMOS)</w:t>
      </w:r>
      <w:r w:rsidRPr="00BC081A">
        <w:t xml:space="preserve">, </w:t>
      </w:r>
      <w:r w:rsidR="008E0D75" w:rsidRPr="00BC081A">
        <w:rPr>
          <w:noProof/>
        </w:rPr>
        <w:t>Liang, Saraf, Hu, &amp; Xue</w:t>
      </w:r>
      <w:r w:rsidR="008E0D75" w:rsidRPr="00BC081A">
        <w:t xml:space="preserve"> </w:t>
      </w:r>
      <w:r w:rsidR="008E0D75" w:rsidRPr="00BC081A">
        <w:fldChar w:fldCharType="begin" w:fldLock="1"/>
      </w:r>
      <w:r w:rsidR="00AC1F7D">
        <w:instrText>ADDIN CSL_CITATION { "citationItems" : [ { "id" : "ITEM-1", "itemData" : { "author" : [ { "dropping-particle" : "", "family" : "Liang", "given" : "H", "non-dropping-particle" : "", "parse-names" : false, "suffix" : "" }, { "dropping-particle" : "", "family" : "Saraf", "given" : "N", "non-dropping-particle" : "", "parse-names" : false, "suffix" : "" }, { "dropping-particle" : "", "family" : "Hu", "given" : "Q", "non-dropping-particle" : "", "parse-names" : false, "suffix" : "" }, { "dropping-particle" : "", "family" : "Xue", "given" : "Y", "non-dropping-particle" : "", "parse-names" : false, "suffix" : "" } ], "container-title" : "MIS quarterly", "id" : "ITEM-1", "issue" : "1", "issued" : { "date-parts" : [ [ "2007" ] ] }, "page" : "59-87", "title" : "Assimilation of enterprise systems: the effect of institutional pressures and the mediating role of top management", "type" : "article-journal", "volume" : "31" }, "suppress-author" : 1, "uris" : [ "http://www.mendeley.com/documents/?uuid=e841f6ed-d237-42e0-bf3b-0fe30a003008" ] } ], "mendeley" : { "previouslyFormattedCitation" : "(2007)" }, "properties" : { "noteIndex" : 0 }, "schema" : "https://github.com/citation-style-language/schema/raw/master/csl-citation.json" }</w:instrText>
      </w:r>
      <w:r w:rsidR="008E0D75" w:rsidRPr="00BC081A">
        <w:fldChar w:fldCharType="separate"/>
      </w:r>
      <w:r w:rsidR="008E0D75" w:rsidRPr="00BC081A">
        <w:rPr>
          <w:noProof/>
        </w:rPr>
        <w:t>(2007)</w:t>
      </w:r>
      <w:r w:rsidR="008E0D75" w:rsidRPr="00BC081A">
        <w:fldChar w:fldCharType="end"/>
      </w:r>
      <w:r w:rsidR="008E0D75" w:rsidRPr="00BC081A">
        <w:t xml:space="preserve"> proposed a technique for using PLS for </w:t>
      </w:r>
      <w:r w:rsidR="0090678E" w:rsidRPr="00BC081A">
        <w:t>running</w:t>
      </w:r>
      <w:r w:rsidR="008E0D75" w:rsidRPr="00BC081A">
        <w:t xml:space="preserve"> unmeasured latent market</w:t>
      </w:r>
      <w:r w:rsidR="0090678E" w:rsidRPr="00BC081A">
        <w:t xml:space="preserve"> test</w:t>
      </w:r>
      <w:r w:rsidR="00245CF1" w:rsidRPr="00BC081A">
        <w:rPr>
          <w:rStyle w:val="FootnoteReference"/>
        </w:rPr>
        <w:footnoteReference w:id="16"/>
      </w:r>
      <w:r w:rsidR="008E0D75" w:rsidRPr="00BC081A">
        <w:t>.</w:t>
      </w:r>
      <w:r w:rsidR="008D15B1" w:rsidRPr="00BC081A">
        <w:t xml:space="preserve"> Unmeasured latent marker construct technique requires adding a latent method factor in the structural model that determines the indicators of all the constructs in the model. That is, each indicator (item) in the model is defined by its corresponding principal construct, the method factor, and measurement error. However, PLS does not include random errors in the model nor </w:t>
      </w:r>
      <w:r w:rsidR="00F81300">
        <w:t xml:space="preserve">does </w:t>
      </w:r>
      <w:r w:rsidR="008D15B1" w:rsidRPr="00BC081A">
        <w:t xml:space="preserve">it allow having two constructs for one indicator. To avoid identification problem due to limitations of PLS modeling, the new approach recommends converting all the indicators to a single-indicator construct. The new model was implemented using this system by adding a new </w:t>
      </w:r>
      <w:r w:rsidR="00E522CF" w:rsidRPr="00BC081A">
        <w:t>method factor, which predicts all the newly defined single-item constructs in the model.</w:t>
      </w:r>
      <w:r w:rsidR="00B611A2" w:rsidRPr="00BC081A">
        <w:t xml:space="preserve"> That is, all the constructs in the model will be second-order constructs.</w:t>
      </w:r>
      <w:r w:rsidR="009656C6" w:rsidRPr="00BC081A">
        <w:t xml:space="preserve"> Using this technique, the loadings for each indicator as well as their R-squares can be measured. </w:t>
      </w:r>
      <w:r w:rsidR="009656C6" w:rsidRPr="00BC081A">
        <w:fldChar w:fldCharType="begin"/>
      </w:r>
      <w:r w:rsidR="009656C6" w:rsidRPr="00BC081A">
        <w:instrText xml:space="preserve"> REF _Ref268451978 \h </w:instrText>
      </w:r>
      <w:r w:rsidR="009656C6" w:rsidRPr="00BC081A">
        <w:fldChar w:fldCharType="separate"/>
      </w:r>
      <w:r w:rsidR="008C71FB" w:rsidRPr="00BC081A">
        <w:t xml:space="preserve">Table </w:t>
      </w:r>
      <w:r w:rsidR="008C71FB">
        <w:rPr>
          <w:noProof/>
        </w:rPr>
        <w:t>10</w:t>
      </w:r>
      <w:r w:rsidR="009656C6" w:rsidRPr="00BC081A">
        <w:fldChar w:fldCharType="end"/>
      </w:r>
      <w:r w:rsidR="00462DE9" w:rsidRPr="00BC081A">
        <w:t xml:space="preserve"> shows the comparison of factor loadings and R-squares for principal factors versus method factor loadings and R-squares.</w:t>
      </w:r>
      <w:r w:rsidR="00B611A2" w:rsidRPr="00BC081A">
        <w:t xml:space="preserve"> </w:t>
      </w:r>
    </w:p>
    <w:p w14:paraId="3BFAA64E" w14:textId="50727C24" w:rsidR="00627499" w:rsidRPr="00BC081A" w:rsidRDefault="00627499" w:rsidP="00C92D78">
      <w:pPr>
        <w:pStyle w:val="Caption"/>
      </w:pPr>
      <w:bookmarkStart w:id="98" w:name="_Ref268451978"/>
      <w:bookmarkStart w:id="99" w:name="_Toc275209768"/>
      <w:r w:rsidRPr="00BC081A">
        <w:t xml:space="preserve">Table </w:t>
      </w:r>
      <w:r w:rsidR="007804FF">
        <w:fldChar w:fldCharType="begin"/>
      </w:r>
      <w:r w:rsidR="007804FF">
        <w:instrText xml:space="preserve"> SEQ Table \* ARABIC </w:instrText>
      </w:r>
      <w:r w:rsidR="007804FF">
        <w:fldChar w:fldCharType="separate"/>
      </w:r>
      <w:r w:rsidR="008C71FB">
        <w:rPr>
          <w:noProof/>
        </w:rPr>
        <w:t>10</w:t>
      </w:r>
      <w:r w:rsidR="007804FF">
        <w:rPr>
          <w:noProof/>
        </w:rPr>
        <w:fldChar w:fldCharType="end"/>
      </w:r>
      <w:bookmarkEnd w:id="98"/>
      <w:r w:rsidRPr="00BC081A">
        <w:t xml:space="preserve"> – Unmeasure</w:t>
      </w:r>
      <w:r w:rsidR="009E48F5" w:rsidRPr="00BC081A">
        <w:t>d Latent</w:t>
      </w:r>
      <w:r w:rsidRPr="00BC081A">
        <w:t xml:space="preserve"> Marker Construct Test Results for Assessing Common Method Bias</w:t>
      </w:r>
      <w:bookmarkEnd w:id="99"/>
    </w:p>
    <w:tbl>
      <w:tblPr>
        <w:tblW w:w="948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266"/>
        <w:gridCol w:w="1265"/>
        <w:gridCol w:w="1281"/>
        <w:gridCol w:w="1265"/>
        <w:gridCol w:w="1265"/>
        <w:gridCol w:w="1300"/>
      </w:tblGrid>
      <w:tr w:rsidR="00630D9D" w:rsidRPr="00BC081A" w14:paraId="413024E4" w14:textId="77777777" w:rsidTr="008C71FB">
        <w:trPr>
          <w:trHeight w:val="300"/>
          <w:jc w:val="center"/>
        </w:trPr>
        <w:tc>
          <w:tcPr>
            <w:tcW w:w="1841" w:type="dxa"/>
            <w:shd w:val="clear" w:color="auto" w:fill="F2F2F2" w:themeFill="background1" w:themeFillShade="F2"/>
            <w:noWrap/>
            <w:vAlign w:val="bottom"/>
            <w:hideMark/>
          </w:tcPr>
          <w:p w14:paraId="2A97D3F3" w14:textId="4830AA73" w:rsidR="00630D9D" w:rsidRPr="00BC081A" w:rsidRDefault="00630D9D" w:rsidP="00BD306F">
            <w:pPr>
              <w:pStyle w:val="TableContext"/>
              <w:rPr>
                <w:lang w:val="en-CA"/>
              </w:rPr>
            </w:pPr>
            <w:r w:rsidRPr="00BC081A">
              <w:rPr>
                <w:lang w:val="en-CA"/>
              </w:rPr>
              <w:t>Indicator</w:t>
            </w:r>
          </w:p>
        </w:tc>
        <w:tc>
          <w:tcPr>
            <w:tcW w:w="1266" w:type="dxa"/>
            <w:shd w:val="clear" w:color="auto" w:fill="F2F2F2" w:themeFill="background1" w:themeFillShade="F2"/>
          </w:tcPr>
          <w:p w14:paraId="2133B5B5" w14:textId="0E07CE1B" w:rsidR="00630D9D" w:rsidRPr="00BC081A" w:rsidRDefault="00630D9D" w:rsidP="00BD306F">
            <w:pPr>
              <w:pStyle w:val="TableContext"/>
              <w:rPr>
                <w:lang w:val="en-CA"/>
              </w:rPr>
            </w:pPr>
            <w:r w:rsidRPr="00BC081A">
              <w:rPr>
                <w:lang w:val="en-CA"/>
              </w:rPr>
              <w:t>Principal Factor Loading</w:t>
            </w:r>
          </w:p>
        </w:tc>
        <w:tc>
          <w:tcPr>
            <w:tcW w:w="1265" w:type="dxa"/>
            <w:shd w:val="clear" w:color="auto" w:fill="F2F2F2" w:themeFill="background1" w:themeFillShade="F2"/>
          </w:tcPr>
          <w:p w14:paraId="02FFD164" w14:textId="392617EF" w:rsidR="00630D9D" w:rsidRPr="00BC081A" w:rsidRDefault="00630D9D" w:rsidP="00BD306F">
            <w:pPr>
              <w:pStyle w:val="TableContext"/>
              <w:rPr>
                <w:i/>
                <w:lang w:val="en-CA"/>
              </w:rPr>
            </w:pPr>
            <w:r w:rsidRPr="00BC081A">
              <w:rPr>
                <w:lang w:val="en-CA"/>
              </w:rPr>
              <w:t xml:space="preserve">Significant Level at </w:t>
            </w:r>
            <w:r w:rsidRPr="00BC081A">
              <w:rPr>
                <w:i/>
                <w:lang w:val="en-CA"/>
              </w:rPr>
              <w:t>P&lt;</w:t>
            </w:r>
          </w:p>
        </w:tc>
        <w:tc>
          <w:tcPr>
            <w:tcW w:w="1281" w:type="dxa"/>
            <w:shd w:val="clear" w:color="auto" w:fill="F2F2F2" w:themeFill="background1" w:themeFillShade="F2"/>
          </w:tcPr>
          <w:p w14:paraId="108CAE71" w14:textId="086AC477" w:rsidR="00630D9D" w:rsidRPr="00BC081A" w:rsidRDefault="00630D9D" w:rsidP="00BD306F">
            <w:pPr>
              <w:pStyle w:val="TableContext"/>
              <w:rPr>
                <w:i/>
                <w:lang w:val="en-CA"/>
              </w:rPr>
            </w:pPr>
            <w:r w:rsidRPr="00BC081A">
              <w:rPr>
                <w:i/>
                <w:lang w:val="en-CA"/>
              </w:rPr>
              <w:t>R1</w:t>
            </w:r>
            <w:r w:rsidRPr="00BC081A">
              <w:rPr>
                <w:i/>
                <w:vertAlign w:val="superscript"/>
                <w:lang w:val="en-CA"/>
              </w:rPr>
              <w:t>2</w:t>
            </w:r>
          </w:p>
        </w:tc>
        <w:tc>
          <w:tcPr>
            <w:tcW w:w="1265" w:type="dxa"/>
            <w:shd w:val="clear" w:color="auto" w:fill="F2F2F2" w:themeFill="background1" w:themeFillShade="F2"/>
          </w:tcPr>
          <w:p w14:paraId="124FC0AB" w14:textId="550E1710" w:rsidR="00630D9D" w:rsidRPr="00BC081A" w:rsidRDefault="00630D9D" w:rsidP="00BD306F">
            <w:pPr>
              <w:pStyle w:val="TableContext"/>
              <w:rPr>
                <w:i/>
                <w:lang w:val="en-CA"/>
              </w:rPr>
            </w:pPr>
            <w:r w:rsidRPr="00BC081A">
              <w:rPr>
                <w:lang w:val="en-CA"/>
              </w:rPr>
              <w:t>Method Factor Loading</w:t>
            </w:r>
          </w:p>
        </w:tc>
        <w:tc>
          <w:tcPr>
            <w:tcW w:w="1265" w:type="dxa"/>
            <w:shd w:val="clear" w:color="auto" w:fill="F2F2F2" w:themeFill="background1" w:themeFillShade="F2"/>
          </w:tcPr>
          <w:p w14:paraId="6DD58092" w14:textId="28670B86" w:rsidR="00630D9D" w:rsidRPr="00BC081A" w:rsidRDefault="00630D9D" w:rsidP="00BD306F">
            <w:pPr>
              <w:pStyle w:val="TableContext"/>
              <w:rPr>
                <w:i/>
                <w:lang w:val="en-CA"/>
              </w:rPr>
            </w:pPr>
            <w:r w:rsidRPr="00BC081A">
              <w:rPr>
                <w:lang w:val="en-CA"/>
              </w:rPr>
              <w:t xml:space="preserve">Significant Level at </w:t>
            </w:r>
            <w:r w:rsidRPr="00BC081A">
              <w:rPr>
                <w:i/>
                <w:lang w:val="en-CA"/>
              </w:rPr>
              <w:t>P&lt;</w:t>
            </w:r>
          </w:p>
        </w:tc>
        <w:tc>
          <w:tcPr>
            <w:tcW w:w="1300" w:type="dxa"/>
            <w:shd w:val="clear" w:color="auto" w:fill="F2F2F2" w:themeFill="background1" w:themeFillShade="F2"/>
            <w:noWrap/>
            <w:vAlign w:val="bottom"/>
            <w:hideMark/>
          </w:tcPr>
          <w:p w14:paraId="1DAAEC18" w14:textId="447594AD" w:rsidR="00630D9D" w:rsidRPr="00BC081A" w:rsidRDefault="00630D9D" w:rsidP="00BD306F">
            <w:pPr>
              <w:pStyle w:val="TableContext"/>
              <w:rPr>
                <w:i/>
                <w:lang w:val="en-CA"/>
              </w:rPr>
            </w:pPr>
            <w:r w:rsidRPr="00BC081A">
              <w:rPr>
                <w:i/>
                <w:lang w:val="en-CA"/>
              </w:rPr>
              <w:t>R2</w:t>
            </w:r>
            <w:r w:rsidRPr="00BC081A">
              <w:rPr>
                <w:i/>
                <w:vertAlign w:val="superscript"/>
                <w:lang w:val="en-CA"/>
              </w:rPr>
              <w:t>2</w:t>
            </w:r>
          </w:p>
        </w:tc>
      </w:tr>
      <w:tr w:rsidR="00332FAA" w:rsidRPr="00BC081A" w14:paraId="2AE6723D" w14:textId="77777777" w:rsidTr="008C71FB">
        <w:trPr>
          <w:trHeight w:val="300"/>
          <w:jc w:val="center"/>
        </w:trPr>
        <w:tc>
          <w:tcPr>
            <w:tcW w:w="1841" w:type="dxa"/>
            <w:shd w:val="clear" w:color="auto" w:fill="F2F2F2" w:themeFill="background1" w:themeFillShade="F2"/>
            <w:noWrap/>
            <w:vAlign w:val="bottom"/>
            <w:hideMark/>
          </w:tcPr>
          <w:p w14:paraId="6F04264D" w14:textId="77777777" w:rsidR="00332FAA" w:rsidRPr="00BC081A" w:rsidRDefault="00332FAA" w:rsidP="00BD306F">
            <w:pPr>
              <w:pStyle w:val="TableContext"/>
              <w:rPr>
                <w:lang w:val="en-CA"/>
              </w:rPr>
            </w:pPr>
            <w:r w:rsidRPr="00BC081A">
              <w:rPr>
                <w:lang w:val="en-CA"/>
              </w:rPr>
              <w:t>AR1</w:t>
            </w:r>
          </w:p>
        </w:tc>
        <w:tc>
          <w:tcPr>
            <w:tcW w:w="1266" w:type="dxa"/>
            <w:vAlign w:val="bottom"/>
          </w:tcPr>
          <w:p w14:paraId="2C2D60B1" w14:textId="6B7AD915" w:rsidR="00332FAA" w:rsidRPr="00BC081A" w:rsidRDefault="00332FAA" w:rsidP="00332FAA">
            <w:pPr>
              <w:pStyle w:val="TableContext"/>
              <w:rPr>
                <w:lang w:val="en-CA"/>
              </w:rPr>
            </w:pPr>
            <w:r w:rsidRPr="00BC081A">
              <w:rPr>
                <w:lang w:val="en-CA"/>
              </w:rPr>
              <w:t>0.874</w:t>
            </w:r>
          </w:p>
        </w:tc>
        <w:tc>
          <w:tcPr>
            <w:tcW w:w="1265" w:type="dxa"/>
            <w:vAlign w:val="bottom"/>
          </w:tcPr>
          <w:p w14:paraId="36E681D0" w14:textId="62E6DD28" w:rsidR="00332FAA" w:rsidRPr="00BC081A" w:rsidRDefault="00332FAA" w:rsidP="00332FAA">
            <w:pPr>
              <w:pStyle w:val="TableContext"/>
              <w:rPr>
                <w:lang w:val="en-CA"/>
              </w:rPr>
            </w:pPr>
            <w:r w:rsidRPr="00BC081A">
              <w:rPr>
                <w:lang w:val="en-CA"/>
              </w:rPr>
              <w:t>0.001</w:t>
            </w:r>
          </w:p>
        </w:tc>
        <w:tc>
          <w:tcPr>
            <w:tcW w:w="1281" w:type="dxa"/>
            <w:vAlign w:val="bottom"/>
          </w:tcPr>
          <w:p w14:paraId="0BAFB89E" w14:textId="2B1099BC" w:rsidR="00332FAA" w:rsidRPr="00BC081A" w:rsidRDefault="00332FAA" w:rsidP="00BD306F">
            <w:pPr>
              <w:pStyle w:val="TableContext"/>
              <w:rPr>
                <w:lang w:val="en-CA"/>
              </w:rPr>
            </w:pPr>
            <w:r w:rsidRPr="00BC081A">
              <w:rPr>
                <w:lang w:val="en-CA"/>
              </w:rPr>
              <w:t>0.874</w:t>
            </w:r>
          </w:p>
        </w:tc>
        <w:tc>
          <w:tcPr>
            <w:tcW w:w="1265" w:type="dxa"/>
            <w:vAlign w:val="bottom"/>
          </w:tcPr>
          <w:p w14:paraId="2D23BF33" w14:textId="24700C7E" w:rsidR="00332FAA" w:rsidRPr="00BC081A" w:rsidRDefault="00332FAA" w:rsidP="00332FAA">
            <w:pPr>
              <w:pStyle w:val="TableContext"/>
              <w:rPr>
                <w:lang w:val="en-CA"/>
              </w:rPr>
            </w:pPr>
            <w:r w:rsidRPr="00BC081A">
              <w:rPr>
                <w:lang w:val="en-CA"/>
              </w:rPr>
              <w:t>-0.104</w:t>
            </w:r>
          </w:p>
        </w:tc>
        <w:tc>
          <w:tcPr>
            <w:tcW w:w="1265" w:type="dxa"/>
            <w:vAlign w:val="bottom"/>
          </w:tcPr>
          <w:p w14:paraId="7C1089E5" w14:textId="799C0F11"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0D3E5242" w14:textId="32B24512" w:rsidR="00332FAA" w:rsidRPr="00BC081A" w:rsidRDefault="00332FAA" w:rsidP="00BD306F">
            <w:pPr>
              <w:pStyle w:val="TableContext"/>
              <w:rPr>
                <w:lang w:val="en-CA"/>
              </w:rPr>
            </w:pPr>
            <w:r w:rsidRPr="00BC081A">
              <w:rPr>
                <w:lang w:val="en-CA"/>
              </w:rPr>
              <w:t>-0.053</w:t>
            </w:r>
          </w:p>
        </w:tc>
      </w:tr>
      <w:tr w:rsidR="00332FAA" w:rsidRPr="00BC081A" w14:paraId="4E31F049" w14:textId="77777777" w:rsidTr="008C71FB">
        <w:trPr>
          <w:trHeight w:val="300"/>
          <w:jc w:val="center"/>
        </w:trPr>
        <w:tc>
          <w:tcPr>
            <w:tcW w:w="1841" w:type="dxa"/>
            <w:shd w:val="clear" w:color="auto" w:fill="F2F2F2" w:themeFill="background1" w:themeFillShade="F2"/>
            <w:noWrap/>
            <w:vAlign w:val="bottom"/>
            <w:hideMark/>
          </w:tcPr>
          <w:p w14:paraId="65B953D7" w14:textId="77777777" w:rsidR="00332FAA" w:rsidRPr="00BC081A" w:rsidRDefault="00332FAA" w:rsidP="00BD306F">
            <w:pPr>
              <w:pStyle w:val="TableContext"/>
              <w:rPr>
                <w:lang w:val="en-CA"/>
              </w:rPr>
            </w:pPr>
            <w:r w:rsidRPr="00BC081A">
              <w:rPr>
                <w:lang w:val="en-CA"/>
              </w:rPr>
              <w:t>AR2</w:t>
            </w:r>
          </w:p>
        </w:tc>
        <w:tc>
          <w:tcPr>
            <w:tcW w:w="1266" w:type="dxa"/>
            <w:vAlign w:val="bottom"/>
          </w:tcPr>
          <w:p w14:paraId="1E434C38" w14:textId="4DBF4257" w:rsidR="00332FAA" w:rsidRPr="00BC081A" w:rsidRDefault="00332FAA" w:rsidP="00332FAA">
            <w:pPr>
              <w:pStyle w:val="TableContext"/>
              <w:rPr>
                <w:lang w:val="en-CA"/>
              </w:rPr>
            </w:pPr>
            <w:r w:rsidRPr="00BC081A">
              <w:rPr>
                <w:lang w:val="en-CA"/>
              </w:rPr>
              <w:t>0.935</w:t>
            </w:r>
          </w:p>
        </w:tc>
        <w:tc>
          <w:tcPr>
            <w:tcW w:w="1265" w:type="dxa"/>
            <w:vAlign w:val="bottom"/>
          </w:tcPr>
          <w:p w14:paraId="0A04DB9C" w14:textId="3D60D248" w:rsidR="00332FAA" w:rsidRPr="00BC081A" w:rsidRDefault="00332FAA" w:rsidP="00332FAA">
            <w:pPr>
              <w:pStyle w:val="TableContext"/>
              <w:rPr>
                <w:lang w:val="en-CA"/>
              </w:rPr>
            </w:pPr>
            <w:r w:rsidRPr="00BC081A">
              <w:rPr>
                <w:lang w:val="en-CA"/>
              </w:rPr>
              <w:t>0.001</w:t>
            </w:r>
          </w:p>
        </w:tc>
        <w:tc>
          <w:tcPr>
            <w:tcW w:w="1281" w:type="dxa"/>
            <w:vAlign w:val="bottom"/>
          </w:tcPr>
          <w:p w14:paraId="0F82D10A" w14:textId="440EE21A" w:rsidR="00332FAA" w:rsidRPr="00BC081A" w:rsidRDefault="00332FAA" w:rsidP="00BD306F">
            <w:pPr>
              <w:pStyle w:val="TableContext"/>
              <w:rPr>
                <w:lang w:val="en-CA"/>
              </w:rPr>
            </w:pPr>
            <w:r w:rsidRPr="00BC081A">
              <w:rPr>
                <w:lang w:val="en-CA"/>
              </w:rPr>
              <w:t>0.935</w:t>
            </w:r>
          </w:p>
        </w:tc>
        <w:tc>
          <w:tcPr>
            <w:tcW w:w="1265" w:type="dxa"/>
            <w:vAlign w:val="bottom"/>
          </w:tcPr>
          <w:p w14:paraId="4FB9C2D3" w14:textId="72FB0273" w:rsidR="00332FAA" w:rsidRPr="00BC081A" w:rsidRDefault="00332FAA" w:rsidP="00332FAA">
            <w:pPr>
              <w:pStyle w:val="TableContext"/>
              <w:rPr>
                <w:lang w:val="en-CA"/>
              </w:rPr>
            </w:pPr>
            <w:r w:rsidRPr="00BC081A">
              <w:rPr>
                <w:lang w:val="en-CA"/>
              </w:rPr>
              <w:t>-0.048</w:t>
            </w:r>
          </w:p>
        </w:tc>
        <w:tc>
          <w:tcPr>
            <w:tcW w:w="1265" w:type="dxa"/>
            <w:vAlign w:val="bottom"/>
          </w:tcPr>
          <w:p w14:paraId="53EC2F9C" w14:textId="2299D89C"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11D25C77" w14:textId="21870589" w:rsidR="00332FAA" w:rsidRPr="00BC081A" w:rsidRDefault="00332FAA" w:rsidP="00BD306F">
            <w:pPr>
              <w:pStyle w:val="TableContext"/>
              <w:rPr>
                <w:lang w:val="en-CA"/>
              </w:rPr>
            </w:pPr>
            <w:r w:rsidRPr="00BC081A">
              <w:rPr>
                <w:lang w:val="en-CA"/>
              </w:rPr>
              <w:t>0.007</w:t>
            </w:r>
          </w:p>
        </w:tc>
      </w:tr>
      <w:tr w:rsidR="00332FAA" w:rsidRPr="00BC081A" w14:paraId="4EECEF52" w14:textId="77777777" w:rsidTr="008C71FB">
        <w:trPr>
          <w:trHeight w:val="300"/>
          <w:jc w:val="center"/>
        </w:trPr>
        <w:tc>
          <w:tcPr>
            <w:tcW w:w="1841" w:type="dxa"/>
            <w:shd w:val="clear" w:color="auto" w:fill="F2F2F2" w:themeFill="background1" w:themeFillShade="F2"/>
            <w:noWrap/>
            <w:vAlign w:val="bottom"/>
            <w:hideMark/>
          </w:tcPr>
          <w:p w14:paraId="6CDBFD0E" w14:textId="77777777" w:rsidR="00332FAA" w:rsidRPr="00BC081A" w:rsidRDefault="00332FAA" w:rsidP="00BD306F">
            <w:pPr>
              <w:pStyle w:val="TableContext"/>
              <w:rPr>
                <w:lang w:val="en-CA"/>
              </w:rPr>
            </w:pPr>
            <w:r w:rsidRPr="00BC081A">
              <w:rPr>
                <w:lang w:val="en-CA"/>
              </w:rPr>
              <w:lastRenderedPageBreak/>
              <w:t>AR3</w:t>
            </w:r>
          </w:p>
        </w:tc>
        <w:tc>
          <w:tcPr>
            <w:tcW w:w="1266" w:type="dxa"/>
            <w:vAlign w:val="bottom"/>
          </w:tcPr>
          <w:p w14:paraId="3DE99AA5" w14:textId="466FE35B" w:rsidR="00332FAA" w:rsidRPr="00BC081A" w:rsidRDefault="00332FAA" w:rsidP="00332FAA">
            <w:pPr>
              <w:pStyle w:val="TableContext"/>
              <w:rPr>
                <w:lang w:val="en-CA"/>
              </w:rPr>
            </w:pPr>
            <w:r w:rsidRPr="00BC081A">
              <w:rPr>
                <w:lang w:val="en-CA"/>
              </w:rPr>
              <w:t>0.848</w:t>
            </w:r>
          </w:p>
        </w:tc>
        <w:tc>
          <w:tcPr>
            <w:tcW w:w="1265" w:type="dxa"/>
            <w:vAlign w:val="bottom"/>
          </w:tcPr>
          <w:p w14:paraId="2D0BDECD" w14:textId="4D71F3AC" w:rsidR="00332FAA" w:rsidRPr="00BC081A" w:rsidRDefault="00332FAA" w:rsidP="00332FAA">
            <w:pPr>
              <w:pStyle w:val="TableContext"/>
              <w:rPr>
                <w:lang w:val="en-CA"/>
              </w:rPr>
            </w:pPr>
            <w:r w:rsidRPr="00BC081A">
              <w:rPr>
                <w:lang w:val="en-CA"/>
              </w:rPr>
              <w:t>0.001</w:t>
            </w:r>
          </w:p>
        </w:tc>
        <w:tc>
          <w:tcPr>
            <w:tcW w:w="1281" w:type="dxa"/>
            <w:vAlign w:val="bottom"/>
          </w:tcPr>
          <w:p w14:paraId="3CE2976E" w14:textId="7769B32E" w:rsidR="00332FAA" w:rsidRPr="00BC081A" w:rsidRDefault="00332FAA" w:rsidP="00BD306F">
            <w:pPr>
              <w:pStyle w:val="TableContext"/>
              <w:rPr>
                <w:lang w:val="en-CA"/>
              </w:rPr>
            </w:pPr>
            <w:r w:rsidRPr="00BC081A">
              <w:rPr>
                <w:lang w:val="en-CA"/>
              </w:rPr>
              <w:t>0.848</w:t>
            </w:r>
          </w:p>
        </w:tc>
        <w:tc>
          <w:tcPr>
            <w:tcW w:w="1265" w:type="dxa"/>
            <w:vAlign w:val="bottom"/>
          </w:tcPr>
          <w:p w14:paraId="0EA66366" w14:textId="0317A2A1" w:rsidR="00332FAA" w:rsidRPr="00BC081A" w:rsidRDefault="00332FAA" w:rsidP="00332FAA">
            <w:pPr>
              <w:pStyle w:val="TableContext"/>
              <w:rPr>
                <w:lang w:val="en-CA"/>
              </w:rPr>
            </w:pPr>
            <w:r w:rsidRPr="00BC081A">
              <w:rPr>
                <w:lang w:val="en-CA"/>
              </w:rPr>
              <w:t>-0.001</w:t>
            </w:r>
          </w:p>
        </w:tc>
        <w:tc>
          <w:tcPr>
            <w:tcW w:w="1265" w:type="dxa"/>
            <w:vAlign w:val="bottom"/>
          </w:tcPr>
          <w:p w14:paraId="2F08E9BC" w14:textId="3CC6B8AE"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E87E870" w14:textId="26EB6185" w:rsidR="00332FAA" w:rsidRPr="00BC081A" w:rsidRDefault="00332FAA" w:rsidP="00BD306F">
            <w:pPr>
              <w:pStyle w:val="TableContext"/>
              <w:rPr>
                <w:lang w:val="en-CA"/>
              </w:rPr>
            </w:pPr>
            <w:r w:rsidRPr="00BC081A">
              <w:rPr>
                <w:lang w:val="en-CA"/>
              </w:rPr>
              <w:t>0.048</w:t>
            </w:r>
          </w:p>
        </w:tc>
      </w:tr>
      <w:tr w:rsidR="00332FAA" w:rsidRPr="00BC081A" w14:paraId="6C605549" w14:textId="77777777" w:rsidTr="008C71FB">
        <w:trPr>
          <w:trHeight w:val="300"/>
          <w:jc w:val="center"/>
        </w:trPr>
        <w:tc>
          <w:tcPr>
            <w:tcW w:w="1841" w:type="dxa"/>
            <w:shd w:val="clear" w:color="auto" w:fill="F2F2F2" w:themeFill="background1" w:themeFillShade="F2"/>
            <w:noWrap/>
            <w:vAlign w:val="bottom"/>
            <w:hideMark/>
          </w:tcPr>
          <w:p w14:paraId="72A6066F" w14:textId="77777777" w:rsidR="00332FAA" w:rsidRPr="00BC081A" w:rsidRDefault="00332FAA" w:rsidP="00BD306F">
            <w:pPr>
              <w:pStyle w:val="TableContext"/>
              <w:rPr>
                <w:lang w:val="en-CA"/>
              </w:rPr>
            </w:pPr>
            <w:r w:rsidRPr="00BC081A">
              <w:rPr>
                <w:lang w:val="en-CA"/>
              </w:rPr>
              <w:t>AR4</w:t>
            </w:r>
          </w:p>
        </w:tc>
        <w:tc>
          <w:tcPr>
            <w:tcW w:w="1266" w:type="dxa"/>
            <w:vAlign w:val="bottom"/>
          </w:tcPr>
          <w:p w14:paraId="040163DE" w14:textId="279DF09E" w:rsidR="00332FAA" w:rsidRPr="00BC081A" w:rsidRDefault="00332FAA" w:rsidP="00332FAA">
            <w:pPr>
              <w:pStyle w:val="TableContext"/>
              <w:rPr>
                <w:lang w:val="en-CA"/>
              </w:rPr>
            </w:pPr>
            <w:r w:rsidRPr="00BC081A">
              <w:rPr>
                <w:lang w:val="en-CA"/>
              </w:rPr>
              <w:t>0.434</w:t>
            </w:r>
          </w:p>
        </w:tc>
        <w:tc>
          <w:tcPr>
            <w:tcW w:w="1265" w:type="dxa"/>
            <w:vAlign w:val="bottom"/>
          </w:tcPr>
          <w:p w14:paraId="34D026BC" w14:textId="71249CC9" w:rsidR="00332FAA" w:rsidRPr="00BC081A" w:rsidRDefault="00332FAA" w:rsidP="00332FAA">
            <w:pPr>
              <w:pStyle w:val="TableContext"/>
              <w:rPr>
                <w:lang w:val="en-CA"/>
              </w:rPr>
            </w:pPr>
            <w:r w:rsidRPr="00BC081A">
              <w:rPr>
                <w:lang w:val="en-CA"/>
              </w:rPr>
              <w:t>0.050</w:t>
            </w:r>
          </w:p>
        </w:tc>
        <w:tc>
          <w:tcPr>
            <w:tcW w:w="1281" w:type="dxa"/>
            <w:vAlign w:val="bottom"/>
          </w:tcPr>
          <w:p w14:paraId="0DF7CF9E" w14:textId="3B6F3850" w:rsidR="00332FAA" w:rsidRPr="00BC081A" w:rsidRDefault="00332FAA" w:rsidP="00BD306F">
            <w:pPr>
              <w:pStyle w:val="TableContext"/>
              <w:rPr>
                <w:lang w:val="en-CA"/>
              </w:rPr>
            </w:pPr>
            <w:r w:rsidRPr="00BC081A">
              <w:rPr>
                <w:lang w:val="en-CA"/>
              </w:rPr>
              <w:t>0.434</w:t>
            </w:r>
          </w:p>
        </w:tc>
        <w:tc>
          <w:tcPr>
            <w:tcW w:w="1265" w:type="dxa"/>
            <w:vAlign w:val="bottom"/>
          </w:tcPr>
          <w:p w14:paraId="5006FEBC" w14:textId="2EA7BBEA" w:rsidR="00332FAA" w:rsidRPr="00BC081A" w:rsidRDefault="00332FAA" w:rsidP="00332FAA">
            <w:pPr>
              <w:pStyle w:val="TableContext"/>
              <w:rPr>
                <w:lang w:val="en-CA"/>
              </w:rPr>
            </w:pPr>
            <w:r w:rsidRPr="00BC081A">
              <w:rPr>
                <w:lang w:val="en-CA"/>
              </w:rPr>
              <w:t>0.074</w:t>
            </w:r>
          </w:p>
        </w:tc>
        <w:tc>
          <w:tcPr>
            <w:tcW w:w="1265" w:type="dxa"/>
            <w:vAlign w:val="bottom"/>
          </w:tcPr>
          <w:p w14:paraId="64E4BD4C" w14:textId="73E0BC2C"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6651D4DF" w14:textId="03FB908A" w:rsidR="00332FAA" w:rsidRPr="00BC081A" w:rsidRDefault="00332FAA" w:rsidP="00BD306F">
            <w:pPr>
              <w:pStyle w:val="TableContext"/>
              <w:rPr>
                <w:lang w:val="en-CA"/>
              </w:rPr>
            </w:pPr>
            <w:r w:rsidRPr="00BC081A">
              <w:rPr>
                <w:lang w:val="en-CA"/>
              </w:rPr>
              <w:t>0.099</w:t>
            </w:r>
          </w:p>
        </w:tc>
      </w:tr>
      <w:tr w:rsidR="00332FAA" w:rsidRPr="00BC081A" w14:paraId="1422F985" w14:textId="77777777" w:rsidTr="008C71FB">
        <w:trPr>
          <w:trHeight w:val="300"/>
          <w:jc w:val="center"/>
        </w:trPr>
        <w:tc>
          <w:tcPr>
            <w:tcW w:w="1841" w:type="dxa"/>
            <w:shd w:val="clear" w:color="auto" w:fill="F2F2F2" w:themeFill="background1" w:themeFillShade="F2"/>
            <w:noWrap/>
            <w:vAlign w:val="bottom"/>
            <w:hideMark/>
          </w:tcPr>
          <w:p w14:paraId="46B4CF66" w14:textId="77777777" w:rsidR="00332FAA" w:rsidRPr="00BC081A" w:rsidRDefault="00332FAA" w:rsidP="00BD306F">
            <w:pPr>
              <w:pStyle w:val="TableContext"/>
              <w:rPr>
                <w:lang w:val="en-CA"/>
              </w:rPr>
            </w:pPr>
            <w:r w:rsidRPr="00BC081A">
              <w:rPr>
                <w:lang w:val="en-CA"/>
              </w:rPr>
              <w:t>AR5</w:t>
            </w:r>
          </w:p>
        </w:tc>
        <w:tc>
          <w:tcPr>
            <w:tcW w:w="1266" w:type="dxa"/>
            <w:vAlign w:val="bottom"/>
          </w:tcPr>
          <w:p w14:paraId="56356B1F" w14:textId="249FBE7C" w:rsidR="00332FAA" w:rsidRPr="00BC081A" w:rsidRDefault="00332FAA" w:rsidP="00332FAA">
            <w:pPr>
              <w:pStyle w:val="TableContext"/>
              <w:rPr>
                <w:lang w:val="en-CA"/>
              </w:rPr>
            </w:pPr>
            <w:r w:rsidRPr="00BC081A">
              <w:rPr>
                <w:lang w:val="en-CA"/>
              </w:rPr>
              <w:t>0.674</w:t>
            </w:r>
          </w:p>
        </w:tc>
        <w:tc>
          <w:tcPr>
            <w:tcW w:w="1265" w:type="dxa"/>
            <w:vAlign w:val="bottom"/>
          </w:tcPr>
          <w:p w14:paraId="0D47D52B" w14:textId="1F5B7171" w:rsidR="00332FAA" w:rsidRPr="00BC081A" w:rsidRDefault="00332FAA" w:rsidP="00332FAA">
            <w:pPr>
              <w:pStyle w:val="TableContext"/>
              <w:rPr>
                <w:lang w:val="en-CA"/>
              </w:rPr>
            </w:pPr>
            <w:r w:rsidRPr="00BC081A">
              <w:rPr>
                <w:lang w:val="en-CA"/>
              </w:rPr>
              <w:t>0.001</w:t>
            </w:r>
          </w:p>
        </w:tc>
        <w:tc>
          <w:tcPr>
            <w:tcW w:w="1281" w:type="dxa"/>
            <w:vAlign w:val="bottom"/>
          </w:tcPr>
          <w:p w14:paraId="390155F2" w14:textId="306AD3B0" w:rsidR="00332FAA" w:rsidRPr="00BC081A" w:rsidRDefault="00332FAA" w:rsidP="00BD306F">
            <w:pPr>
              <w:pStyle w:val="TableContext"/>
              <w:rPr>
                <w:lang w:val="en-CA"/>
              </w:rPr>
            </w:pPr>
            <w:r w:rsidRPr="00BC081A">
              <w:rPr>
                <w:lang w:val="en-CA"/>
              </w:rPr>
              <w:t>0.674</w:t>
            </w:r>
          </w:p>
        </w:tc>
        <w:tc>
          <w:tcPr>
            <w:tcW w:w="1265" w:type="dxa"/>
            <w:vAlign w:val="bottom"/>
          </w:tcPr>
          <w:p w14:paraId="100BF5F6" w14:textId="0F9FDEB8" w:rsidR="00332FAA" w:rsidRPr="00BC081A" w:rsidRDefault="00332FAA" w:rsidP="00332FAA">
            <w:pPr>
              <w:pStyle w:val="TableContext"/>
              <w:rPr>
                <w:lang w:val="en-CA"/>
              </w:rPr>
            </w:pPr>
            <w:r w:rsidRPr="00BC081A">
              <w:rPr>
                <w:lang w:val="en-CA"/>
              </w:rPr>
              <w:t>0.113</w:t>
            </w:r>
          </w:p>
        </w:tc>
        <w:tc>
          <w:tcPr>
            <w:tcW w:w="1265" w:type="dxa"/>
            <w:vAlign w:val="bottom"/>
          </w:tcPr>
          <w:p w14:paraId="26D0B34E" w14:textId="033000B4"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21855BE4" w14:textId="363EEB2B" w:rsidR="00332FAA" w:rsidRPr="00BC081A" w:rsidRDefault="00332FAA" w:rsidP="00BD306F">
            <w:pPr>
              <w:pStyle w:val="TableContext"/>
              <w:rPr>
                <w:lang w:val="en-CA"/>
              </w:rPr>
            </w:pPr>
            <w:r w:rsidRPr="00BC081A">
              <w:rPr>
                <w:lang w:val="en-CA"/>
              </w:rPr>
              <w:t>0.152</w:t>
            </w:r>
          </w:p>
        </w:tc>
      </w:tr>
      <w:tr w:rsidR="00332FAA" w:rsidRPr="00BC081A" w14:paraId="5D21DF2C" w14:textId="77777777" w:rsidTr="008C71FB">
        <w:trPr>
          <w:trHeight w:val="300"/>
          <w:jc w:val="center"/>
        </w:trPr>
        <w:tc>
          <w:tcPr>
            <w:tcW w:w="1841" w:type="dxa"/>
            <w:shd w:val="clear" w:color="auto" w:fill="F2F2F2" w:themeFill="background1" w:themeFillShade="F2"/>
            <w:noWrap/>
            <w:vAlign w:val="bottom"/>
            <w:hideMark/>
          </w:tcPr>
          <w:p w14:paraId="1CCB25EE" w14:textId="77777777" w:rsidR="00332FAA" w:rsidRPr="00BC081A" w:rsidRDefault="00332FAA" w:rsidP="00BD306F">
            <w:pPr>
              <w:pStyle w:val="TableContext"/>
              <w:rPr>
                <w:lang w:val="en-CA"/>
              </w:rPr>
            </w:pPr>
            <w:r w:rsidRPr="00BC081A">
              <w:rPr>
                <w:lang w:val="en-CA"/>
              </w:rPr>
              <w:t>CH1</w:t>
            </w:r>
          </w:p>
        </w:tc>
        <w:tc>
          <w:tcPr>
            <w:tcW w:w="1266" w:type="dxa"/>
            <w:vAlign w:val="bottom"/>
          </w:tcPr>
          <w:p w14:paraId="022F6F57" w14:textId="121BC017" w:rsidR="00332FAA" w:rsidRPr="00BC081A" w:rsidRDefault="00332FAA" w:rsidP="00332FAA">
            <w:pPr>
              <w:pStyle w:val="TableContext"/>
              <w:rPr>
                <w:lang w:val="en-CA"/>
              </w:rPr>
            </w:pPr>
            <w:r w:rsidRPr="00BC081A">
              <w:rPr>
                <w:lang w:val="en-CA"/>
              </w:rPr>
              <w:t>0.759</w:t>
            </w:r>
          </w:p>
        </w:tc>
        <w:tc>
          <w:tcPr>
            <w:tcW w:w="1265" w:type="dxa"/>
            <w:vAlign w:val="bottom"/>
          </w:tcPr>
          <w:p w14:paraId="270DD712" w14:textId="4DA4E322" w:rsidR="00332FAA" w:rsidRPr="00BC081A" w:rsidRDefault="00332FAA" w:rsidP="00332FAA">
            <w:pPr>
              <w:pStyle w:val="TableContext"/>
              <w:rPr>
                <w:lang w:val="en-CA"/>
              </w:rPr>
            </w:pPr>
            <w:r w:rsidRPr="00BC081A">
              <w:rPr>
                <w:lang w:val="en-CA"/>
              </w:rPr>
              <w:t>0.001</w:t>
            </w:r>
          </w:p>
        </w:tc>
        <w:tc>
          <w:tcPr>
            <w:tcW w:w="1281" w:type="dxa"/>
            <w:vAlign w:val="bottom"/>
          </w:tcPr>
          <w:p w14:paraId="6E640C0F" w14:textId="17C97803" w:rsidR="00332FAA" w:rsidRPr="00BC081A" w:rsidRDefault="00332FAA" w:rsidP="00BD306F">
            <w:pPr>
              <w:pStyle w:val="TableContext"/>
              <w:rPr>
                <w:lang w:val="en-CA"/>
              </w:rPr>
            </w:pPr>
            <w:r w:rsidRPr="00BC081A">
              <w:rPr>
                <w:lang w:val="en-CA"/>
              </w:rPr>
              <w:t>0.759</w:t>
            </w:r>
          </w:p>
        </w:tc>
        <w:tc>
          <w:tcPr>
            <w:tcW w:w="1265" w:type="dxa"/>
            <w:vAlign w:val="bottom"/>
          </w:tcPr>
          <w:p w14:paraId="0F76E148" w14:textId="6397B448" w:rsidR="00332FAA" w:rsidRPr="00BC081A" w:rsidRDefault="00332FAA" w:rsidP="00332FAA">
            <w:pPr>
              <w:pStyle w:val="TableContext"/>
              <w:rPr>
                <w:lang w:val="en-CA"/>
              </w:rPr>
            </w:pPr>
            <w:r w:rsidRPr="00BC081A">
              <w:rPr>
                <w:lang w:val="en-CA"/>
              </w:rPr>
              <w:t>0.165</w:t>
            </w:r>
          </w:p>
        </w:tc>
        <w:tc>
          <w:tcPr>
            <w:tcW w:w="1265" w:type="dxa"/>
            <w:vAlign w:val="bottom"/>
          </w:tcPr>
          <w:p w14:paraId="2E02509F" w14:textId="4DEC2585" w:rsidR="00332FAA" w:rsidRPr="00BC081A" w:rsidRDefault="00332FAA" w:rsidP="00332FAA">
            <w:pPr>
              <w:pStyle w:val="TableContext"/>
              <w:rPr>
                <w:lang w:val="en-CA"/>
              </w:rPr>
            </w:pPr>
            <w:r w:rsidRPr="00BC081A">
              <w:rPr>
                <w:lang w:val="en-CA"/>
              </w:rPr>
              <w:t>0.010</w:t>
            </w:r>
          </w:p>
        </w:tc>
        <w:tc>
          <w:tcPr>
            <w:tcW w:w="1300" w:type="dxa"/>
            <w:shd w:val="clear" w:color="auto" w:fill="auto"/>
            <w:noWrap/>
            <w:vAlign w:val="bottom"/>
            <w:hideMark/>
          </w:tcPr>
          <w:p w14:paraId="387AE14B" w14:textId="2F7B7348" w:rsidR="00332FAA" w:rsidRPr="00BC081A" w:rsidRDefault="00332FAA" w:rsidP="00BD306F">
            <w:pPr>
              <w:pStyle w:val="TableContext"/>
              <w:rPr>
                <w:lang w:val="en-CA"/>
              </w:rPr>
            </w:pPr>
            <w:r w:rsidRPr="00BC081A">
              <w:rPr>
                <w:lang w:val="en-CA"/>
              </w:rPr>
              <w:t>0.214</w:t>
            </w:r>
          </w:p>
        </w:tc>
      </w:tr>
      <w:tr w:rsidR="00332FAA" w:rsidRPr="00BC081A" w14:paraId="53C7EE1D" w14:textId="77777777" w:rsidTr="008C71FB">
        <w:trPr>
          <w:trHeight w:val="300"/>
          <w:jc w:val="center"/>
        </w:trPr>
        <w:tc>
          <w:tcPr>
            <w:tcW w:w="1841" w:type="dxa"/>
            <w:shd w:val="clear" w:color="auto" w:fill="F2F2F2" w:themeFill="background1" w:themeFillShade="F2"/>
            <w:noWrap/>
            <w:vAlign w:val="bottom"/>
            <w:hideMark/>
          </w:tcPr>
          <w:p w14:paraId="777B8E85" w14:textId="77777777" w:rsidR="00332FAA" w:rsidRPr="00BC081A" w:rsidRDefault="00332FAA" w:rsidP="00BD306F">
            <w:pPr>
              <w:pStyle w:val="TableContext"/>
              <w:rPr>
                <w:lang w:val="en-CA"/>
              </w:rPr>
            </w:pPr>
            <w:r w:rsidRPr="00BC081A">
              <w:rPr>
                <w:lang w:val="en-CA"/>
              </w:rPr>
              <w:t>CH2</w:t>
            </w:r>
          </w:p>
        </w:tc>
        <w:tc>
          <w:tcPr>
            <w:tcW w:w="1266" w:type="dxa"/>
            <w:vAlign w:val="bottom"/>
          </w:tcPr>
          <w:p w14:paraId="526F49E4" w14:textId="49AA72B5" w:rsidR="00332FAA" w:rsidRPr="00BC081A" w:rsidRDefault="00332FAA" w:rsidP="00332FAA">
            <w:pPr>
              <w:pStyle w:val="TableContext"/>
              <w:rPr>
                <w:lang w:val="en-CA"/>
              </w:rPr>
            </w:pPr>
            <w:r w:rsidRPr="00BC081A">
              <w:rPr>
                <w:lang w:val="en-CA"/>
              </w:rPr>
              <w:t>0.962</w:t>
            </w:r>
          </w:p>
        </w:tc>
        <w:tc>
          <w:tcPr>
            <w:tcW w:w="1265" w:type="dxa"/>
            <w:vAlign w:val="bottom"/>
          </w:tcPr>
          <w:p w14:paraId="04707BF9" w14:textId="2AFF5E0D" w:rsidR="00332FAA" w:rsidRPr="00BC081A" w:rsidRDefault="00332FAA" w:rsidP="00332FAA">
            <w:pPr>
              <w:pStyle w:val="TableContext"/>
              <w:rPr>
                <w:lang w:val="en-CA"/>
              </w:rPr>
            </w:pPr>
            <w:r w:rsidRPr="00BC081A">
              <w:rPr>
                <w:lang w:val="en-CA"/>
              </w:rPr>
              <w:t>0.001</w:t>
            </w:r>
          </w:p>
        </w:tc>
        <w:tc>
          <w:tcPr>
            <w:tcW w:w="1281" w:type="dxa"/>
            <w:vAlign w:val="bottom"/>
          </w:tcPr>
          <w:p w14:paraId="2FAA0766" w14:textId="5900880F" w:rsidR="00332FAA" w:rsidRPr="00BC081A" w:rsidRDefault="00332FAA" w:rsidP="00BD306F">
            <w:pPr>
              <w:pStyle w:val="TableContext"/>
              <w:rPr>
                <w:lang w:val="en-CA"/>
              </w:rPr>
            </w:pPr>
            <w:r w:rsidRPr="00BC081A">
              <w:rPr>
                <w:lang w:val="en-CA"/>
              </w:rPr>
              <w:t>0.962</w:t>
            </w:r>
          </w:p>
        </w:tc>
        <w:tc>
          <w:tcPr>
            <w:tcW w:w="1265" w:type="dxa"/>
            <w:vAlign w:val="bottom"/>
          </w:tcPr>
          <w:p w14:paraId="3921CE55" w14:textId="7768375B" w:rsidR="00332FAA" w:rsidRPr="00BC081A" w:rsidRDefault="00332FAA" w:rsidP="00332FAA">
            <w:pPr>
              <w:pStyle w:val="TableContext"/>
              <w:rPr>
                <w:lang w:val="en-CA"/>
              </w:rPr>
            </w:pPr>
            <w:r w:rsidRPr="00BC081A">
              <w:rPr>
                <w:lang w:val="en-CA"/>
              </w:rPr>
              <w:t>-0.150</w:t>
            </w:r>
          </w:p>
        </w:tc>
        <w:tc>
          <w:tcPr>
            <w:tcW w:w="1265" w:type="dxa"/>
            <w:vAlign w:val="bottom"/>
          </w:tcPr>
          <w:p w14:paraId="6D283893" w14:textId="7420884E" w:rsidR="00332FAA" w:rsidRPr="00BC081A" w:rsidRDefault="00332FAA" w:rsidP="00332FAA">
            <w:pPr>
              <w:pStyle w:val="TableContext"/>
              <w:rPr>
                <w:lang w:val="en-CA"/>
              </w:rPr>
            </w:pPr>
            <w:r w:rsidRPr="00BC081A">
              <w:rPr>
                <w:lang w:val="en-CA"/>
              </w:rPr>
              <w:t>0.010</w:t>
            </w:r>
          </w:p>
        </w:tc>
        <w:tc>
          <w:tcPr>
            <w:tcW w:w="1300" w:type="dxa"/>
            <w:shd w:val="clear" w:color="auto" w:fill="auto"/>
            <w:noWrap/>
            <w:vAlign w:val="bottom"/>
            <w:hideMark/>
          </w:tcPr>
          <w:p w14:paraId="5A1787F7" w14:textId="29DBB7D5" w:rsidR="00332FAA" w:rsidRPr="00BC081A" w:rsidRDefault="00332FAA" w:rsidP="00BD306F">
            <w:pPr>
              <w:pStyle w:val="TableContext"/>
              <w:rPr>
                <w:lang w:val="en-CA"/>
              </w:rPr>
            </w:pPr>
            <w:r w:rsidRPr="00BC081A">
              <w:rPr>
                <w:lang w:val="en-CA"/>
              </w:rPr>
              <w:t>-0.087</w:t>
            </w:r>
          </w:p>
        </w:tc>
      </w:tr>
      <w:tr w:rsidR="00332FAA" w:rsidRPr="00BC081A" w14:paraId="232C0575" w14:textId="77777777" w:rsidTr="008C71FB">
        <w:trPr>
          <w:trHeight w:val="300"/>
          <w:jc w:val="center"/>
        </w:trPr>
        <w:tc>
          <w:tcPr>
            <w:tcW w:w="1841" w:type="dxa"/>
            <w:shd w:val="clear" w:color="auto" w:fill="F2F2F2" w:themeFill="background1" w:themeFillShade="F2"/>
            <w:noWrap/>
            <w:vAlign w:val="bottom"/>
            <w:hideMark/>
          </w:tcPr>
          <w:p w14:paraId="3806B124" w14:textId="77777777" w:rsidR="00332FAA" w:rsidRPr="00BC081A" w:rsidRDefault="00332FAA" w:rsidP="00BD306F">
            <w:pPr>
              <w:pStyle w:val="TableContext"/>
              <w:rPr>
                <w:lang w:val="en-CA"/>
              </w:rPr>
            </w:pPr>
            <w:r w:rsidRPr="00BC081A">
              <w:rPr>
                <w:lang w:val="en-CA"/>
              </w:rPr>
              <w:t>CH3</w:t>
            </w:r>
          </w:p>
        </w:tc>
        <w:tc>
          <w:tcPr>
            <w:tcW w:w="1266" w:type="dxa"/>
            <w:vAlign w:val="bottom"/>
          </w:tcPr>
          <w:p w14:paraId="4D97081F" w14:textId="21C7D976" w:rsidR="00332FAA" w:rsidRPr="00BC081A" w:rsidRDefault="00332FAA" w:rsidP="00332FAA">
            <w:pPr>
              <w:pStyle w:val="TableContext"/>
              <w:rPr>
                <w:lang w:val="en-CA"/>
              </w:rPr>
            </w:pPr>
            <w:r w:rsidRPr="00BC081A">
              <w:rPr>
                <w:lang w:val="en-CA"/>
              </w:rPr>
              <w:t>0.869</w:t>
            </w:r>
          </w:p>
        </w:tc>
        <w:tc>
          <w:tcPr>
            <w:tcW w:w="1265" w:type="dxa"/>
            <w:vAlign w:val="bottom"/>
          </w:tcPr>
          <w:p w14:paraId="344C53BD" w14:textId="0AEE5B50" w:rsidR="00332FAA" w:rsidRPr="00BC081A" w:rsidRDefault="00332FAA" w:rsidP="00332FAA">
            <w:pPr>
              <w:pStyle w:val="TableContext"/>
              <w:rPr>
                <w:lang w:val="en-CA"/>
              </w:rPr>
            </w:pPr>
            <w:r w:rsidRPr="00BC081A">
              <w:rPr>
                <w:lang w:val="en-CA"/>
              </w:rPr>
              <w:t>0.001</w:t>
            </w:r>
          </w:p>
        </w:tc>
        <w:tc>
          <w:tcPr>
            <w:tcW w:w="1281" w:type="dxa"/>
            <w:vAlign w:val="bottom"/>
          </w:tcPr>
          <w:p w14:paraId="49EDCC1A" w14:textId="6A50AEBC" w:rsidR="00332FAA" w:rsidRPr="00BC081A" w:rsidRDefault="00332FAA" w:rsidP="00BD306F">
            <w:pPr>
              <w:pStyle w:val="TableContext"/>
              <w:rPr>
                <w:lang w:val="en-CA"/>
              </w:rPr>
            </w:pPr>
            <w:r w:rsidRPr="00BC081A">
              <w:rPr>
                <w:lang w:val="en-CA"/>
              </w:rPr>
              <w:t>0.869</w:t>
            </w:r>
          </w:p>
        </w:tc>
        <w:tc>
          <w:tcPr>
            <w:tcW w:w="1265" w:type="dxa"/>
            <w:vAlign w:val="bottom"/>
          </w:tcPr>
          <w:p w14:paraId="3FE03CF8" w14:textId="1F1A080E" w:rsidR="00332FAA" w:rsidRPr="00BC081A" w:rsidRDefault="00332FAA" w:rsidP="00332FAA">
            <w:pPr>
              <w:pStyle w:val="TableContext"/>
              <w:rPr>
                <w:lang w:val="en-CA"/>
              </w:rPr>
            </w:pPr>
            <w:r w:rsidRPr="00BC081A">
              <w:rPr>
                <w:lang w:val="en-CA"/>
              </w:rPr>
              <w:t>-0.025</w:t>
            </w:r>
          </w:p>
        </w:tc>
        <w:tc>
          <w:tcPr>
            <w:tcW w:w="1265" w:type="dxa"/>
            <w:vAlign w:val="bottom"/>
          </w:tcPr>
          <w:p w14:paraId="53921FFE" w14:textId="44B3D455"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73C68D6A" w14:textId="3B0F4335" w:rsidR="00332FAA" w:rsidRPr="00BC081A" w:rsidRDefault="00332FAA" w:rsidP="00BD306F">
            <w:pPr>
              <w:pStyle w:val="TableContext"/>
              <w:rPr>
                <w:lang w:val="en-CA"/>
              </w:rPr>
            </w:pPr>
            <w:r w:rsidRPr="00BC081A">
              <w:rPr>
                <w:lang w:val="en-CA"/>
              </w:rPr>
              <w:t>0.031</w:t>
            </w:r>
          </w:p>
        </w:tc>
      </w:tr>
      <w:tr w:rsidR="00332FAA" w:rsidRPr="00BC081A" w14:paraId="63B5BDDD" w14:textId="77777777" w:rsidTr="008C71FB">
        <w:trPr>
          <w:trHeight w:val="300"/>
          <w:jc w:val="center"/>
        </w:trPr>
        <w:tc>
          <w:tcPr>
            <w:tcW w:w="1841" w:type="dxa"/>
            <w:shd w:val="clear" w:color="auto" w:fill="F2F2F2" w:themeFill="background1" w:themeFillShade="F2"/>
            <w:noWrap/>
            <w:vAlign w:val="bottom"/>
            <w:hideMark/>
          </w:tcPr>
          <w:p w14:paraId="6ADA2D59" w14:textId="25FF771B" w:rsidR="00332FAA" w:rsidRPr="00BC081A" w:rsidRDefault="005624B9" w:rsidP="00BD306F">
            <w:pPr>
              <w:pStyle w:val="TableContext"/>
              <w:rPr>
                <w:lang w:val="en-CA"/>
              </w:rPr>
            </w:pPr>
            <w:r w:rsidRPr="00BC081A">
              <w:rPr>
                <w:lang w:val="en-CA"/>
              </w:rPr>
              <w:t>DCompt</w:t>
            </w:r>
            <w:r w:rsidR="00332FAA" w:rsidRPr="00BC081A">
              <w:rPr>
                <w:lang w:val="en-CA"/>
              </w:rPr>
              <w:t>1</w:t>
            </w:r>
          </w:p>
        </w:tc>
        <w:tc>
          <w:tcPr>
            <w:tcW w:w="1266" w:type="dxa"/>
            <w:vAlign w:val="bottom"/>
          </w:tcPr>
          <w:p w14:paraId="6FF688C4" w14:textId="7531BE90" w:rsidR="00332FAA" w:rsidRPr="00BC081A" w:rsidRDefault="00332FAA" w:rsidP="00332FAA">
            <w:pPr>
              <w:pStyle w:val="TableContext"/>
              <w:rPr>
                <w:lang w:val="en-CA"/>
              </w:rPr>
            </w:pPr>
            <w:r w:rsidRPr="00BC081A">
              <w:rPr>
                <w:lang w:val="en-CA"/>
              </w:rPr>
              <w:t>0.484</w:t>
            </w:r>
          </w:p>
        </w:tc>
        <w:tc>
          <w:tcPr>
            <w:tcW w:w="1265" w:type="dxa"/>
            <w:vAlign w:val="bottom"/>
          </w:tcPr>
          <w:p w14:paraId="6BD6E6E9" w14:textId="1068847D" w:rsidR="00332FAA" w:rsidRPr="00BC081A" w:rsidRDefault="00332FAA" w:rsidP="00332FAA">
            <w:pPr>
              <w:pStyle w:val="TableContext"/>
              <w:rPr>
                <w:lang w:val="en-CA"/>
              </w:rPr>
            </w:pPr>
            <w:r w:rsidRPr="00BC081A">
              <w:rPr>
                <w:lang w:val="en-CA"/>
              </w:rPr>
              <w:t>0.001</w:t>
            </w:r>
          </w:p>
        </w:tc>
        <w:tc>
          <w:tcPr>
            <w:tcW w:w="1281" w:type="dxa"/>
            <w:vAlign w:val="bottom"/>
          </w:tcPr>
          <w:p w14:paraId="3C2BAD71" w14:textId="6F3553A5" w:rsidR="00332FAA" w:rsidRPr="00BC081A" w:rsidRDefault="00332FAA" w:rsidP="00BD306F">
            <w:pPr>
              <w:pStyle w:val="TableContext"/>
              <w:rPr>
                <w:lang w:val="en-CA"/>
              </w:rPr>
            </w:pPr>
            <w:r w:rsidRPr="00BC081A">
              <w:rPr>
                <w:lang w:val="en-CA"/>
              </w:rPr>
              <w:t>0.484</w:t>
            </w:r>
          </w:p>
        </w:tc>
        <w:tc>
          <w:tcPr>
            <w:tcW w:w="1265" w:type="dxa"/>
            <w:vAlign w:val="bottom"/>
          </w:tcPr>
          <w:p w14:paraId="5DFB2E95" w14:textId="41E59326" w:rsidR="00332FAA" w:rsidRPr="00BC081A" w:rsidRDefault="00332FAA" w:rsidP="00332FAA">
            <w:pPr>
              <w:pStyle w:val="TableContext"/>
              <w:rPr>
                <w:lang w:val="en-CA"/>
              </w:rPr>
            </w:pPr>
            <w:r w:rsidRPr="00BC081A">
              <w:rPr>
                <w:lang w:val="en-CA"/>
              </w:rPr>
              <w:t>0.077</w:t>
            </w:r>
          </w:p>
        </w:tc>
        <w:tc>
          <w:tcPr>
            <w:tcW w:w="1265" w:type="dxa"/>
            <w:vAlign w:val="bottom"/>
          </w:tcPr>
          <w:p w14:paraId="2EF174C8" w14:textId="1F4B0394"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F0A92FC" w14:textId="27E24803" w:rsidR="00332FAA" w:rsidRPr="00BC081A" w:rsidRDefault="00332FAA" w:rsidP="00BD306F">
            <w:pPr>
              <w:pStyle w:val="TableContext"/>
              <w:rPr>
                <w:lang w:val="en-CA"/>
              </w:rPr>
            </w:pPr>
            <w:r w:rsidRPr="00BC081A">
              <w:rPr>
                <w:lang w:val="en-CA"/>
              </w:rPr>
              <w:t>0.077</w:t>
            </w:r>
          </w:p>
        </w:tc>
      </w:tr>
      <w:tr w:rsidR="00332FAA" w:rsidRPr="00BC081A" w14:paraId="2B85D55D" w14:textId="77777777" w:rsidTr="008C71FB">
        <w:trPr>
          <w:trHeight w:val="300"/>
          <w:jc w:val="center"/>
        </w:trPr>
        <w:tc>
          <w:tcPr>
            <w:tcW w:w="1841" w:type="dxa"/>
            <w:shd w:val="clear" w:color="auto" w:fill="F2F2F2" w:themeFill="background1" w:themeFillShade="F2"/>
            <w:noWrap/>
            <w:vAlign w:val="bottom"/>
            <w:hideMark/>
          </w:tcPr>
          <w:p w14:paraId="4E41ABD7" w14:textId="2607D36B" w:rsidR="00332FAA" w:rsidRPr="00BC081A" w:rsidRDefault="005624B9" w:rsidP="00BD306F">
            <w:pPr>
              <w:pStyle w:val="TableContext"/>
              <w:rPr>
                <w:lang w:val="en-CA"/>
              </w:rPr>
            </w:pPr>
            <w:r w:rsidRPr="00BC081A">
              <w:rPr>
                <w:lang w:val="en-CA"/>
              </w:rPr>
              <w:t>DCompt</w:t>
            </w:r>
            <w:r w:rsidR="00332FAA" w:rsidRPr="00BC081A">
              <w:rPr>
                <w:lang w:val="en-CA"/>
              </w:rPr>
              <w:t>2</w:t>
            </w:r>
          </w:p>
        </w:tc>
        <w:tc>
          <w:tcPr>
            <w:tcW w:w="1266" w:type="dxa"/>
            <w:vAlign w:val="bottom"/>
          </w:tcPr>
          <w:p w14:paraId="2631F6ED" w14:textId="14AF71BA" w:rsidR="00332FAA" w:rsidRPr="00BC081A" w:rsidRDefault="00332FAA" w:rsidP="00332FAA">
            <w:pPr>
              <w:pStyle w:val="TableContext"/>
              <w:rPr>
                <w:lang w:val="en-CA"/>
              </w:rPr>
            </w:pPr>
            <w:r w:rsidRPr="00BC081A">
              <w:rPr>
                <w:lang w:val="en-CA"/>
              </w:rPr>
              <w:t>0.877</w:t>
            </w:r>
          </w:p>
        </w:tc>
        <w:tc>
          <w:tcPr>
            <w:tcW w:w="1265" w:type="dxa"/>
            <w:vAlign w:val="bottom"/>
          </w:tcPr>
          <w:p w14:paraId="048C7D96" w14:textId="29AA9688" w:rsidR="00332FAA" w:rsidRPr="00BC081A" w:rsidRDefault="00332FAA" w:rsidP="00332FAA">
            <w:pPr>
              <w:pStyle w:val="TableContext"/>
              <w:rPr>
                <w:lang w:val="en-CA"/>
              </w:rPr>
            </w:pPr>
            <w:r w:rsidRPr="00BC081A">
              <w:rPr>
                <w:lang w:val="en-CA"/>
              </w:rPr>
              <w:t>0.001</w:t>
            </w:r>
          </w:p>
        </w:tc>
        <w:tc>
          <w:tcPr>
            <w:tcW w:w="1281" w:type="dxa"/>
            <w:vAlign w:val="bottom"/>
          </w:tcPr>
          <w:p w14:paraId="6FF9A1E7" w14:textId="2E657028" w:rsidR="00332FAA" w:rsidRPr="00BC081A" w:rsidRDefault="00332FAA" w:rsidP="00BD306F">
            <w:pPr>
              <w:pStyle w:val="TableContext"/>
              <w:rPr>
                <w:lang w:val="en-CA"/>
              </w:rPr>
            </w:pPr>
            <w:r w:rsidRPr="00BC081A">
              <w:rPr>
                <w:lang w:val="en-CA"/>
              </w:rPr>
              <w:t>0.877</w:t>
            </w:r>
          </w:p>
        </w:tc>
        <w:tc>
          <w:tcPr>
            <w:tcW w:w="1265" w:type="dxa"/>
            <w:vAlign w:val="bottom"/>
          </w:tcPr>
          <w:p w14:paraId="41973BEF" w14:textId="1BD51863" w:rsidR="00332FAA" w:rsidRPr="00BC081A" w:rsidRDefault="00332FAA" w:rsidP="00332FAA">
            <w:pPr>
              <w:pStyle w:val="TableContext"/>
              <w:rPr>
                <w:lang w:val="en-CA"/>
              </w:rPr>
            </w:pPr>
            <w:r w:rsidRPr="00BC081A">
              <w:rPr>
                <w:lang w:val="en-CA"/>
              </w:rPr>
              <w:t>0.003</w:t>
            </w:r>
          </w:p>
        </w:tc>
        <w:tc>
          <w:tcPr>
            <w:tcW w:w="1265" w:type="dxa"/>
            <w:vAlign w:val="bottom"/>
          </w:tcPr>
          <w:p w14:paraId="7BC23DF5" w14:textId="59155CB7"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86A27CE" w14:textId="0019E065" w:rsidR="00332FAA" w:rsidRPr="00BC081A" w:rsidRDefault="00332FAA" w:rsidP="00BD306F">
            <w:pPr>
              <w:pStyle w:val="TableContext"/>
              <w:rPr>
                <w:lang w:val="en-CA"/>
              </w:rPr>
            </w:pPr>
            <w:r w:rsidRPr="00BC081A">
              <w:rPr>
                <w:lang w:val="en-CA"/>
              </w:rPr>
              <w:t>0.003</w:t>
            </w:r>
          </w:p>
        </w:tc>
      </w:tr>
      <w:tr w:rsidR="00332FAA" w:rsidRPr="00BC081A" w14:paraId="1750FF41" w14:textId="77777777" w:rsidTr="008C71FB">
        <w:trPr>
          <w:trHeight w:val="300"/>
          <w:jc w:val="center"/>
        </w:trPr>
        <w:tc>
          <w:tcPr>
            <w:tcW w:w="1841" w:type="dxa"/>
            <w:shd w:val="clear" w:color="auto" w:fill="F2F2F2" w:themeFill="background1" w:themeFillShade="F2"/>
            <w:noWrap/>
            <w:vAlign w:val="bottom"/>
            <w:hideMark/>
          </w:tcPr>
          <w:p w14:paraId="48572E38" w14:textId="4A58083E" w:rsidR="00332FAA" w:rsidRPr="00BC081A" w:rsidRDefault="005624B9" w:rsidP="00BD306F">
            <w:pPr>
              <w:pStyle w:val="TableContext"/>
              <w:rPr>
                <w:lang w:val="en-CA"/>
              </w:rPr>
            </w:pPr>
            <w:r w:rsidRPr="00BC081A">
              <w:rPr>
                <w:lang w:val="en-CA"/>
              </w:rPr>
              <w:t>DCompt</w:t>
            </w:r>
            <w:r w:rsidR="00332FAA" w:rsidRPr="00BC081A">
              <w:rPr>
                <w:lang w:val="en-CA"/>
              </w:rPr>
              <w:t>3</w:t>
            </w:r>
          </w:p>
        </w:tc>
        <w:tc>
          <w:tcPr>
            <w:tcW w:w="1266" w:type="dxa"/>
            <w:vAlign w:val="bottom"/>
          </w:tcPr>
          <w:p w14:paraId="126323A2" w14:textId="105DAE75" w:rsidR="00332FAA" w:rsidRPr="00BC081A" w:rsidRDefault="00332FAA" w:rsidP="00332FAA">
            <w:pPr>
              <w:pStyle w:val="TableContext"/>
              <w:rPr>
                <w:lang w:val="en-CA"/>
              </w:rPr>
            </w:pPr>
            <w:r w:rsidRPr="00BC081A">
              <w:rPr>
                <w:lang w:val="en-CA"/>
              </w:rPr>
              <w:t>0.861</w:t>
            </w:r>
          </w:p>
        </w:tc>
        <w:tc>
          <w:tcPr>
            <w:tcW w:w="1265" w:type="dxa"/>
            <w:vAlign w:val="bottom"/>
          </w:tcPr>
          <w:p w14:paraId="3B1F3235" w14:textId="74FA8A2E" w:rsidR="00332FAA" w:rsidRPr="00BC081A" w:rsidRDefault="00332FAA" w:rsidP="00332FAA">
            <w:pPr>
              <w:pStyle w:val="TableContext"/>
              <w:rPr>
                <w:lang w:val="en-CA"/>
              </w:rPr>
            </w:pPr>
            <w:r w:rsidRPr="00BC081A">
              <w:rPr>
                <w:lang w:val="en-CA"/>
              </w:rPr>
              <w:t>0.001</w:t>
            </w:r>
          </w:p>
        </w:tc>
        <w:tc>
          <w:tcPr>
            <w:tcW w:w="1281" w:type="dxa"/>
            <w:vAlign w:val="bottom"/>
          </w:tcPr>
          <w:p w14:paraId="628607D1" w14:textId="1CBA88CF" w:rsidR="00332FAA" w:rsidRPr="00BC081A" w:rsidRDefault="00332FAA" w:rsidP="00BD306F">
            <w:pPr>
              <w:pStyle w:val="TableContext"/>
              <w:rPr>
                <w:lang w:val="en-CA"/>
              </w:rPr>
            </w:pPr>
            <w:r w:rsidRPr="00BC081A">
              <w:rPr>
                <w:lang w:val="en-CA"/>
              </w:rPr>
              <w:t>0.861</w:t>
            </w:r>
          </w:p>
        </w:tc>
        <w:tc>
          <w:tcPr>
            <w:tcW w:w="1265" w:type="dxa"/>
            <w:vAlign w:val="bottom"/>
          </w:tcPr>
          <w:p w14:paraId="5D26456A" w14:textId="2392AEA6" w:rsidR="00332FAA" w:rsidRPr="00BC081A" w:rsidRDefault="00332FAA" w:rsidP="00332FAA">
            <w:pPr>
              <w:pStyle w:val="TableContext"/>
              <w:rPr>
                <w:lang w:val="en-CA"/>
              </w:rPr>
            </w:pPr>
            <w:r w:rsidRPr="00BC081A">
              <w:rPr>
                <w:lang w:val="en-CA"/>
              </w:rPr>
              <w:t>-0.082</w:t>
            </w:r>
          </w:p>
        </w:tc>
        <w:tc>
          <w:tcPr>
            <w:tcW w:w="1265" w:type="dxa"/>
            <w:vAlign w:val="bottom"/>
          </w:tcPr>
          <w:p w14:paraId="70FEE60C" w14:textId="4D42EBCC"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53950797" w14:textId="65CFD3D8" w:rsidR="00332FAA" w:rsidRPr="00BC081A" w:rsidRDefault="00332FAA" w:rsidP="00BD306F">
            <w:pPr>
              <w:pStyle w:val="TableContext"/>
              <w:rPr>
                <w:lang w:val="en-CA"/>
              </w:rPr>
            </w:pPr>
            <w:r w:rsidRPr="00BC081A">
              <w:rPr>
                <w:lang w:val="en-CA"/>
              </w:rPr>
              <w:t>-0.082</w:t>
            </w:r>
          </w:p>
        </w:tc>
      </w:tr>
      <w:tr w:rsidR="00332FAA" w:rsidRPr="00BC081A" w14:paraId="054876A5" w14:textId="77777777" w:rsidTr="008C71FB">
        <w:trPr>
          <w:trHeight w:val="300"/>
          <w:jc w:val="center"/>
        </w:trPr>
        <w:tc>
          <w:tcPr>
            <w:tcW w:w="1841" w:type="dxa"/>
            <w:shd w:val="clear" w:color="auto" w:fill="F2F2F2" w:themeFill="background1" w:themeFillShade="F2"/>
            <w:noWrap/>
            <w:vAlign w:val="bottom"/>
            <w:hideMark/>
          </w:tcPr>
          <w:p w14:paraId="195D1A76" w14:textId="10FCD807" w:rsidR="00332FAA" w:rsidRPr="00BC081A" w:rsidRDefault="005624B9" w:rsidP="00BD306F">
            <w:pPr>
              <w:pStyle w:val="TableContext"/>
              <w:rPr>
                <w:lang w:val="en-CA"/>
              </w:rPr>
            </w:pPr>
            <w:r w:rsidRPr="00BC081A">
              <w:rPr>
                <w:lang w:val="en-CA"/>
              </w:rPr>
              <w:t>DCompt</w:t>
            </w:r>
            <w:r w:rsidR="00332FAA" w:rsidRPr="00BC081A">
              <w:rPr>
                <w:lang w:val="en-CA"/>
              </w:rPr>
              <w:t>4</w:t>
            </w:r>
          </w:p>
        </w:tc>
        <w:tc>
          <w:tcPr>
            <w:tcW w:w="1266" w:type="dxa"/>
            <w:vAlign w:val="bottom"/>
          </w:tcPr>
          <w:p w14:paraId="30F5E4D6" w14:textId="4A93F215" w:rsidR="00332FAA" w:rsidRPr="00BC081A" w:rsidRDefault="00332FAA" w:rsidP="00332FAA">
            <w:pPr>
              <w:pStyle w:val="TableContext"/>
              <w:rPr>
                <w:lang w:val="en-CA"/>
              </w:rPr>
            </w:pPr>
            <w:r w:rsidRPr="00BC081A">
              <w:rPr>
                <w:lang w:val="en-CA"/>
              </w:rPr>
              <w:t>0.798</w:t>
            </w:r>
          </w:p>
        </w:tc>
        <w:tc>
          <w:tcPr>
            <w:tcW w:w="1265" w:type="dxa"/>
            <w:vAlign w:val="bottom"/>
          </w:tcPr>
          <w:p w14:paraId="4AD4B81F" w14:textId="28BAF4B5" w:rsidR="00332FAA" w:rsidRPr="00BC081A" w:rsidRDefault="00332FAA" w:rsidP="00332FAA">
            <w:pPr>
              <w:pStyle w:val="TableContext"/>
              <w:rPr>
                <w:lang w:val="en-CA"/>
              </w:rPr>
            </w:pPr>
            <w:r w:rsidRPr="00BC081A">
              <w:rPr>
                <w:lang w:val="en-CA"/>
              </w:rPr>
              <w:t>0.001</w:t>
            </w:r>
          </w:p>
        </w:tc>
        <w:tc>
          <w:tcPr>
            <w:tcW w:w="1281" w:type="dxa"/>
            <w:vAlign w:val="bottom"/>
          </w:tcPr>
          <w:p w14:paraId="13DE0243" w14:textId="36D60042" w:rsidR="00332FAA" w:rsidRPr="00BC081A" w:rsidRDefault="00332FAA" w:rsidP="00BD306F">
            <w:pPr>
              <w:pStyle w:val="TableContext"/>
              <w:rPr>
                <w:lang w:val="en-CA"/>
              </w:rPr>
            </w:pPr>
            <w:r w:rsidRPr="00BC081A">
              <w:rPr>
                <w:lang w:val="en-CA"/>
              </w:rPr>
              <w:t>0.798</w:t>
            </w:r>
          </w:p>
        </w:tc>
        <w:tc>
          <w:tcPr>
            <w:tcW w:w="1265" w:type="dxa"/>
            <w:vAlign w:val="bottom"/>
          </w:tcPr>
          <w:p w14:paraId="1B85F1EF" w14:textId="1B5CD49E" w:rsidR="00332FAA" w:rsidRPr="00BC081A" w:rsidRDefault="00332FAA" w:rsidP="00332FAA">
            <w:pPr>
              <w:pStyle w:val="TableContext"/>
              <w:rPr>
                <w:lang w:val="en-CA"/>
              </w:rPr>
            </w:pPr>
            <w:r w:rsidRPr="00BC081A">
              <w:rPr>
                <w:lang w:val="en-CA"/>
              </w:rPr>
              <w:t>-0.057</w:t>
            </w:r>
          </w:p>
        </w:tc>
        <w:tc>
          <w:tcPr>
            <w:tcW w:w="1265" w:type="dxa"/>
            <w:vAlign w:val="bottom"/>
          </w:tcPr>
          <w:p w14:paraId="24816F10" w14:textId="53556D44"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23CCDD09" w14:textId="7DCC5FBA" w:rsidR="00332FAA" w:rsidRPr="00BC081A" w:rsidRDefault="00332FAA" w:rsidP="00BD306F">
            <w:pPr>
              <w:pStyle w:val="TableContext"/>
              <w:rPr>
                <w:lang w:val="en-CA"/>
              </w:rPr>
            </w:pPr>
            <w:r w:rsidRPr="00BC081A">
              <w:rPr>
                <w:lang w:val="en-CA"/>
              </w:rPr>
              <w:t>-0.057</w:t>
            </w:r>
          </w:p>
        </w:tc>
      </w:tr>
      <w:tr w:rsidR="00332FAA" w:rsidRPr="00BC081A" w14:paraId="3BDEA958" w14:textId="77777777" w:rsidTr="008C71FB">
        <w:trPr>
          <w:trHeight w:val="300"/>
          <w:jc w:val="center"/>
        </w:trPr>
        <w:tc>
          <w:tcPr>
            <w:tcW w:w="1841" w:type="dxa"/>
            <w:shd w:val="clear" w:color="auto" w:fill="F2F2F2" w:themeFill="background1" w:themeFillShade="F2"/>
            <w:noWrap/>
            <w:vAlign w:val="bottom"/>
            <w:hideMark/>
          </w:tcPr>
          <w:p w14:paraId="47FC3949" w14:textId="264749EF" w:rsidR="00332FAA" w:rsidRPr="00BC081A" w:rsidRDefault="005624B9" w:rsidP="00BD306F">
            <w:pPr>
              <w:pStyle w:val="TableContext"/>
              <w:rPr>
                <w:lang w:val="en-CA"/>
              </w:rPr>
            </w:pPr>
            <w:r w:rsidRPr="00BC081A">
              <w:rPr>
                <w:lang w:val="en-CA"/>
              </w:rPr>
              <w:t>DCompt</w:t>
            </w:r>
            <w:r w:rsidR="00332FAA" w:rsidRPr="00BC081A">
              <w:rPr>
                <w:lang w:val="en-CA"/>
              </w:rPr>
              <w:t>5</w:t>
            </w:r>
          </w:p>
        </w:tc>
        <w:tc>
          <w:tcPr>
            <w:tcW w:w="1266" w:type="dxa"/>
            <w:vAlign w:val="bottom"/>
          </w:tcPr>
          <w:p w14:paraId="3BA67818" w14:textId="274A9EDE" w:rsidR="00332FAA" w:rsidRPr="00BC081A" w:rsidRDefault="00332FAA" w:rsidP="00332FAA">
            <w:pPr>
              <w:pStyle w:val="TableContext"/>
              <w:rPr>
                <w:lang w:val="en-CA"/>
              </w:rPr>
            </w:pPr>
            <w:r w:rsidRPr="00BC081A">
              <w:rPr>
                <w:lang w:val="en-CA"/>
              </w:rPr>
              <w:t>0.702</w:t>
            </w:r>
          </w:p>
        </w:tc>
        <w:tc>
          <w:tcPr>
            <w:tcW w:w="1265" w:type="dxa"/>
            <w:vAlign w:val="bottom"/>
          </w:tcPr>
          <w:p w14:paraId="1E087349" w14:textId="74BD7FB0" w:rsidR="00332FAA" w:rsidRPr="00BC081A" w:rsidRDefault="00332FAA" w:rsidP="00332FAA">
            <w:pPr>
              <w:pStyle w:val="TableContext"/>
              <w:rPr>
                <w:lang w:val="en-CA"/>
              </w:rPr>
            </w:pPr>
            <w:r w:rsidRPr="00BC081A">
              <w:rPr>
                <w:lang w:val="en-CA"/>
              </w:rPr>
              <w:t>0.001</w:t>
            </w:r>
          </w:p>
        </w:tc>
        <w:tc>
          <w:tcPr>
            <w:tcW w:w="1281" w:type="dxa"/>
            <w:vAlign w:val="bottom"/>
          </w:tcPr>
          <w:p w14:paraId="50DC0362" w14:textId="5DA8566D" w:rsidR="00332FAA" w:rsidRPr="00BC081A" w:rsidRDefault="00332FAA" w:rsidP="00BD306F">
            <w:pPr>
              <w:pStyle w:val="TableContext"/>
              <w:rPr>
                <w:lang w:val="en-CA"/>
              </w:rPr>
            </w:pPr>
            <w:r w:rsidRPr="00BC081A">
              <w:rPr>
                <w:lang w:val="en-CA"/>
              </w:rPr>
              <w:t>0.702</w:t>
            </w:r>
          </w:p>
        </w:tc>
        <w:tc>
          <w:tcPr>
            <w:tcW w:w="1265" w:type="dxa"/>
            <w:vAlign w:val="bottom"/>
          </w:tcPr>
          <w:p w14:paraId="7CC0D024" w14:textId="0F4DA891" w:rsidR="00332FAA" w:rsidRPr="00BC081A" w:rsidRDefault="00332FAA" w:rsidP="00332FAA">
            <w:pPr>
              <w:pStyle w:val="TableContext"/>
              <w:rPr>
                <w:lang w:val="en-CA"/>
              </w:rPr>
            </w:pPr>
            <w:r w:rsidRPr="00BC081A">
              <w:rPr>
                <w:lang w:val="en-CA"/>
              </w:rPr>
              <w:t>0.095</w:t>
            </w:r>
          </w:p>
        </w:tc>
        <w:tc>
          <w:tcPr>
            <w:tcW w:w="1265" w:type="dxa"/>
            <w:vAlign w:val="bottom"/>
          </w:tcPr>
          <w:p w14:paraId="3A2FFE46" w14:textId="31487481"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322E78D7" w14:textId="148E8278" w:rsidR="00332FAA" w:rsidRPr="00BC081A" w:rsidRDefault="00332FAA" w:rsidP="00BD306F">
            <w:pPr>
              <w:pStyle w:val="TableContext"/>
              <w:rPr>
                <w:lang w:val="en-CA"/>
              </w:rPr>
            </w:pPr>
            <w:r w:rsidRPr="00BC081A">
              <w:rPr>
                <w:lang w:val="en-CA"/>
              </w:rPr>
              <w:t>0.095</w:t>
            </w:r>
          </w:p>
        </w:tc>
      </w:tr>
      <w:tr w:rsidR="00332FAA" w:rsidRPr="00BC081A" w14:paraId="465F1BB4" w14:textId="77777777" w:rsidTr="008C71FB">
        <w:trPr>
          <w:trHeight w:val="300"/>
          <w:jc w:val="center"/>
        </w:trPr>
        <w:tc>
          <w:tcPr>
            <w:tcW w:w="1841" w:type="dxa"/>
            <w:shd w:val="clear" w:color="auto" w:fill="F2F2F2" w:themeFill="background1" w:themeFillShade="F2"/>
            <w:noWrap/>
            <w:vAlign w:val="bottom"/>
            <w:hideMark/>
          </w:tcPr>
          <w:p w14:paraId="68137B9E" w14:textId="77777777" w:rsidR="00332FAA" w:rsidRPr="00BC081A" w:rsidRDefault="00332FAA" w:rsidP="00BD306F">
            <w:pPr>
              <w:pStyle w:val="TableContext"/>
              <w:rPr>
                <w:lang w:val="en-CA"/>
              </w:rPr>
            </w:pPr>
            <w:r w:rsidRPr="00BC081A">
              <w:rPr>
                <w:lang w:val="en-CA"/>
              </w:rPr>
              <w:t>FI1</w:t>
            </w:r>
          </w:p>
        </w:tc>
        <w:tc>
          <w:tcPr>
            <w:tcW w:w="1266" w:type="dxa"/>
            <w:vAlign w:val="bottom"/>
          </w:tcPr>
          <w:p w14:paraId="231D9B1A" w14:textId="24D8895C" w:rsidR="00332FAA" w:rsidRPr="00BC081A" w:rsidRDefault="00332FAA" w:rsidP="00332FAA">
            <w:pPr>
              <w:pStyle w:val="TableContext"/>
              <w:rPr>
                <w:lang w:val="en-CA"/>
              </w:rPr>
            </w:pPr>
            <w:r w:rsidRPr="00BC081A">
              <w:rPr>
                <w:lang w:val="en-CA"/>
              </w:rPr>
              <w:t>0.877</w:t>
            </w:r>
          </w:p>
        </w:tc>
        <w:tc>
          <w:tcPr>
            <w:tcW w:w="1265" w:type="dxa"/>
            <w:vAlign w:val="bottom"/>
          </w:tcPr>
          <w:p w14:paraId="13426D49" w14:textId="221A632B" w:rsidR="00332FAA" w:rsidRPr="00BC081A" w:rsidRDefault="00332FAA" w:rsidP="00332FAA">
            <w:pPr>
              <w:pStyle w:val="TableContext"/>
              <w:rPr>
                <w:lang w:val="en-CA"/>
              </w:rPr>
            </w:pPr>
            <w:r w:rsidRPr="00BC081A">
              <w:rPr>
                <w:lang w:val="en-CA"/>
              </w:rPr>
              <w:t>0.001</w:t>
            </w:r>
          </w:p>
        </w:tc>
        <w:tc>
          <w:tcPr>
            <w:tcW w:w="1281" w:type="dxa"/>
            <w:vAlign w:val="bottom"/>
          </w:tcPr>
          <w:p w14:paraId="3233432E" w14:textId="453B6946" w:rsidR="00332FAA" w:rsidRPr="00BC081A" w:rsidRDefault="00332FAA" w:rsidP="00BD306F">
            <w:pPr>
              <w:pStyle w:val="TableContext"/>
              <w:rPr>
                <w:lang w:val="en-CA"/>
              </w:rPr>
            </w:pPr>
            <w:r w:rsidRPr="00BC081A">
              <w:rPr>
                <w:lang w:val="en-CA"/>
              </w:rPr>
              <w:t>0.877</w:t>
            </w:r>
          </w:p>
        </w:tc>
        <w:tc>
          <w:tcPr>
            <w:tcW w:w="1265" w:type="dxa"/>
            <w:vAlign w:val="bottom"/>
          </w:tcPr>
          <w:p w14:paraId="29F98E6C" w14:textId="43AA4AAF" w:rsidR="00332FAA" w:rsidRPr="00BC081A" w:rsidRDefault="00332FAA" w:rsidP="00332FAA">
            <w:pPr>
              <w:pStyle w:val="TableContext"/>
              <w:rPr>
                <w:lang w:val="en-CA"/>
              </w:rPr>
            </w:pPr>
            <w:r w:rsidRPr="00BC081A">
              <w:rPr>
                <w:lang w:val="en-CA"/>
              </w:rPr>
              <w:t>0.009</w:t>
            </w:r>
          </w:p>
        </w:tc>
        <w:tc>
          <w:tcPr>
            <w:tcW w:w="1265" w:type="dxa"/>
            <w:vAlign w:val="bottom"/>
          </w:tcPr>
          <w:p w14:paraId="0AC9E511" w14:textId="770002E6"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E7A56C1" w14:textId="5E3AA49C" w:rsidR="00332FAA" w:rsidRPr="00BC081A" w:rsidRDefault="00332FAA" w:rsidP="00BD306F">
            <w:pPr>
              <w:pStyle w:val="TableContext"/>
              <w:rPr>
                <w:lang w:val="en-CA"/>
              </w:rPr>
            </w:pPr>
            <w:r w:rsidRPr="00BC081A">
              <w:rPr>
                <w:lang w:val="en-CA"/>
              </w:rPr>
              <w:t>0.029</w:t>
            </w:r>
          </w:p>
        </w:tc>
      </w:tr>
      <w:tr w:rsidR="00332FAA" w:rsidRPr="00BC081A" w14:paraId="38BA3FA5" w14:textId="77777777" w:rsidTr="008C71FB">
        <w:trPr>
          <w:trHeight w:val="300"/>
          <w:jc w:val="center"/>
        </w:trPr>
        <w:tc>
          <w:tcPr>
            <w:tcW w:w="1841" w:type="dxa"/>
            <w:shd w:val="clear" w:color="auto" w:fill="F2F2F2" w:themeFill="background1" w:themeFillShade="F2"/>
            <w:noWrap/>
            <w:vAlign w:val="bottom"/>
            <w:hideMark/>
          </w:tcPr>
          <w:p w14:paraId="49B6B051" w14:textId="77777777" w:rsidR="00332FAA" w:rsidRPr="00BC081A" w:rsidRDefault="00332FAA" w:rsidP="00BD306F">
            <w:pPr>
              <w:pStyle w:val="TableContext"/>
              <w:rPr>
                <w:lang w:val="en-CA"/>
              </w:rPr>
            </w:pPr>
            <w:r w:rsidRPr="00BC081A">
              <w:rPr>
                <w:lang w:val="en-CA"/>
              </w:rPr>
              <w:t>FI3</w:t>
            </w:r>
          </w:p>
        </w:tc>
        <w:tc>
          <w:tcPr>
            <w:tcW w:w="1266" w:type="dxa"/>
            <w:vAlign w:val="bottom"/>
          </w:tcPr>
          <w:p w14:paraId="7A555051" w14:textId="695B2CCE" w:rsidR="00332FAA" w:rsidRPr="00BC081A" w:rsidRDefault="00332FAA" w:rsidP="00332FAA">
            <w:pPr>
              <w:pStyle w:val="TableContext"/>
              <w:rPr>
                <w:lang w:val="en-CA"/>
              </w:rPr>
            </w:pPr>
            <w:r w:rsidRPr="00BC081A">
              <w:rPr>
                <w:lang w:val="en-CA"/>
              </w:rPr>
              <w:t>0.876</w:t>
            </w:r>
          </w:p>
        </w:tc>
        <w:tc>
          <w:tcPr>
            <w:tcW w:w="1265" w:type="dxa"/>
            <w:vAlign w:val="bottom"/>
          </w:tcPr>
          <w:p w14:paraId="743F55EA" w14:textId="69D2BFE9" w:rsidR="00332FAA" w:rsidRPr="00BC081A" w:rsidRDefault="00332FAA" w:rsidP="00332FAA">
            <w:pPr>
              <w:pStyle w:val="TableContext"/>
              <w:rPr>
                <w:lang w:val="en-CA"/>
              </w:rPr>
            </w:pPr>
            <w:r w:rsidRPr="00BC081A">
              <w:rPr>
                <w:lang w:val="en-CA"/>
              </w:rPr>
              <w:t>0.001</w:t>
            </w:r>
          </w:p>
        </w:tc>
        <w:tc>
          <w:tcPr>
            <w:tcW w:w="1281" w:type="dxa"/>
            <w:vAlign w:val="bottom"/>
          </w:tcPr>
          <w:p w14:paraId="1F63B1F5" w14:textId="76674E9A" w:rsidR="00332FAA" w:rsidRPr="00BC081A" w:rsidRDefault="00332FAA" w:rsidP="00BD306F">
            <w:pPr>
              <w:pStyle w:val="TableContext"/>
              <w:rPr>
                <w:lang w:val="en-CA"/>
              </w:rPr>
            </w:pPr>
            <w:r w:rsidRPr="00BC081A">
              <w:rPr>
                <w:lang w:val="en-CA"/>
              </w:rPr>
              <w:t>0.876</w:t>
            </w:r>
          </w:p>
        </w:tc>
        <w:tc>
          <w:tcPr>
            <w:tcW w:w="1265" w:type="dxa"/>
            <w:vAlign w:val="bottom"/>
          </w:tcPr>
          <w:p w14:paraId="63C4C69B" w14:textId="567C1DE6" w:rsidR="00332FAA" w:rsidRPr="00BC081A" w:rsidRDefault="00332FAA" w:rsidP="00332FAA">
            <w:pPr>
              <w:pStyle w:val="TableContext"/>
              <w:rPr>
                <w:lang w:val="en-CA"/>
              </w:rPr>
            </w:pPr>
            <w:r w:rsidRPr="00BC081A">
              <w:rPr>
                <w:lang w:val="en-CA"/>
              </w:rPr>
              <w:t>-0.009</w:t>
            </w:r>
          </w:p>
        </w:tc>
        <w:tc>
          <w:tcPr>
            <w:tcW w:w="1265" w:type="dxa"/>
            <w:vAlign w:val="bottom"/>
          </w:tcPr>
          <w:p w14:paraId="1745E9D2" w14:textId="7293F391"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0096EACC" w14:textId="7E658255" w:rsidR="00332FAA" w:rsidRPr="00BC081A" w:rsidRDefault="00332FAA" w:rsidP="00BD306F">
            <w:pPr>
              <w:pStyle w:val="TableContext"/>
              <w:rPr>
                <w:lang w:val="en-CA"/>
              </w:rPr>
            </w:pPr>
            <w:r w:rsidRPr="00BC081A">
              <w:rPr>
                <w:lang w:val="en-CA"/>
              </w:rPr>
              <w:t>0.011</w:t>
            </w:r>
          </w:p>
        </w:tc>
      </w:tr>
      <w:tr w:rsidR="00332FAA" w:rsidRPr="00BC081A" w14:paraId="48A50CFA" w14:textId="77777777" w:rsidTr="008C71FB">
        <w:trPr>
          <w:trHeight w:val="300"/>
          <w:jc w:val="center"/>
        </w:trPr>
        <w:tc>
          <w:tcPr>
            <w:tcW w:w="1841" w:type="dxa"/>
            <w:shd w:val="clear" w:color="auto" w:fill="F2F2F2" w:themeFill="background1" w:themeFillShade="F2"/>
            <w:noWrap/>
            <w:vAlign w:val="bottom"/>
            <w:hideMark/>
          </w:tcPr>
          <w:p w14:paraId="5A723651" w14:textId="77777777" w:rsidR="00332FAA" w:rsidRPr="00BC081A" w:rsidRDefault="00332FAA" w:rsidP="00BD306F">
            <w:pPr>
              <w:pStyle w:val="TableContext"/>
              <w:rPr>
                <w:lang w:val="en-CA"/>
              </w:rPr>
            </w:pPr>
            <w:r w:rsidRPr="00BC081A">
              <w:rPr>
                <w:lang w:val="en-CA"/>
              </w:rPr>
              <w:t>HE2</w:t>
            </w:r>
          </w:p>
        </w:tc>
        <w:tc>
          <w:tcPr>
            <w:tcW w:w="1266" w:type="dxa"/>
            <w:vAlign w:val="bottom"/>
          </w:tcPr>
          <w:p w14:paraId="78B1C714" w14:textId="79BFE964" w:rsidR="00332FAA" w:rsidRPr="00BC081A" w:rsidRDefault="00332FAA" w:rsidP="00332FAA">
            <w:pPr>
              <w:pStyle w:val="TableContext"/>
              <w:rPr>
                <w:lang w:val="en-CA"/>
              </w:rPr>
            </w:pPr>
            <w:r w:rsidRPr="00BC081A">
              <w:rPr>
                <w:lang w:val="en-CA"/>
              </w:rPr>
              <w:t>0.768</w:t>
            </w:r>
          </w:p>
        </w:tc>
        <w:tc>
          <w:tcPr>
            <w:tcW w:w="1265" w:type="dxa"/>
            <w:vAlign w:val="bottom"/>
          </w:tcPr>
          <w:p w14:paraId="677ED62F" w14:textId="52699C49" w:rsidR="00332FAA" w:rsidRPr="00BC081A" w:rsidRDefault="00332FAA" w:rsidP="00332FAA">
            <w:pPr>
              <w:pStyle w:val="TableContext"/>
              <w:rPr>
                <w:lang w:val="en-CA"/>
              </w:rPr>
            </w:pPr>
            <w:r w:rsidRPr="00BC081A">
              <w:rPr>
                <w:lang w:val="en-CA"/>
              </w:rPr>
              <w:t>0.001</w:t>
            </w:r>
          </w:p>
        </w:tc>
        <w:tc>
          <w:tcPr>
            <w:tcW w:w="1281" w:type="dxa"/>
            <w:vAlign w:val="bottom"/>
          </w:tcPr>
          <w:p w14:paraId="5D24B056" w14:textId="5F76B15B" w:rsidR="00332FAA" w:rsidRPr="00BC081A" w:rsidRDefault="00332FAA" w:rsidP="00BD306F">
            <w:pPr>
              <w:pStyle w:val="TableContext"/>
              <w:rPr>
                <w:lang w:val="en-CA"/>
              </w:rPr>
            </w:pPr>
            <w:r w:rsidRPr="00BC081A">
              <w:rPr>
                <w:lang w:val="en-CA"/>
              </w:rPr>
              <w:t>0.768</w:t>
            </w:r>
          </w:p>
        </w:tc>
        <w:tc>
          <w:tcPr>
            <w:tcW w:w="1265" w:type="dxa"/>
            <w:vAlign w:val="bottom"/>
          </w:tcPr>
          <w:p w14:paraId="3266EBDB" w14:textId="271D6B72" w:rsidR="00332FAA" w:rsidRPr="00BC081A" w:rsidRDefault="00332FAA" w:rsidP="00332FAA">
            <w:pPr>
              <w:pStyle w:val="TableContext"/>
              <w:rPr>
                <w:lang w:val="en-CA"/>
              </w:rPr>
            </w:pPr>
            <w:r w:rsidRPr="00BC081A">
              <w:rPr>
                <w:lang w:val="en-CA"/>
              </w:rPr>
              <w:t>0.189</w:t>
            </w:r>
          </w:p>
        </w:tc>
        <w:tc>
          <w:tcPr>
            <w:tcW w:w="1265" w:type="dxa"/>
            <w:vAlign w:val="bottom"/>
          </w:tcPr>
          <w:p w14:paraId="1D65F1AE" w14:textId="2EAFBDEC" w:rsidR="00332FAA" w:rsidRPr="00BC081A" w:rsidRDefault="00332FAA" w:rsidP="00332FAA">
            <w:pPr>
              <w:pStyle w:val="TableContext"/>
              <w:rPr>
                <w:lang w:val="en-CA"/>
              </w:rPr>
            </w:pPr>
            <w:r w:rsidRPr="00BC081A">
              <w:rPr>
                <w:lang w:val="en-CA"/>
              </w:rPr>
              <w:t>0.010</w:t>
            </w:r>
          </w:p>
        </w:tc>
        <w:tc>
          <w:tcPr>
            <w:tcW w:w="1300" w:type="dxa"/>
            <w:shd w:val="clear" w:color="auto" w:fill="auto"/>
            <w:noWrap/>
            <w:vAlign w:val="bottom"/>
            <w:hideMark/>
          </w:tcPr>
          <w:p w14:paraId="6A9A9DCF" w14:textId="2AABD70E" w:rsidR="00332FAA" w:rsidRPr="00BC081A" w:rsidRDefault="00332FAA" w:rsidP="00BD306F">
            <w:pPr>
              <w:pStyle w:val="TableContext"/>
              <w:rPr>
                <w:lang w:val="en-CA"/>
              </w:rPr>
            </w:pPr>
            <w:r w:rsidRPr="00BC081A">
              <w:rPr>
                <w:lang w:val="en-CA"/>
              </w:rPr>
              <w:t>0.219</w:t>
            </w:r>
          </w:p>
        </w:tc>
      </w:tr>
      <w:tr w:rsidR="00332FAA" w:rsidRPr="00BC081A" w14:paraId="28E207E9" w14:textId="77777777" w:rsidTr="008C71FB">
        <w:trPr>
          <w:trHeight w:val="300"/>
          <w:jc w:val="center"/>
        </w:trPr>
        <w:tc>
          <w:tcPr>
            <w:tcW w:w="1841" w:type="dxa"/>
            <w:shd w:val="clear" w:color="auto" w:fill="F2F2F2" w:themeFill="background1" w:themeFillShade="F2"/>
            <w:noWrap/>
            <w:vAlign w:val="bottom"/>
            <w:hideMark/>
          </w:tcPr>
          <w:p w14:paraId="7EEFB98B" w14:textId="77777777" w:rsidR="00332FAA" w:rsidRPr="00BC081A" w:rsidRDefault="00332FAA" w:rsidP="00BD306F">
            <w:pPr>
              <w:pStyle w:val="TableContext"/>
              <w:rPr>
                <w:lang w:val="en-CA"/>
              </w:rPr>
            </w:pPr>
            <w:r w:rsidRPr="00BC081A">
              <w:rPr>
                <w:lang w:val="en-CA"/>
              </w:rPr>
              <w:t>HE3</w:t>
            </w:r>
          </w:p>
        </w:tc>
        <w:tc>
          <w:tcPr>
            <w:tcW w:w="1266" w:type="dxa"/>
            <w:vAlign w:val="bottom"/>
          </w:tcPr>
          <w:p w14:paraId="4C4B8F23" w14:textId="389D7935" w:rsidR="00332FAA" w:rsidRPr="00BC081A" w:rsidRDefault="00332FAA" w:rsidP="00332FAA">
            <w:pPr>
              <w:pStyle w:val="TableContext"/>
              <w:rPr>
                <w:lang w:val="en-CA"/>
              </w:rPr>
            </w:pPr>
            <w:r w:rsidRPr="00BC081A">
              <w:rPr>
                <w:lang w:val="en-CA"/>
              </w:rPr>
              <w:t>0.977</w:t>
            </w:r>
          </w:p>
        </w:tc>
        <w:tc>
          <w:tcPr>
            <w:tcW w:w="1265" w:type="dxa"/>
            <w:vAlign w:val="bottom"/>
          </w:tcPr>
          <w:p w14:paraId="7925B686" w14:textId="0C3FB42F" w:rsidR="00332FAA" w:rsidRPr="00BC081A" w:rsidRDefault="00332FAA" w:rsidP="00332FAA">
            <w:pPr>
              <w:pStyle w:val="TableContext"/>
              <w:rPr>
                <w:lang w:val="en-CA"/>
              </w:rPr>
            </w:pPr>
            <w:r w:rsidRPr="00BC081A">
              <w:rPr>
                <w:lang w:val="en-CA"/>
              </w:rPr>
              <w:t>0.001</w:t>
            </w:r>
          </w:p>
        </w:tc>
        <w:tc>
          <w:tcPr>
            <w:tcW w:w="1281" w:type="dxa"/>
            <w:vAlign w:val="bottom"/>
          </w:tcPr>
          <w:p w14:paraId="51F89977" w14:textId="07EBB905" w:rsidR="00332FAA" w:rsidRPr="00BC081A" w:rsidRDefault="00332FAA" w:rsidP="00BD306F">
            <w:pPr>
              <w:pStyle w:val="TableContext"/>
              <w:rPr>
                <w:lang w:val="en-CA"/>
              </w:rPr>
            </w:pPr>
            <w:r w:rsidRPr="00BC081A">
              <w:rPr>
                <w:lang w:val="en-CA"/>
              </w:rPr>
              <w:t>0.977</w:t>
            </w:r>
          </w:p>
        </w:tc>
        <w:tc>
          <w:tcPr>
            <w:tcW w:w="1265" w:type="dxa"/>
            <w:vAlign w:val="bottom"/>
          </w:tcPr>
          <w:p w14:paraId="236033E1" w14:textId="2715C17B" w:rsidR="00332FAA" w:rsidRPr="00BC081A" w:rsidRDefault="00332FAA" w:rsidP="00332FAA">
            <w:pPr>
              <w:pStyle w:val="TableContext"/>
              <w:rPr>
                <w:lang w:val="en-CA"/>
              </w:rPr>
            </w:pPr>
            <w:r w:rsidRPr="00BC081A">
              <w:rPr>
                <w:lang w:val="en-CA"/>
              </w:rPr>
              <w:t>-0.036</w:t>
            </w:r>
          </w:p>
        </w:tc>
        <w:tc>
          <w:tcPr>
            <w:tcW w:w="1265" w:type="dxa"/>
            <w:vAlign w:val="bottom"/>
          </w:tcPr>
          <w:p w14:paraId="625E842D" w14:textId="08AC4EC0"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DAE0AD2" w14:textId="6AF55F86" w:rsidR="00332FAA" w:rsidRPr="00BC081A" w:rsidRDefault="00332FAA" w:rsidP="00BD306F">
            <w:pPr>
              <w:pStyle w:val="TableContext"/>
              <w:rPr>
                <w:lang w:val="en-CA"/>
              </w:rPr>
            </w:pPr>
            <w:r w:rsidRPr="00BC081A">
              <w:rPr>
                <w:lang w:val="en-CA"/>
              </w:rPr>
              <w:t>0.003</w:t>
            </w:r>
          </w:p>
        </w:tc>
      </w:tr>
      <w:tr w:rsidR="00332FAA" w:rsidRPr="00BC081A" w14:paraId="53367DC7" w14:textId="77777777" w:rsidTr="008C71FB">
        <w:trPr>
          <w:trHeight w:val="300"/>
          <w:jc w:val="center"/>
        </w:trPr>
        <w:tc>
          <w:tcPr>
            <w:tcW w:w="1841" w:type="dxa"/>
            <w:shd w:val="clear" w:color="auto" w:fill="F2F2F2" w:themeFill="background1" w:themeFillShade="F2"/>
            <w:noWrap/>
            <w:vAlign w:val="bottom"/>
            <w:hideMark/>
          </w:tcPr>
          <w:p w14:paraId="02564586" w14:textId="77777777" w:rsidR="00332FAA" w:rsidRPr="00BC081A" w:rsidRDefault="00332FAA" w:rsidP="00BD306F">
            <w:pPr>
              <w:pStyle w:val="TableContext"/>
              <w:rPr>
                <w:lang w:val="en-CA"/>
              </w:rPr>
            </w:pPr>
            <w:r w:rsidRPr="00BC081A">
              <w:rPr>
                <w:lang w:val="en-CA"/>
              </w:rPr>
              <w:t>HE4</w:t>
            </w:r>
          </w:p>
        </w:tc>
        <w:tc>
          <w:tcPr>
            <w:tcW w:w="1266" w:type="dxa"/>
            <w:vAlign w:val="bottom"/>
          </w:tcPr>
          <w:p w14:paraId="007BC027" w14:textId="02F01EF5" w:rsidR="00332FAA" w:rsidRPr="00BC081A" w:rsidRDefault="00332FAA" w:rsidP="00332FAA">
            <w:pPr>
              <w:pStyle w:val="TableContext"/>
              <w:rPr>
                <w:lang w:val="en-CA"/>
              </w:rPr>
            </w:pPr>
            <w:r w:rsidRPr="00BC081A">
              <w:rPr>
                <w:lang w:val="en-CA"/>
              </w:rPr>
              <w:t>0.984</w:t>
            </w:r>
          </w:p>
        </w:tc>
        <w:tc>
          <w:tcPr>
            <w:tcW w:w="1265" w:type="dxa"/>
            <w:vAlign w:val="bottom"/>
          </w:tcPr>
          <w:p w14:paraId="20DCA5FD" w14:textId="50E0531A" w:rsidR="00332FAA" w:rsidRPr="00BC081A" w:rsidRDefault="00332FAA" w:rsidP="00332FAA">
            <w:pPr>
              <w:pStyle w:val="TableContext"/>
              <w:rPr>
                <w:lang w:val="en-CA"/>
              </w:rPr>
            </w:pPr>
            <w:r w:rsidRPr="00BC081A">
              <w:rPr>
                <w:lang w:val="en-CA"/>
              </w:rPr>
              <w:t>0.001</w:t>
            </w:r>
          </w:p>
        </w:tc>
        <w:tc>
          <w:tcPr>
            <w:tcW w:w="1281" w:type="dxa"/>
            <w:vAlign w:val="bottom"/>
          </w:tcPr>
          <w:p w14:paraId="11DDDAFD" w14:textId="36D83E59" w:rsidR="00332FAA" w:rsidRPr="00BC081A" w:rsidRDefault="00332FAA" w:rsidP="00BD306F">
            <w:pPr>
              <w:pStyle w:val="TableContext"/>
              <w:rPr>
                <w:lang w:val="en-CA"/>
              </w:rPr>
            </w:pPr>
            <w:r w:rsidRPr="00BC081A">
              <w:rPr>
                <w:lang w:val="en-CA"/>
              </w:rPr>
              <w:t>0.984</w:t>
            </w:r>
          </w:p>
        </w:tc>
        <w:tc>
          <w:tcPr>
            <w:tcW w:w="1265" w:type="dxa"/>
            <w:vAlign w:val="bottom"/>
          </w:tcPr>
          <w:p w14:paraId="39420B4C" w14:textId="5555BEAA" w:rsidR="00332FAA" w:rsidRPr="00BC081A" w:rsidRDefault="00332FAA" w:rsidP="00332FAA">
            <w:pPr>
              <w:pStyle w:val="TableContext"/>
              <w:rPr>
                <w:lang w:val="en-CA"/>
              </w:rPr>
            </w:pPr>
            <w:r w:rsidRPr="00BC081A">
              <w:rPr>
                <w:lang w:val="en-CA"/>
              </w:rPr>
              <w:t>-0.058</w:t>
            </w:r>
          </w:p>
        </w:tc>
        <w:tc>
          <w:tcPr>
            <w:tcW w:w="1265" w:type="dxa"/>
            <w:vAlign w:val="bottom"/>
          </w:tcPr>
          <w:p w14:paraId="5982DE13" w14:textId="55807252"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2B5CAEB" w14:textId="5F018CC9" w:rsidR="00332FAA" w:rsidRPr="00BC081A" w:rsidRDefault="00332FAA" w:rsidP="00BD306F">
            <w:pPr>
              <w:pStyle w:val="TableContext"/>
              <w:rPr>
                <w:lang w:val="en-CA"/>
              </w:rPr>
            </w:pPr>
            <w:r w:rsidRPr="00BC081A">
              <w:rPr>
                <w:lang w:val="en-CA"/>
              </w:rPr>
              <w:t>-0.019</w:t>
            </w:r>
          </w:p>
        </w:tc>
      </w:tr>
      <w:tr w:rsidR="00332FAA" w:rsidRPr="00BC081A" w14:paraId="0D3AD4C2" w14:textId="77777777" w:rsidTr="008C71FB">
        <w:trPr>
          <w:trHeight w:val="300"/>
          <w:jc w:val="center"/>
        </w:trPr>
        <w:tc>
          <w:tcPr>
            <w:tcW w:w="1841" w:type="dxa"/>
            <w:shd w:val="clear" w:color="auto" w:fill="F2F2F2" w:themeFill="background1" w:themeFillShade="F2"/>
            <w:noWrap/>
            <w:vAlign w:val="bottom"/>
            <w:hideMark/>
          </w:tcPr>
          <w:p w14:paraId="6C84150E" w14:textId="77777777" w:rsidR="00332FAA" w:rsidRPr="00BC081A" w:rsidRDefault="00332FAA" w:rsidP="00BD306F">
            <w:pPr>
              <w:pStyle w:val="TableContext"/>
              <w:rPr>
                <w:lang w:val="en-CA"/>
              </w:rPr>
            </w:pPr>
            <w:r w:rsidRPr="00BC081A">
              <w:rPr>
                <w:lang w:val="en-CA"/>
              </w:rPr>
              <w:t>Mode</w:t>
            </w:r>
          </w:p>
        </w:tc>
        <w:tc>
          <w:tcPr>
            <w:tcW w:w="1266" w:type="dxa"/>
            <w:vAlign w:val="bottom"/>
          </w:tcPr>
          <w:p w14:paraId="2CCA4902" w14:textId="48E0EBD5" w:rsidR="00332FAA" w:rsidRPr="00BC081A" w:rsidRDefault="00332FAA" w:rsidP="00332FAA">
            <w:pPr>
              <w:pStyle w:val="TableContext"/>
              <w:rPr>
                <w:lang w:val="en-CA"/>
              </w:rPr>
            </w:pPr>
            <w:r w:rsidRPr="00BC081A">
              <w:rPr>
                <w:lang w:val="en-CA"/>
              </w:rPr>
              <w:t>1.000</w:t>
            </w:r>
          </w:p>
        </w:tc>
        <w:tc>
          <w:tcPr>
            <w:tcW w:w="1265" w:type="dxa"/>
            <w:vAlign w:val="bottom"/>
          </w:tcPr>
          <w:p w14:paraId="5108B909" w14:textId="77C41D9F" w:rsidR="00332FAA" w:rsidRPr="00BC081A" w:rsidRDefault="00332FAA" w:rsidP="00332FAA">
            <w:pPr>
              <w:pStyle w:val="TableContext"/>
              <w:rPr>
                <w:lang w:val="en-CA"/>
              </w:rPr>
            </w:pPr>
            <w:r w:rsidRPr="00BC081A">
              <w:rPr>
                <w:lang w:val="en-CA"/>
              </w:rPr>
              <w:t>0.001</w:t>
            </w:r>
          </w:p>
        </w:tc>
        <w:tc>
          <w:tcPr>
            <w:tcW w:w="1281" w:type="dxa"/>
            <w:vAlign w:val="bottom"/>
          </w:tcPr>
          <w:p w14:paraId="75456DC6" w14:textId="4BD8A397" w:rsidR="00332FAA" w:rsidRPr="00BC081A" w:rsidRDefault="00332FAA" w:rsidP="00BD306F">
            <w:pPr>
              <w:pStyle w:val="TableContext"/>
              <w:rPr>
                <w:lang w:val="en-CA"/>
              </w:rPr>
            </w:pPr>
            <w:r w:rsidRPr="00BC081A">
              <w:rPr>
                <w:lang w:val="en-CA"/>
              </w:rPr>
              <w:t>1.000</w:t>
            </w:r>
          </w:p>
        </w:tc>
        <w:tc>
          <w:tcPr>
            <w:tcW w:w="1265" w:type="dxa"/>
            <w:vAlign w:val="bottom"/>
          </w:tcPr>
          <w:p w14:paraId="7852B52E" w14:textId="3BAEA994" w:rsidR="00332FAA" w:rsidRPr="00BC081A" w:rsidRDefault="00332FAA" w:rsidP="00332FAA">
            <w:pPr>
              <w:pStyle w:val="TableContext"/>
              <w:rPr>
                <w:lang w:val="en-CA"/>
              </w:rPr>
            </w:pPr>
            <w:r w:rsidRPr="00BC081A">
              <w:rPr>
                <w:lang w:val="en-CA"/>
              </w:rPr>
              <w:t>0.274</w:t>
            </w:r>
          </w:p>
        </w:tc>
        <w:tc>
          <w:tcPr>
            <w:tcW w:w="1265" w:type="dxa"/>
            <w:vAlign w:val="bottom"/>
          </w:tcPr>
          <w:p w14:paraId="4CACFA29" w14:textId="36AC5AEC" w:rsidR="00332FAA" w:rsidRPr="00BC081A" w:rsidRDefault="00332FAA" w:rsidP="00332FAA">
            <w:pPr>
              <w:pStyle w:val="TableContext"/>
              <w:rPr>
                <w:lang w:val="en-CA"/>
              </w:rPr>
            </w:pPr>
            <w:r w:rsidRPr="00BC081A">
              <w:rPr>
                <w:lang w:val="en-CA"/>
              </w:rPr>
              <w:t>0.010</w:t>
            </w:r>
          </w:p>
        </w:tc>
        <w:tc>
          <w:tcPr>
            <w:tcW w:w="1300" w:type="dxa"/>
            <w:shd w:val="clear" w:color="auto" w:fill="auto"/>
            <w:noWrap/>
            <w:vAlign w:val="bottom"/>
            <w:hideMark/>
          </w:tcPr>
          <w:p w14:paraId="2228AB28" w14:textId="0C8E5DB1" w:rsidR="00332FAA" w:rsidRPr="00BC081A" w:rsidRDefault="00332FAA" w:rsidP="00BD306F">
            <w:pPr>
              <w:pStyle w:val="TableContext"/>
              <w:rPr>
                <w:lang w:val="en-CA"/>
              </w:rPr>
            </w:pPr>
            <w:r w:rsidRPr="00BC081A">
              <w:rPr>
                <w:lang w:val="en-CA"/>
              </w:rPr>
              <w:t>0.274</w:t>
            </w:r>
          </w:p>
        </w:tc>
      </w:tr>
      <w:tr w:rsidR="00332FAA" w:rsidRPr="00BC081A" w14:paraId="0D2A8AC8" w14:textId="77777777" w:rsidTr="008C71FB">
        <w:trPr>
          <w:trHeight w:val="300"/>
          <w:jc w:val="center"/>
        </w:trPr>
        <w:tc>
          <w:tcPr>
            <w:tcW w:w="1841" w:type="dxa"/>
            <w:shd w:val="clear" w:color="auto" w:fill="F2F2F2" w:themeFill="background1" w:themeFillShade="F2"/>
            <w:noWrap/>
            <w:vAlign w:val="bottom"/>
            <w:hideMark/>
          </w:tcPr>
          <w:p w14:paraId="2500C4EF" w14:textId="7356C4D4" w:rsidR="00332FAA" w:rsidRPr="00BC081A" w:rsidRDefault="005624B9" w:rsidP="00BD306F">
            <w:pPr>
              <w:pStyle w:val="TableContext"/>
              <w:rPr>
                <w:lang w:val="en-CA"/>
              </w:rPr>
            </w:pPr>
            <w:r w:rsidRPr="00BC081A">
              <w:rPr>
                <w:lang w:val="en-CA"/>
              </w:rPr>
              <w:t>SCompt</w:t>
            </w:r>
            <w:r w:rsidR="00332FAA" w:rsidRPr="00BC081A">
              <w:rPr>
                <w:lang w:val="en-CA"/>
              </w:rPr>
              <w:t>1</w:t>
            </w:r>
          </w:p>
        </w:tc>
        <w:tc>
          <w:tcPr>
            <w:tcW w:w="1266" w:type="dxa"/>
            <w:vAlign w:val="bottom"/>
          </w:tcPr>
          <w:p w14:paraId="59953A52" w14:textId="39B15566" w:rsidR="00332FAA" w:rsidRPr="00BC081A" w:rsidRDefault="00332FAA" w:rsidP="00332FAA">
            <w:pPr>
              <w:pStyle w:val="TableContext"/>
              <w:rPr>
                <w:lang w:val="en-CA"/>
              </w:rPr>
            </w:pPr>
            <w:r w:rsidRPr="00BC081A">
              <w:rPr>
                <w:lang w:val="en-CA"/>
              </w:rPr>
              <w:t>0.851</w:t>
            </w:r>
          </w:p>
        </w:tc>
        <w:tc>
          <w:tcPr>
            <w:tcW w:w="1265" w:type="dxa"/>
            <w:vAlign w:val="bottom"/>
          </w:tcPr>
          <w:p w14:paraId="259B04EB" w14:textId="6325EE9D" w:rsidR="00332FAA" w:rsidRPr="00BC081A" w:rsidRDefault="00332FAA" w:rsidP="00332FAA">
            <w:pPr>
              <w:pStyle w:val="TableContext"/>
              <w:rPr>
                <w:lang w:val="en-CA"/>
              </w:rPr>
            </w:pPr>
            <w:r w:rsidRPr="00BC081A">
              <w:rPr>
                <w:lang w:val="en-CA"/>
              </w:rPr>
              <w:t>0.001</w:t>
            </w:r>
          </w:p>
        </w:tc>
        <w:tc>
          <w:tcPr>
            <w:tcW w:w="1281" w:type="dxa"/>
            <w:vAlign w:val="bottom"/>
          </w:tcPr>
          <w:p w14:paraId="766F4299" w14:textId="56AF7EA9" w:rsidR="00332FAA" w:rsidRPr="00BC081A" w:rsidRDefault="00332FAA" w:rsidP="00BD306F">
            <w:pPr>
              <w:pStyle w:val="TableContext"/>
              <w:rPr>
                <w:lang w:val="en-CA"/>
              </w:rPr>
            </w:pPr>
            <w:r w:rsidRPr="00BC081A">
              <w:rPr>
                <w:lang w:val="en-CA"/>
              </w:rPr>
              <w:t>0.851</w:t>
            </w:r>
          </w:p>
        </w:tc>
        <w:tc>
          <w:tcPr>
            <w:tcW w:w="1265" w:type="dxa"/>
            <w:vAlign w:val="bottom"/>
          </w:tcPr>
          <w:p w14:paraId="759F98AF" w14:textId="0D28E681" w:rsidR="00332FAA" w:rsidRPr="00BC081A" w:rsidRDefault="00332FAA" w:rsidP="00332FAA">
            <w:pPr>
              <w:pStyle w:val="TableContext"/>
              <w:rPr>
                <w:lang w:val="en-CA"/>
              </w:rPr>
            </w:pPr>
            <w:r w:rsidRPr="00BC081A">
              <w:rPr>
                <w:lang w:val="en-CA"/>
              </w:rPr>
              <w:t>0.012</w:t>
            </w:r>
          </w:p>
        </w:tc>
        <w:tc>
          <w:tcPr>
            <w:tcW w:w="1265" w:type="dxa"/>
            <w:vAlign w:val="bottom"/>
          </w:tcPr>
          <w:p w14:paraId="309014B2" w14:textId="751FA360"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298FCFFB" w14:textId="2305CCD7" w:rsidR="00332FAA" w:rsidRPr="00BC081A" w:rsidRDefault="00332FAA" w:rsidP="00BD306F">
            <w:pPr>
              <w:pStyle w:val="TableContext"/>
              <w:rPr>
                <w:lang w:val="en-CA"/>
              </w:rPr>
            </w:pPr>
            <w:r w:rsidRPr="00BC081A">
              <w:rPr>
                <w:lang w:val="en-CA"/>
              </w:rPr>
              <w:t>0.138</w:t>
            </w:r>
          </w:p>
        </w:tc>
      </w:tr>
      <w:tr w:rsidR="00332FAA" w:rsidRPr="00BC081A" w14:paraId="787A9929" w14:textId="77777777" w:rsidTr="008C71FB">
        <w:trPr>
          <w:trHeight w:val="300"/>
          <w:jc w:val="center"/>
        </w:trPr>
        <w:tc>
          <w:tcPr>
            <w:tcW w:w="1841" w:type="dxa"/>
            <w:shd w:val="clear" w:color="auto" w:fill="F2F2F2" w:themeFill="background1" w:themeFillShade="F2"/>
            <w:noWrap/>
            <w:vAlign w:val="bottom"/>
            <w:hideMark/>
          </w:tcPr>
          <w:p w14:paraId="341ACFC8" w14:textId="7998A905" w:rsidR="00332FAA" w:rsidRPr="00BC081A" w:rsidRDefault="005624B9" w:rsidP="00BD306F">
            <w:pPr>
              <w:pStyle w:val="TableContext"/>
              <w:rPr>
                <w:lang w:val="en-CA"/>
              </w:rPr>
            </w:pPr>
            <w:r w:rsidRPr="00BC081A">
              <w:rPr>
                <w:lang w:val="en-CA"/>
              </w:rPr>
              <w:t>SCompt</w:t>
            </w:r>
            <w:r w:rsidR="00332FAA" w:rsidRPr="00BC081A">
              <w:rPr>
                <w:lang w:val="en-CA"/>
              </w:rPr>
              <w:t>2</w:t>
            </w:r>
          </w:p>
        </w:tc>
        <w:tc>
          <w:tcPr>
            <w:tcW w:w="1266" w:type="dxa"/>
            <w:vAlign w:val="bottom"/>
          </w:tcPr>
          <w:p w14:paraId="77B444CD" w14:textId="413FDE98" w:rsidR="00332FAA" w:rsidRPr="00BC081A" w:rsidRDefault="00332FAA" w:rsidP="00332FAA">
            <w:pPr>
              <w:pStyle w:val="TableContext"/>
              <w:rPr>
                <w:lang w:val="en-CA"/>
              </w:rPr>
            </w:pPr>
            <w:r w:rsidRPr="00BC081A">
              <w:rPr>
                <w:lang w:val="en-CA"/>
              </w:rPr>
              <w:t>0.753</w:t>
            </w:r>
          </w:p>
        </w:tc>
        <w:tc>
          <w:tcPr>
            <w:tcW w:w="1265" w:type="dxa"/>
            <w:vAlign w:val="bottom"/>
          </w:tcPr>
          <w:p w14:paraId="10BE712F" w14:textId="4A4B33BA" w:rsidR="00332FAA" w:rsidRPr="00BC081A" w:rsidRDefault="00332FAA" w:rsidP="00332FAA">
            <w:pPr>
              <w:pStyle w:val="TableContext"/>
              <w:rPr>
                <w:lang w:val="en-CA"/>
              </w:rPr>
            </w:pPr>
            <w:r w:rsidRPr="00BC081A">
              <w:rPr>
                <w:lang w:val="en-CA"/>
              </w:rPr>
              <w:t>0.001</w:t>
            </w:r>
          </w:p>
        </w:tc>
        <w:tc>
          <w:tcPr>
            <w:tcW w:w="1281" w:type="dxa"/>
            <w:vAlign w:val="bottom"/>
          </w:tcPr>
          <w:p w14:paraId="28086365" w14:textId="471877F3" w:rsidR="00332FAA" w:rsidRPr="00BC081A" w:rsidRDefault="00332FAA" w:rsidP="00BD306F">
            <w:pPr>
              <w:pStyle w:val="TableContext"/>
              <w:rPr>
                <w:lang w:val="en-CA"/>
              </w:rPr>
            </w:pPr>
            <w:r w:rsidRPr="00BC081A">
              <w:rPr>
                <w:lang w:val="en-CA"/>
              </w:rPr>
              <w:t>0.753</w:t>
            </w:r>
          </w:p>
        </w:tc>
        <w:tc>
          <w:tcPr>
            <w:tcW w:w="1265" w:type="dxa"/>
            <w:vAlign w:val="bottom"/>
          </w:tcPr>
          <w:p w14:paraId="6035D350" w14:textId="59CB82C6" w:rsidR="00332FAA" w:rsidRPr="00BC081A" w:rsidRDefault="00332FAA" w:rsidP="00332FAA">
            <w:pPr>
              <w:pStyle w:val="TableContext"/>
              <w:rPr>
                <w:lang w:val="en-CA"/>
              </w:rPr>
            </w:pPr>
            <w:r w:rsidRPr="00BC081A">
              <w:rPr>
                <w:lang w:val="en-CA"/>
              </w:rPr>
              <w:t>0.105</w:t>
            </w:r>
          </w:p>
        </w:tc>
        <w:tc>
          <w:tcPr>
            <w:tcW w:w="1265" w:type="dxa"/>
            <w:vAlign w:val="bottom"/>
          </w:tcPr>
          <w:p w14:paraId="3FD0E4BA" w14:textId="6F64CB28"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03A1FD2F" w14:textId="2276BA2C" w:rsidR="00332FAA" w:rsidRPr="00BC081A" w:rsidRDefault="00332FAA" w:rsidP="00BD306F">
            <w:pPr>
              <w:pStyle w:val="TableContext"/>
              <w:rPr>
                <w:lang w:val="en-CA"/>
              </w:rPr>
            </w:pPr>
            <w:r w:rsidRPr="00BC081A">
              <w:rPr>
                <w:lang w:val="en-CA"/>
              </w:rPr>
              <w:t>0.215</w:t>
            </w:r>
          </w:p>
        </w:tc>
      </w:tr>
      <w:tr w:rsidR="00332FAA" w:rsidRPr="00BC081A" w14:paraId="3F79422A" w14:textId="77777777" w:rsidTr="008C71FB">
        <w:trPr>
          <w:trHeight w:val="300"/>
          <w:jc w:val="center"/>
        </w:trPr>
        <w:tc>
          <w:tcPr>
            <w:tcW w:w="1841" w:type="dxa"/>
            <w:shd w:val="clear" w:color="auto" w:fill="F2F2F2" w:themeFill="background1" w:themeFillShade="F2"/>
            <w:noWrap/>
            <w:vAlign w:val="bottom"/>
            <w:hideMark/>
          </w:tcPr>
          <w:p w14:paraId="1252B6BA" w14:textId="3B0646FB" w:rsidR="00332FAA" w:rsidRPr="00BC081A" w:rsidRDefault="005624B9" w:rsidP="00BD306F">
            <w:pPr>
              <w:pStyle w:val="TableContext"/>
              <w:rPr>
                <w:lang w:val="en-CA"/>
              </w:rPr>
            </w:pPr>
            <w:r w:rsidRPr="00BC081A">
              <w:rPr>
                <w:lang w:val="en-CA"/>
              </w:rPr>
              <w:t>SCompt</w:t>
            </w:r>
            <w:r w:rsidR="00332FAA" w:rsidRPr="00BC081A">
              <w:rPr>
                <w:lang w:val="en-CA"/>
              </w:rPr>
              <w:t>3</w:t>
            </w:r>
          </w:p>
        </w:tc>
        <w:tc>
          <w:tcPr>
            <w:tcW w:w="1266" w:type="dxa"/>
            <w:vAlign w:val="bottom"/>
          </w:tcPr>
          <w:p w14:paraId="4674D640" w14:textId="420C3D7D" w:rsidR="00332FAA" w:rsidRPr="00BC081A" w:rsidRDefault="00332FAA" w:rsidP="00332FAA">
            <w:pPr>
              <w:pStyle w:val="TableContext"/>
              <w:rPr>
                <w:lang w:val="en-CA"/>
              </w:rPr>
            </w:pPr>
            <w:r w:rsidRPr="00BC081A">
              <w:rPr>
                <w:lang w:val="en-CA"/>
              </w:rPr>
              <w:t>0.894</w:t>
            </w:r>
          </w:p>
        </w:tc>
        <w:tc>
          <w:tcPr>
            <w:tcW w:w="1265" w:type="dxa"/>
            <w:vAlign w:val="bottom"/>
          </w:tcPr>
          <w:p w14:paraId="6D7891C3" w14:textId="6A9FB2DC" w:rsidR="00332FAA" w:rsidRPr="00BC081A" w:rsidRDefault="00332FAA" w:rsidP="00332FAA">
            <w:pPr>
              <w:pStyle w:val="TableContext"/>
              <w:rPr>
                <w:lang w:val="en-CA"/>
              </w:rPr>
            </w:pPr>
            <w:r w:rsidRPr="00BC081A">
              <w:rPr>
                <w:lang w:val="en-CA"/>
              </w:rPr>
              <w:t>0.001</w:t>
            </w:r>
          </w:p>
        </w:tc>
        <w:tc>
          <w:tcPr>
            <w:tcW w:w="1281" w:type="dxa"/>
            <w:vAlign w:val="bottom"/>
          </w:tcPr>
          <w:p w14:paraId="182F9C48" w14:textId="7508CB9F" w:rsidR="00332FAA" w:rsidRPr="00BC081A" w:rsidRDefault="00332FAA" w:rsidP="00BD306F">
            <w:pPr>
              <w:pStyle w:val="TableContext"/>
              <w:rPr>
                <w:lang w:val="en-CA"/>
              </w:rPr>
            </w:pPr>
            <w:r w:rsidRPr="00BC081A">
              <w:rPr>
                <w:lang w:val="en-CA"/>
              </w:rPr>
              <w:t>0.894</w:t>
            </w:r>
          </w:p>
        </w:tc>
        <w:tc>
          <w:tcPr>
            <w:tcW w:w="1265" w:type="dxa"/>
            <w:vAlign w:val="bottom"/>
          </w:tcPr>
          <w:p w14:paraId="58086CD2" w14:textId="08D2A696" w:rsidR="00332FAA" w:rsidRPr="00BC081A" w:rsidRDefault="00332FAA" w:rsidP="00332FAA">
            <w:pPr>
              <w:pStyle w:val="TableContext"/>
              <w:rPr>
                <w:lang w:val="en-CA"/>
              </w:rPr>
            </w:pPr>
            <w:r w:rsidRPr="00BC081A">
              <w:rPr>
                <w:lang w:val="en-CA"/>
              </w:rPr>
              <w:t>-0.057</w:t>
            </w:r>
          </w:p>
        </w:tc>
        <w:tc>
          <w:tcPr>
            <w:tcW w:w="1265" w:type="dxa"/>
            <w:vAlign w:val="bottom"/>
          </w:tcPr>
          <w:p w14:paraId="760AABEA" w14:textId="144D6F15"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0A38C8BA" w14:textId="4BE39CFE" w:rsidR="00332FAA" w:rsidRPr="00BC081A" w:rsidRDefault="00332FAA" w:rsidP="00BD306F">
            <w:pPr>
              <w:pStyle w:val="TableContext"/>
              <w:rPr>
                <w:lang w:val="en-CA"/>
              </w:rPr>
            </w:pPr>
            <w:r w:rsidRPr="00BC081A">
              <w:rPr>
                <w:lang w:val="en-CA"/>
              </w:rPr>
              <w:t>0.074</w:t>
            </w:r>
          </w:p>
        </w:tc>
      </w:tr>
      <w:tr w:rsidR="00332FAA" w:rsidRPr="00BC081A" w14:paraId="3DE28619" w14:textId="77777777" w:rsidTr="008C71FB">
        <w:trPr>
          <w:trHeight w:val="300"/>
          <w:jc w:val="center"/>
        </w:trPr>
        <w:tc>
          <w:tcPr>
            <w:tcW w:w="1841" w:type="dxa"/>
            <w:shd w:val="clear" w:color="auto" w:fill="F2F2F2" w:themeFill="background1" w:themeFillShade="F2"/>
            <w:noWrap/>
            <w:vAlign w:val="bottom"/>
            <w:hideMark/>
          </w:tcPr>
          <w:p w14:paraId="29EC20BF" w14:textId="2B018760" w:rsidR="00332FAA" w:rsidRPr="00BC081A" w:rsidRDefault="005624B9" w:rsidP="00BD306F">
            <w:pPr>
              <w:pStyle w:val="TableContext"/>
              <w:rPr>
                <w:lang w:val="en-CA"/>
              </w:rPr>
            </w:pPr>
            <w:r w:rsidRPr="00BC081A">
              <w:rPr>
                <w:lang w:val="en-CA"/>
              </w:rPr>
              <w:t>SCompt</w:t>
            </w:r>
            <w:r w:rsidR="00332FAA" w:rsidRPr="00BC081A">
              <w:rPr>
                <w:lang w:val="en-CA"/>
              </w:rPr>
              <w:t>4</w:t>
            </w:r>
          </w:p>
        </w:tc>
        <w:tc>
          <w:tcPr>
            <w:tcW w:w="1266" w:type="dxa"/>
            <w:vAlign w:val="bottom"/>
          </w:tcPr>
          <w:p w14:paraId="0743D9AD" w14:textId="0B9D8295" w:rsidR="00332FAA" w:rsidRPr="00BC081A" w:rsidRDefault="00332FAA" w:rsidP="00332FAA">
            <w:pPr>
              <w:pStyle w:val="TableContext"/>
              <w:rPr>
                <w:lang w:val="en-CA"/>
              </w:rPr>
            </w:pPr>
            <w:r w:rsidRPr="00BC081A">
              <w:rPr>
                <w:lang w:val="en-CA"/>
              </w:rPr>
              <w:t>0.924</w:t>
            </w:r>
          </w:p>
        </w:tc>
        <w:tc>
          <w:tcPr>
            <w:tcW w:w="1265" w:type="dxa"/>
            <w:vAlign w:val="bottom"/>
          </w:tcPr>
          <w:p w14:paraId="62E58D80" w14:textId="34A74DBE" w:rsidR="00332FAA" w:rsidRPr="00BC081A" w:rsidRDefault="00332FAA" w:rsidP="00332FAA">
            <w:pPr>
              <w:pStyle w:val="TableContext"/>
              <w:rPr>
                <w:lang w:val="en-CA"/>
              </w:rPr>
            </w:pPr>
            <w:r w:rsidRPr="00BC081A">
              <w:rPr>
                <w:lang w:val="en-CA"/>
              </w:rPr>
              <w:t>0.001</w:t>
            </w:r>
          </w:p>
        </w:tc>
        <w:tc>
          <w:tcPr>
            <w:tcW w:w="1281" w:type="dxa"/>
            <w:vAlign w:val="bottom"/>
          </w:tcPr>
          <w:p w14:paraId="75B7E9CE" w14:textId="457CE18C" w:rsidR="00332FAA" w:rsidRPr="00BC081A" w:rsidRDefault="00332FAA" w:rsidP="00BD306F">
            <w:pPr>
              <w:pStyle w:val="TableContext"/>
              <w:rPr>
                <w:lang w:val="en-CA"/>
              </w:rPr>
            </w:pPr>
            <w:r w:rsidRPr="00BC081A">
              <w:rPr>
                <w:lang w:val="en-CA"/>
              </w:rPr>
              <w:t>0.924</w:t>
            </w:r>
          </w:p>
        </w:tc>
        <w:tc>
          <w:tcPr>
            <w:tcW w:w="1265" w:type="dxa"/>
            <w:vAlign w:val="bottom"/>
          </w:tcPr>
          <w:p w14:paraId="79E9AB8F" w14:textId="79AB4102" w:rsidR="00332FAA" w:rsidRPr="00BC081A" w:rsidRDefault="00332FAA" w:rsidP="00332FAA">
            <w:pPr>
              <w:pStyle w:val="TableContext"/>
              <w:rPr>
                <w:lang w:val="en-CA"/>
              </w:rPr>
            </w:pPr>
            <w:r w:rsidRPr="00BC081A">
              <w:rPr>
                <w:lang w:val="en-CA"/>
              </w:rPr>
              <w:t>-0.053</w:t>
            </w:r>
          </w:p>
        </w:tc>
        <w:tc>
          <w:tcPr>
            <w:tcW w:w="1265" w:type="dxa"/>
            <w:vAlign w:val="bottom"/>
          </w:tcPr>
          <w:p w14:paraId="3FA530E7" w14:textId="39E9D566"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62B110E8" w14:textId="12722294" w:rsidR="00332FAA" w:rsidRPr="00BC081A" w:rsidRDefault="00332FAA" w:rsidP="00BD306F">
            <w:pPr>
              <w:pStyle w:val="TableContext"/>
              <w:rPr>
                <w:lang w:val="en-CA"/>
              </w:rPr>
            </w:pPr>
            <w:r w:rsidRPr="00BC081A">
              <w:rPr>
                <w:lang w:val="en-CA"/>
              </w:rPr>
              <w:t>0.083</w:t>
            </w:r>
          </w:p>
        </w:tc>
      </w:tr>
      <w:tr w:rsidR="00332FAA" w:rsidRPr="00BC081A" w14:paraId="4892DB17" w14:textId="77777777" w:rsidTr="008C71FB">
        <w:trPr>
          <w:trHeight w:val="300"/>
          <w:jc w:val="center"/>
        </w:trPr>
        <w:tc>
          <w:tcPr>
            <w:tcW w:w="1841" w:type="dxa"/>
            <w:shd w:val="clear" w:color="auto" w:fill="F2F2F2" w:themeFill="background1" w:themeFillShade="F2"/>
            <w:noWrap/>
            <w:vAlign w:val="bottom"/>
            <w:hideMark/>
          </w:tcPr>
          <w:p w14:paraId="363F438D" w14:textId="77777777" w:rsidR="00332FAA" w:rsidRPr="00BC081A" w:rsidRDefault="00332FAA" w:rsidP="00BD306F">
            <w:pPr>
              <w:pStyle w:val="TableContext"/>
              <w:rPr>
                <w:lang w:val="en-CA"/>
              </w:rPr>
            </w:pPr>
            <w:r w:rsidRPr="00BC081A">
              <w:rPr>
                <w:lang w:val="en-CA"/>
              </w:rPr>
              <w:t>SA1</w:t>
            </w:r>
          </w:p>
        </w:tc>
        <w:tc>
          <w:tcPr>
            <w:tcW w:w="1266" w:type="dxa"/>
            <w:vAlign w:val="bottom"/>
          </w:tcPr>
          <w:p w14:paraId="64143D13" w14:textId="115E5408" w:rsidR="00332FAA" w:rsidRPr="00BC081A" w:rsidRDefault="00332FAA" w:rsidP="00332FAA">
            <w:pPr>
              <w:pStyle w:val="TableContext"/>
              <w:rPr>
                <w:lang w:val="en-CA"/>
              </w:rPr>
            </w:pPr>
            <w:r w:rsidRPr="00BC081A">
              <w:rPr>
                <w:lang w:val="en-CA"/>
              </w:rPr>
              <w:t>0.996</w:t>
            </w:r>
          </w:p>
        </w:tc>
        <w:tc>
          <w:tcPr>
            <w:tcW w:w="1265" w:type="dxa"/>
            <w:vAlign w:val="bottom"/>
          </w:tcPr>
          <w:p w14:paraId="0CCAEF8B" w14:textId="6ACA80DC" w:rsidR="00332FAA" w:rsidRPr="00BC081A" w:rsidRDefault="00332FAA" w:rsidP="00332FAA">
            <w:pPr>
              <w:pStyle w:val="TableContext"/>
              <w:rPr>
                <w:lang w:val="en-CA"/>
              </w:rPr>
            </w:pPr>
            <w:r w:rsidRPr="00BC081A">
              <w:rPr>
                <w:lang w:val="en-CA"/>
              </w:rPr>
              <w:t>0.001</w:t>
            </w:r>
          </w:p>
        </w:tc>
        <w:tc>
          <w:tcPr>
            <w:tcW w:w="1281" w:type="dxa"/>
            <w:vAlign w:val="bottom"/>
          </w:tcPr>
          <w:p w14:paraId="09A2B873" w14:textId="1B7258F2" w:rsidR="00332FAA" w:rsidRPr="00BC081A" w:rsidRDefault="00332FAA" w:rsidP="00BD306F">
            <w:pPr>
              <w:pStyle w:val="TableContext"/>
              <w:rPr>
                <w:lang w:val="en-CA"/>
              </w:rPr>
            </w:pPr>
            <w:r w:rsidRPr="00BC081A">
              <w:rPr>
                <w:lang w:val="en-CA"/>
              </w:rPr>
              <w:t>0.996</w:t>
            </w:r>
          </w:p>
        </w:tc>
        <w:tc>
          <w:tcPr>
            <w:tcW w:w="1265" w:type="dxa"/>
            <w:vAlign w:val="bottom"/>
          </w:tcPr>
          <w:p w14:paraId="6539F07E" w14:textId="5AAC84A4" w:rsidR="00332FAA" w:rsidRPr="00BC081A" w:rsidRDefault="00332FAA" w:rsidP="00332FAA">
            <w:pPr>
              <w:pStyle w:val="TableContext"/>
              <w:rPr>
                <w:lang w:val="en-CA"/>
              </w:rPr>
            </w:pPr>
            <w:r w:rsidRPr="00BC081A">
              <w:rPr>
                <w:lang w:val="en-CA"/>
              </w:rPr>
              <w:t>-0.050</w:t>
            </w:r>
          </w:p>
        </w:tc>
        <w:tc>
          <w:tcPr>
            <w:tcW w:w="1265" w:type="dxa"/>
            <w:vAlign w:val="bottom"/>
          </w:tcPr>
          <w:p w14:paraId="4299C1A4" w14:textId="27697892"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340F433A" w14:textId="3F51DD0B" w:rsidR="00332FAA" w:rsidRPr="00BC081A" w:rsidRDefault="00332FAA" w:rsidP="00BD306F">
            <w:pPr>
              <w:pStyle w:val="TableContext"/>
              <w:rPr>
                <w:lang w:val="en-CA"/>
              </w:rPr>
            </w:pPr>
            <w:r w:rsidRPr="00BC081A">
              <w:rPr>
                <w:lang w:val="en-CA"/>
              </w:rPr>
              <w:t>-0.021</w:t>
            </w:r>
          </w:p>
        </w:tc>
      </w:tr>
      <w:tr w:rsidR="00332FAA" w:rsidRPr="00BC081A" w14:paraId="74742AB2" w14:textId="77777777" w:rsidTr="008C71FB">
        <w:trPr>
          <w:trHeight w:val="300"/>
          <w:jc w:val="center"/>
        </w:trPr>
        <w:tc>
          <w:tcPr>
            <w:tcW w:w="1841" w:type="dxa"/>
            <w:shd w:val="clear" w:color="auto" w:fill="F2F2F2" w:themeFill="background1" w:themeFillShade="F2"/>
            <w:noWrap/>
            <w:vAlign w:val="bottom"/>
            <w:hideMark/>
          </w:tcPr>
          <w:p w14:paraId="44EBE516" w14:textId="77777777" w:rsidR="00332FAA" w:rsidRPr="00BC081A" w:rsidRDefault="00332FAA" w:rsidP="00BD306F">
            <w:pPr>
              <w:pStyle w:val="TableContext"/>
              <w:rPr>
                <w:lang w:val="en-CA"/>
              </w:rPr>
            </w:pPr>
            <w:r w:rsidRPr="00BC081A">
              <w:rPr>
                <w:lang w:val="en-CA"/>
              </w:rPr>
              <w:t>SA2</w:t>
            </w:r>
          </w:p>
        </w:tc>
        <w:tc>
          <w:tcPr>
            <w:tcW w:w="1266" w:type="dxa"/>
            <w:vAlign w:val="bottom"/>
          </w:tcPr>
          <w:p w14:paraId="50C7C50F" w14:textId="75BE5C79" w:rsidR="00332FAA" w:rsidRPr="00BC081A" w:rsidRDefault="00332FAA" w:rsidP="00332FAA">
            <w:pPr>
              <w:pStyle w:val="TableContext"/>
              <w:rPr>
                <w:lang w:val="en-CA"/>
              </w:rPr>
            </w:pPr>
            <w:r w:rsidRPr="00BC081A">
              <w:rPr>
                <w:lang w:val="en-CA"/>
              </w:rPr>
              <w:t>0.921</w:t>
            </w:r>
          </w:p>
        </w:tc>
        <w:tc>
          <w:tcPr>
            <w:tcW w:w="1265" w:type="dxa"/>
            <w:vAlign w:val="bottom"/>
          </w:tcPr>
          <w:p w14:paraId="20102A2C" w14:textId="22EE852C" w:rsidR="00332FAA" w:rsidRPr="00BC081A" w:rsidRDefault="00332FAA" w:rsidP="00332FAA">
            <w:pPr>
              <w:pStyle w:val="TableContext"/>
              <w:rPr>
                <w:lang w:val="en-CA"/>
              </w:rPr>
            </w:pPr>
            <w:r w:rsidRPr="00BC081A">
              <w:rPr>
                <w:lang w:val="en-CA"/>
              </w:rPr>
              <w:t>0.001</w:t>
            </w:r>
          </w:p>
        </w:tc>
        <w:tc>
          <w:tcPr>
            <w:tcW w:w="1281" w:type="dxa"/>
            <w:vAlign w:val="bottom"/>
          </w:tcPr>
          <w:p w14:paraId="63805DF6" w14:textId="605460BD" w:rsidR="00332FAA" w:rsidRPr="00BC081A" w:rsidRDefault="00332FAA" w:rsidP="00BD306F">
            <w:pPr>
              <w:pStyle w:val="TableContext"/>
              <w:rPr>
                <w:lang w:val="en-CA"/>
              </w:rPr>
            </w:pPr>
            <w:r w:rsidRPr="00BC081A">
              <w:rPr>
                <w:lang w:val="en-CA"/>
              </w:rPr>
              <w:t>0.921</w:t>
            </w:r>
          </w:p>
        </w:tc>
        <w:tc>
          <w:tcPr>
            <w:tcW w:w="1265" w:type="dxa"/>
            <w:vAlign w:val="bottom"/>
          </w:tcPr>
          <w:p w14:paraId="01CC1625" w14:textId="14434F96" w:rsidR="00332FAA" w:rsidRPr="00BC081A" w:rsidRDefault="00332FAA" w:rsidP="00332FAA">
            <w:pPr>
              <w:pStyle w:val="TableContext"/>
              <w:rPr>
                <w:lang w:val="en-CA"/>
              </w:rPr>
            </w:pPr>
            <w:r w:rsidRPr="00BC081A">
              <w:rPr>
                <w:lang w:val="en-CA"/>
              </w:rPr>
              <w:t>0.050</w:t>
            </w:r>
          </w:p>
        </w:tc>
        <w:tc>
          <w:tcPr>
            <w:tcW w:w="1265" w:type="dxa"/>
            <w:vAlign w:val="bottom"/>
          </w:tcPr>
          <w:p w14:paraId="551B8565" w14:textId="7550D919"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28C04DC4" w14:textId="1FA697D5" w:rsidR="00332FAA" w:rsidRPr="00BC081A" w:rsidRDefault="00332FAA" w:rsidP="00BD306F">
            <w:pPr>
              <w:pStyle w:val="TableContext"/>
              <w:rPr>
                <w:lang w:val="en-CA"/>
              </w:rPr>
            </w:pPr>
            <w:r w:rsidRPr="00BC081A">
              <w:rPr>
                <w:lang w:val="en-CA"/>
              </w:rPr>
              <w:t>0.077</w:t>
            </w:r>
          </w:p>
        </w:tc>
      </w:tr>
      <w:tr w:rsidR="00332FAA" w:rsidRPr="00BC081A" w14:paraId="636519F1" w14:textId="77777777" w:rsidTr="008C71FB">
        <w:trPr>
          <w:trHeight w:val="300"/>
          <w:jc w:val="center"/>
        </w:trPr>
        <w:tc>
          <w:tcPr>
            <w:tcW w:w="1841" w:type="dxa"/>
            <w:shd w:val="clear" w:color="auto" w:fill="F2F2F2" w:themeFill="background1" w:themeFillShade="F2"/>
            <w:noWrap/>
            <w:vAlign w:val="bottom"/>
            <w:hideMark/>
          </w:tcPr>
          <w:p w14:paraId="2796EE58" w14:textId="77777777" w:rsidR="00332FAA" w:rsidRPr="00BC081A" w:rsidRDefault="00332FAA" w:rsidP="00BD306F">
            <w:pPr>
              <w:pStyle w:val="TableContext"/>
              <w:rPr>
                <w:lang w:val="en-CA"/>
              </w:rPr>
            </w:pPr>
            <w:r w:rsidRPr="00BC081A">
              <w:rPr>
                <w:lang w:val="en-CA"/>
              </w:rPr>
              <w:t>SP1</w:t>
            </w:r>
          </w:p>
        </w:tc>
        <w:tc>
          <w:tcPr>
            <w:tcW w:w="1266" w:type="dxa"/>
            <w:vAlign w:val="bottom"/>
          </w:tcPr>
          <w:p w14:paraId="132158B6" w14:textId="33779C29" w:rsidR="00332FAA" w:rsidRPr="00BC081A" w:rsidRDefault="00332FAA" w:rsidP="00332FAA">
            <w:pPr>
              <w:pStyle w:val="TableContext"/>
              <w:rPr>
                <w:lang w:val="en-CA"/>
              </w:rPr>
            </w:pPr>
            <w:r w:rsidRPr="00BC081A">
              <w:rPr>
                <w:lang w:val="en-CA"/>
              </w:rPr>
              <w:t>0.738</w:t>
            </w:r>
          </w:p>
        </w:tc>
        <w:tc>
          <w:tcPr>
            <w:tcW w:w="1265" w:type="dxa"/>
            <w:vAlign w:val="bottom"/>
          </w:tcPr>
          <w:p w14:paraId="4414AA14" w14:textId="0EAEAD0F" w:rsidR="00332FAA" w:rsidRPr="00BC081A" w:rsidRDefault="00332FAA" w:rsidP="00332FAA">
            <w:pPr>
              <w:pStyle w:val="TableContext"/>
              <w:rPr>
                <w:lang w:val="en-CA"/>
              </w:rPr>
            </w:pPr>
            <w:r w:rsidRPr="00BC081A">
              <w:rPr>
                <w:lang w:val="en-CA"/>
              </w:rPr>
              <w:t>0.001</w:t>
            </w:r>
          </w:p>
        </w:tc>
        <w:tc>
          <w:tcPr>
            <w:tcW w:w="1281" w:type="dxa"/>
            <w:vAlign w:val="bottom"/>
          </w:tcPr>
          <w:p w14:paraId="27698447" w14:textId="272EA8F6" w:rsidR="00332FAA" w:rsidRPr="00BC081A" w:rsidRDefault="00332FAA" w:rsidP="00BD306F">
            <w:pPr>
              <w:pStyle w:val="TableContext"/>
              <w:rPr>
                <w:lang w:val="en-CA"/>
              </w:rPr>
            </w:pPr>
            <w:r w:rsidRPr="00BC081A">
              <w:rPr>
                <w:lang w:val="en-CA"/>
              </w:rPr>
              <w:t>0.738</w:t>
            </w:r>
          </w:p>
        </w:tc>
        <w:tc>
          <w:tcPr>
            <w:tcW w:w="1265" w:type="dxa"/>
            <w:vAlign w:val="bottom"/>
          </w:tcPr>
          <w:p w14:paraId="22C83458" w14:textId="39A58958" w:rsidR="00332FAA" w:rsidRPr="00BC081A" w:rsidRDefault="00332FAA" w:rsidP="00332FAA">
            <w:pPr>
              <w:pStyle w:val="TableContext"/>
              <w:rPr>
                <w:lang w:val="en-CA"/>
              </w:rPr>
            </w:pPr>
            <w:r w:rsidRPr="00BC081A">
              <w:rPr>
                <w:lang w:val="en-CA"/>
              </w:rPr>
              <w:t>0.114</w:t>
            </w:r>
          </w:p>
        </w:tc>
        <w:tc>
          <w:tcPr>
            <w:tcW w:w="1265" w:type="dxa"/>
            <w:vAlign w:val="bottom"/>
          </w:tcPr>
          <w:p w14:paraId="791E9BFB" w14:textId="1E92D926"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64426D39" w14:textId="1BD94451" w:rsidR="00332FAA" w:rsidRPr="00BC081A" w:rsidRDefault="00332FAA" w:rsidP="00BD306F">
            <w:pPr>
              <w:pStyle w:val="TableContext"/>
              <w:rPr>
                <w:lang w:val="en-CA"/>
              </w:rPr>
            </w:pPr>
            <w:r w:rsidRPr="00BC081A">
              <w:rPr>
                <w:lang w:val="en-CA"/>
              </w:rPr>
              <w:t>0.184</w:t>
            </w:r>
          </w:p>
        </w:tc>
      </w:tr>
      <w:tr w:rsidR="00332FAA" w:rsidRPr="00BC081A" w14:paraId="199A4C30" w14:textId="77777777" w:rsidTr="008C71FB">
        <w:trPr>
          <w:trHeight w:val="300"/>
          <w:jc w:val="center"/>
        </w:trPr>
        <w:tc>
          <w:tcPr>
            <w:tcW w:w="1841" w:type="dxa"/>
            <w:shd w:val="clear" w:color="auto" w:fill="F2F2F2" w:themeFill="background1" w:themeFillShade="F2"/>
            <w:noWrap/>
            <w:vAlign w:val="bottom"/>
            <w:hideMark/>
          </w:tcPr>
          <w:p w14:paraId="38A12484" w14:textId="77777777" w:rsidR="00332FAA" w:rsidRPr="00BC081A" w:rsidRDefault="00332FAA" w:rsidP="00BD306F">
            <w:pPr>
              <w:pStyle w:val="TableContext"/>
              <w:rPr>
                <w:lang w:val="en-CA"/>
              </w:rPr>
            </w:pPr>
            <w:r w:rsidRPr="00BC081A">
              <w:rPr>
                <w:lang w:val="en-CA"/>
              </w:rPr>
              <w:t>SP2</w:t>
            </w:r>
          </w:p>
        </w:tc>
        <w:tc>
          <w:tcPr>
            <w:tcW w:w="1266" w:type="dxa"/>
            <w:vAlign w:val="bottom"/>
          </w:tcPr>
          <w:p w14:paraId="33B69B07" w14:textId="5E31DBF5" w:rsidR="00332FAA" w:rsidRPr="00BC081A" w:rsidRDefault="00332FAA" w:rsidP="00332FAA">
            <w:pPr>
              <w:pStyle w:val="TableContext"/>
              <w:rPr>
                <w:lang w:val="en-CA"/>
              </w:rPr>
            </w:pPr>
            <w:r w:rsidRPr="00BC081A">
              <w:rPr>
                <w:lang w:val="en-CA"/>
              </w:rPr>
              <w:t>0.753</w:t>
            </w:r>
          </w:p>
        </w:tc>
        <w:tc>
          <w:tcPr>
            <w:tcW w:w="1265" w:type="dxa"/>
            <w:vAlign w:val="bottom"/>
          </w:tcPr>
          <w:p w14:paraId="53432952" w14:textId="39D03918" w:rsidR="00332FAA" w:rsidRPr="00BC081A" w:rsidRDefault="00332FAA" w:rsidP="00332FAA">
            <w:pPr>
              <w:pStyle w:val="TableContext"/>
              <w:rPr>
                <w:lang w:val="en-CA"/>
              </w:rPr>
            </w:pPr>
            <w:r w:rsidRPr="00BC081A">
              <w:rPr>
                <w:lang w:val="en-CA"/>
              </w:rPr>
              <w:t>0.001</w:t>
            </w:r>
          </w:p>
        </w:tc>
        <w:tc>
          <w:tcPr>
            <w:tcW w:w="1281" w:type="dxa"/>
            <w:vAlign w:val="bottom"/>
          </w:tcPr>
          <w:p w14:paraId="40D364B1" w14:textId="67CD8A65" w:rsidR="00332FAA" w:rsidRPr="00BC081A" w:rsidRDefault="00332FAA" w:rsidP="00BD306F">
            <w:pPr>
              <w:pStyle w:val="TableContext"/>
              <w:rPr>
                <w:lang w:val="en-CA"/>
              </w:rPr>
            </w:pPr>
            <w:r w:rsidRPr="00BC081A">
              <w:rPr>
                <w:lang w:val="en-CA"/>
              </w:rPr>
              <w:t>0.753</w:t>
            </w:r>
          </w:p>
        </w:tc>
        <w:tc>
          <w:tcPr>
            <w:tcW w:w="1265" w:type="dxa"/>
            <w:vAlign w:val="bottom"/>
          </w:tcPr>
          <w:p w14:paraId="3827AB6B" w14:textId="02A15B07" w:rsidR="00332FAA" w:rsidRPr="00BC081A" w:rsidRDefault="00332FAA" w:rsidP="00332FAA">
            <w:pPr>
              <w:pStyle w:val="TableContext"/>
              <w:rPr>
                <w:lang w:val="en-CA"/>
              </w:rPr>
            </w:pPr>
            <w:r w:rsidRPr="00BC081A">
              <w:rPr>
                <w:lang w:val="en-CA"/>
              </w:rPr>
              <w:t>-0.011</w:t>
            </w:r>
          </w:p>
        </w:tc>
        <w:tc>
          <w:tcPr>
            <w:tcW w:w="1265" w:type="dxa"/>
            <w:vAlign w:val="bottom"/>
          </w:tcPr>
          <w:p w14:paraId="576B7677" w14:textId="032DD551"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1902C05C" w14:textId="2652F41B" w:rsidR="00332FAA" w:rsidRPr="00BC081A" w:rsidRDefault="00332FAA" w:rsidP="00BD306F">
            <w:pPr>
              <w:pStyle w:val="TableContext"/>
              <w:rPr>
                <w:lang w:val="en-CA"/>
              </w:rPr>
            </w:pPr>
            <w:r w:rsidRPr="00BC081A">
              <w:rPr>
                <w:lang w:val="en-CA"/>
              </w:rPr>
              <w:t>0.060</w:t>
            </w:r>
          </w:p>
        </w:tc>
      </w:tr>
      <w:tr w:rsidR="00332FAA" w:rsidRPr="00BC081A" w14:paraId="70260574" w14:textId="77777777" w:rsidTr="008C71FB">
        <w:trPr>
          <w:trHeight w:val="300"/>
          <w:jc w:val="center"/>
        </w:trPr>
        <w:tc>
          <w:tcPr>
            <w:tcW w:w="1841" w:type="dxa"/>
            <w:shd w:val="clear" w:color="auto" w:fill="F2F2F2" w:themeFill="background1" w:themeFillShade="F2"/>
            <w:noWrap/>
            <w:vAlign w:val="bottom"/>
            <w:hideMark/>
          </w:tcPr>
          <w:p w14:paraId="4F697AD8" w14:textId="77777777" w:rsidR="00332FAA" w:rsidRPr="00BC081A" w:rsidRDefault="00332FAA" w:rsidP="00BD306F">
            <w:pPr>
              <w:pStyle w:val="TableContext"/>
              <w:rPr>
                <w:lang w:val="en-CA"/>
              </w:rPr>
            </w:pPr>
            <w:r w:rsidRPr="00BC081A">
              <w:rPr>
                <w:lang w:val="en-CA"/>
              </w:rPr>
              <w:lastRenderedPageBreak/>
              <w:t>SP3</w:t>
            </w:r>
          </w:p>
        </w:tc>
        <w:tc>
          <w:tcPr>
            <w:tcW w:w="1266" w:type="dxa"/>
            <w:vAlign w:val="bottom"/>
          </w:tcPr>
          <w:p w14:paraId="0EE7101B" w14:textId="042B2790" w:rsidR="00332FAA" w:rsidRPr="00BC081A" w:rsidRDefault="00332FAA" w:rsidP="00332FAA">
            <w:pPr>
              <w:pStyle w:val="TableContext"/>
              <w:rPr>
                <w:lang w:val="en-CA"/>
              </w:rPr>
            </w:pPr>
            <w:r w:rsidRPr="00BC081A">
              <w:rPr>
                <w:lang w:val="en-CA"/>
              </w:rPr>
              <w:t>0.742</w:t>
            </w:r>
          </w:p>
        </w:tc>
        <w:tc>
          <w:tcPr>
            <w:tcW w:w="1265" w:type="dxa"/>
            <w:vAlign w:val="bottom"/>
          </w:tcPr>
          <w:p w14:paraId="3A257DE9" w14:textId="06996AA0" w:rsidR="00332FAA" w:rsidRPr="00BC081A" w:rsidRDefault="00332FAA" w:rsidP="00332FAA">
            <w:pPr>
              <w:pStyle w:val="TableContext"/>
              <w:rPr>
                <w:lang w:val="en-CA"/>
              </w:rPr>
            </w:pPr>
            <w:r w:rsidRPr="00BC081A">
              <w:rPr>
                <w:lang w:val="en-CA"/>
              </w:rPr>
              <w:t>0.001</w:t>
            </w:r>
          </w:p>
        </w:tc>
        <w:tc>
          <w:tcPr>
            <w:tcW w:w="1281" w:type="dxa"/>
            <w:vAlign w:val="bottom"/>
          </w:tcPr>
          <w:p w14:paraId="62B882E5" w14:textId="52950674" w:rsidR="00332FAA" w:rsidRPr="00BC081A" w:rsidRDefault="00332FAA" w:rsidP="00BD306F">
            <w:pPr>
              <w:pStyle w:val="TableContext"/>
              <w:rPr>
                <w:lang w:val="en-CA"/>
              </w:rPr>
            </w:pPr>
            <w:r w:rsidRPr="00BC081A">
              <w:rPr>
                <w:lang w:val="en-CA"/>
              </w:rPr>
              <w:t>0.742</w:t>
            </w:r>
          </w:p>
        </w:tc>
        <w:tc>
          <w:tcPr>
            <w:tcW w:w="1265" w:type="dxa"/>
            <w:vAlign w:val="bottom"/>
          </w:tcPr>
          <w:p w14:paraId="32D8BD53" w14:textId="105D39A1" w:rsidR="00332FAA" w:rsidRPr="00BC081A" w:rsidRDefault="00332FAA" w:rsidP="00332FAA">
            <w:pPr>
              <w:pStyle w:val="TableContext"/>
              <w:rPr>
                <w:lang w:val="en-CA"/>
              </w:rPr>
            </w:pPr>
            <w:r w:rsidRPr="00BC081A">
              <w:rPr>
                <w:lang w:val="en-CA"/>
              </w:rPr>
              <w:t>0.042</w:t>
            </w:r>
          </w:p>
        </w:tc>
        <w:tc>
          <w:tcPr>
            <w:tcW w:w="1265" w:type="dxa"/>
            <w:vAlign w:val="bottom"/>
          </w:tcPr>
          <w:p w14:paraId="08534A34" w14:textId="63789E9D"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1C9A8D28" w14:textId="50AC9815" w:rsidR="00332FAA" w:rsidRPr="00BC081A" w:rsidRDefault="00332FAA" w:rsidP="00BD306F">
            <w:pPr>
              <w:pStyle w:val="TableContext"/>
              <w:rPr>
                <w:lang w:val="en-CA"/>
              </w:rPr>
            </w:pPr>
            <w:r w:rsidRPr="00BC081A">
              <w:rPr>
                <w:lang w:val="en-CA"/>
              </w:rPr>
              <w:t>0.112</w:t>
            </w:r>
          </w:p>
        </w:tc>
      </w:tr>
      <w:tr w:rsidR="00332FAA" w:rsidRPr="00BC081A" w14:paraId="7D67DA28" w14:textId="77777777" w:rsidTr="008C71FB">
        <w:trPr>
          <w:trHeight w:val="300"/>
          <w:jc w:val="center"/>
        </w:trPr>
        <w:tc>
          <w:tcPr>
            <w:tcW w:w="1841" w:type="dxa"/>
            <w:shd w:val="clear" w:color="auto" w:fill="F2F2F2" w:themeFill="background1" w:themeFillShade="F2"/>
            <w:noWrap/>
            <w:vAlign w:val="bottom"/>
            <w:hideMark/>
          </w:tcPr>
          <w:p w14:paraId="7DAC2FBE" w14:textId="77777777" w:rsidR="00332FAA" w:rsidRPr="00BC081A" w:rsidRDefault="00332FAA" w:rsidP="00BD306F">
            <w:pPr>
              <w:pStyle w:val="TableContext"/>
              <w:rPr>
                <w:lang w:val="en-CA"/>
              </w:rPr>
            </w:pPr>
            <w:r w:rsidRPr="00BC081A">
              <w:rPr>
                <w:lang w:val="en-CA"/>
              </w:rPr>
              <w:t>SP4</w:t>
            </w:r>
          </w:p>
        </w:tc>
        <w:tc>
          <w:tcPr>
            <w:tcW w:w="1266" w:type="dxa"/>
            <w:vAlign w:val="bottom"/>
          </w:tcPr>
          <w:p w14:paraId="28832105" w14:textId="469C2F27" w:rsidR="00332FAA" w:rsidRPr="00BC081A" w:rsidRDefault="00332FAA" w:rsidP="00332FAA">
            <w:pPr>
              <w:pStyle w:val="TableContext"/>
              <w:rPr>
                <w:lang w:val="en-CA"/>
              </w:rPr>
            </w:pPr>
            <w:r w:rsidRPr="00BC081A">
              <w:rPr>
                <w:lang w:val="en-CA"/>
              </w:rPr>
              <w:t>0.845</w:t>
            </w:r>
          </w:p>
        </w:tc>
        <w:tc>
          <w:tcPr>
            <w:tcW w:w="1265" w:type="dxa"/>
            <w:vAlign w:val="bottom"/>
          </w:tcPr>
          <w:p w14:paraId="2AE218DE" w14:textId="70C9B964" w:rsidR="00332FAA" w:rsidRPr="00BC081A" w:rsidRDefault="00332FAA" w:rsidP="00332FAA">
            <w:pPr>
              <w:pStyle w:val="TableContext"/>
              <w:rPr>
                <w:lang w:val="en-CA"/>
              </w:rPr>
            </w:pPr>
            <w:r w:rsidRPr="00BC081A">
              <w:rPr>
                <w:lang w:val="en-CA"/>
              </w:rPr>
              <w:t>0.001</w:t>
            </w:r>
          </w:p>
        </w:tc>
        <w:tc>
          <w:tcPr>
            <w:tcW w:w="1281" w:type="dxa"/>
            <w:vAlign w:val="bottom"/>
          </w:tcPr>
          <w:p w14:paraId="38C32388" w14:textId="4B5C3174" w:rsidR="00332FAA" w:rsidRPr="00BC081A" w:rsidRDefault="00332FAA" w:rsidP="00BD306F">
            <w:pPr>
              <w:pStyle w:val="TableContext"/>
              <w:rPr>
                <w:lang w:val="en-CA"/>
              </w:rPr>
            </w:pPr>
            <w:r w:rsidRPr="00BC081A">
              <w:rPr>
                <w:lang w:val="en-CA"/>
              </w:rPr>
              <w:t>0.845</w:t>
            </w:r>
          </w:p>
        </w:tc>
        <w:tc>
          <w:tcPr>
            <w:tcW w:w="1265" w:type="dxa"/>
            <w:vAlign w:val="bottom"/>
          </w:tcPr>
          <w:p w14:paraId="2760C6C6" w14:textId="2569CA0B" w:rsidR="00332FAA" w:rsidRPr="00BC081A" w:rsidRDefault="00332FAA" w:rsidP="00332FAA">
            <w:pPr>
              <w:pStyle w:val="TableContext"/>
              <w:rPr>
                <w:lang w:val="en-CA"/>
              </w:rPr>
            </w:pPr>
            <w:r w:rsidRPr="00BC081A">
              <w:rPr>
                <w:lang w:val="en-CA"/>
              </w:rPr>
              <w:t>-0.027</w:t>
            </w:r>
          </w:p>
        </w:tc>
        <w:tc>
          <w:tcPr>
            <w:tcW w:w="1265" w:type="dxa"/>
            <w:vAlign w:val="bottom"/>
          </w:tcPr>
          <w:p w14:paraId="3A6A1AC2" w14:textId="6678C390"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51B08EEC" w14:textId="7E5267EE" w:rsidR="00332FAA" w:rsidRPr="00BC081A" w:rsidRDefault="00332FAA" w:rsidP="00BD306F">
            <w:pPr>
              <w:pStyle w:val="TableContext"/>
              <w:rPr>
                <w:lang w:val="en-CA"/>
              </w:rPr>
            </w:pPr>
            <w:r w:rsidRPr="00BC081A">
              <w:rPr>
                <w:lang w:val="en-CA"/>
              </w:rPr>
              <w:t>0.052</w:t>
            </w:r>
          </w:p>
        </w:tc>
      </w:tr>
      <w:tr w:rsidR="00332FAA" w:rsidRPr="00BC081A" w14:paraId="60127947" w14:textId="77777777" w:rsidTr="008C71FB">
        <w:trPr>
          <w:trHeight w:val="300"/>
          <w:jc w:val="center"/>
        </w:trPr>
        <w:tc>
          <w:tcPr>
            <w:tcW w:w="1841" w:type="dxa"/>
            <w:shd w:val="clear" w:color="auto" w:fill="F2F2F2" w:themeFill="background1" w:themeFillShade="F2"/>
            <w:noWrap/>
            <w:vAlign w:val="bottom"/>
            <w:hideMark/>
          </w:tcPr>
          <w:p w14:paraId="14293C5A" w14:textId="77777777" w:rsidR="00332FAA" w:rsidRPr="00BC081A" w:rsidRDefault="00332FAA" w:rsidP="00BD306F">
            <w:pPr>
              <w:pStyle w:val="TableContext"/>
              <w:rPr>
                <w:lang w:val="en-CA"/>
              </w:rPr>
            </w:pPr>
            <w:r w:rsidRPr="00BC081A">
              <w:rPr>
                <w:lang w:val="en-CA"/>
              </w:rPr>
              <w:t>SP5</w:t>
            </w:r>
          </w:p>
        </w:tc>
        <w:tc>
          <w:tcPr>
            <w:tcW w:w="1266" w:type="dxa"/>
            <w:vAlign w:val="bottom"/>
          </w:tcPr>
          <w:p w14:paraId="2CB1EFA9" w14:textId="05DA2373" w:rsidR="00332FAA" w:rsidRPr="00BC081A" w:rsidRDefault="00332FAA" w:rsidP="00332FAA">
            <w:pPr>
              <w:pStyle w:val="TableContext"/>
              <w:rPr>
                <w:lang w:val="en-CA"/>
              </w:rPr>
            </w:pPr>
            <w:r w:rsidRPr="00BC081A">
              <w:rPr>
                <w:lang w:val="en-CA"/>
              </w:rPr>
              <w:t>0.863</w:t>
            </w:r>
          </w:p>
        </w:tc>
        <w:tc>
          <w:tcPr>
            <w:tcW w:w="1265" w:type="dxa"/>
            <w:vAlign w:val="bottom"/>
          </w:tcPr>
          <w:p w14:paraId="4E8399C5" w14:textId="1C8E9878" w:rsidR="00332FAA" w:rsidRPr="00BC081A" w:rsidRDefault="00332FAA" w:rsidP="00332FAA">
            <w:pPr>
              <w:pStyle w:val="TableContext"/>
              <w:rPr>
                <w:lang w:val="en-CA"/>
              </w:rPr>
            </w:pPr>
            <w:r w:rsidRPr="00BC081A">
              <w:rPr>
                <w:lang w:val="en-CA"/>
              </w:rPr>
              <w:t>0.001</w:t>
            </w:r>
          </w:p>
        </w:tc>
        <w:tc>
          <w:tcPr>
            <w:tcW w:w="1281" w:type="dxa"/>
            <w:vAlign w:val="bottom"/>
          </w:tcPr>
          <w:p w14:paraId="209CB33B" w14:textId="3EE0BB70" w:rsidR="00332FAA" w:rsidRPr="00BC081A" w:rsidRDefault="00332FAA" w:rsidP="00BD306F">
            <w:pPr>
              <w:pStyle w:val="TableContext"/>
              <w:rPr>
                <w:lang w:val="en-CA"/>
              </w:rPr>
            </w:pPr>
            <w:r w:rsidRPr="00BC081A">
              <w:rPr>
                <w:lang w:val="en-CA"/>
              </w:rPr>
              <w:t>0.863</w:t>
            </w:r>
          </w:p>
        </w:tc>
        <w:tc>
          <w:tcPr>
            <w:tcW w:w="1265" w:type="dxa"/>
            <w:vAlign w:val="bottom"/>
          </w:tcPr>
          <w:p w14:paraId="5EBDF2AC" w14:textId="41F354A9" w:rsidR="00332FAA" w:rsidRPr="00BC081A" w:rsidRDefault="00332FAA" w:rsidP="00332FAA">
            <w:pPr>
              <w:pStyle w:val="TableContext"/>
              <w:rPr>
                <w:lang w:val="en-CA"/>
              </w:rPr>
            </w:pPr>
            <w:r w:rsidRPr="00BC081A">
              <w:rPr>
                <w:lang w:val="en-CA"/>
              </w:rPr>
              <w:t>-0.117</w:t>
            </w:r>
          </w:p>
        </w:tc>
        <w:tc>
          <w:tcPr>
            <w:tcW w:w="1265" w:type="dxa"/>
            <w:vAlign w:val="bottom"/>
          </w:tcPr>
          <w:p w14:paraId="4BAB11C9" w14:textId="2F03C012" w:rsidR="00332FAA" w:rsidRPr="00BC081A" w:rsidRDefault="00332FAA" w:rsidP="00332FAA">
            <w:pPr>
              <w:pStyle w:val="TableContext"/>
              <w:rPr>
                <w:lang w:val="en-CA"/>
              </w:rPr>
            </w:pPr>
            <w:r w:rsidRPr="00BC081A">
              <w:rPr>
                <w:lang w:val="en-CA"/>
              </w:rPr>
              <w:t>0.050</w:t>
            </w:r>
          </w:p>
        </w:tc>
        <w:tc>
          <w:tcPr>
            <w:tcW w:w="1300" w:type="dxa"/>
            <w:shd w:val="clear" w:color="auto" w:fill="auto"/>
            <w:noWrap/>
            <w:vAlign w:val="bottom"/>
            <w:hideMark/>
          </w:tcPr>
          <w:p w14:paraId="0CFCFA14" w14:textId="139163B7" w:rsidR="00332FAA" w:rsidRPr="00BC081A" w:rsidRDefault="00332FAA" w:rsidP="00BD306F">
            <w:pPr>
              <w:pStyle w:val="TableContext"/>
              <w:rPr>
                <w:lang w:val="en-CA"/>
              </w:rPr>
            </w:pPr>
            <w:r w:rsidRPr="00BC081A">
              <w:rPr>
                <w:lang w:val="en-CA"/>
              </w:rPr>
              <w:t>-0.036</w:t>
            </w:r>
          </w:p>
        </w:tc>
      </w:tr>
      <w:tr w:rsidR="00332FAA" w:rsidRPr="00BC081A" w14:paraId="063C544B" w14:textId="77777777" w:rsidTr="008C71FB">
        <w:trPr>
          <w:trHeight w:val="300"/>
          <w:jc w:val="center"/>
        </w:trPr>
        <w:tc>
          <w:tcPr>
            <w:tcW w:w="1841" w:type="dxa"/>
            <w:shd w:val="clear" w:color="auto" w:fill="F2F2F2" w:themeFill="background1" w:themeFillShade="F2"/>
            <w:noWrap/>
            <w:vAlign w:val="bottom"/>
            <w:hideMark/>
          </w:tcPr>
          <w:p w14:paraId="3FC3727C" w14:textId="77777777" w:rsidR="00332FAA" w:rsidRPr="00BC081A" w:rsidRDefault="00332FAA" w:rsidP="00BD306F">
            <w:pPr>
              <w:pStyle w:val="TableContext"/>
              <w:rPr>
                <w:lang w:val="en-CA"/>
              </w:rPr>
            </w:pPr>
            <w:r w:rsidRPr="00BC081A">
              <w:rPr>
                <w:lang w:val="en-CA"/>
              </w:rPr>
              <w:t>TD1</w:t>
            </w:r>
          </w:p>
        </w:tc>
        <w:tc>
          <w:tcPr>
            <w:tcW w:w="1266" w:type="dxa"/>
            <w:vAlign w:val="bottom"/>
          </w:tcPr>
          <w:p w14:paraId="64D5FCFD" w14:textId="257BF515" w:rsidR="00332FAA" w:rsidRPr="00BC081A" w:rsidRDefault="00332FAA" w:rsidP="00332FAA">
            <w:pPr>
              <w:pStyle w:val="TableContext"/>
              <w:rPr>
                <w:lang w:val="en-CA"/>
              </w:rPr>
            </w:pPr>
            <w:r w:rsidRPr="00BC081A">
              <w:rPr>
                <w:lang w:val="en-CA"/>
              </w:rPr>
              <w:t>0.707</w:t>
            </w:r>
          </w:p>
        </w:tc>
        <w:tc>
          <w:tcPr>
            <w:tcW w:w="1265" w:type="dxa"/>
            <w:vAlign w:val="bottom"/>
          </w:tcPr>
          <w:p w14:paraId="368CFAD8" w14:textId="1F75F707" w:rsidR="00332FAA" w:rsidRPr="00BC081A" w:rsidRDefault="00332FAA" w:rsidP="00332FAA">
            <w:pPr>
              <w:pStyle w:val="TableContext"/>
              <w:rPr>
                <w:lang w:val="en-CA"/>
              </w:rPr>
            </w:pPr>
            <w:r w:rsidRPr="00BC081A">
              <w:rPr>
                <w:lang w:val="en-CA"/>
              </w:rPr>
              <w:t>0.001</w:t>
            </w:r>
          </w:p>
        </w:tc>
        <w:tc>
          <w:tcPr>
            <w:tcW w:w="1281" w:type="dxa"/>
            <w:vAlign w:val="bottom"/>
          </w:tcPr>
          <w:p w14:paraId="7D4C8233" w14:textId="29AEEB7E" w:rsidR="00332FAA" w:rsidRPr="00BC081A" w:rsidRDefault="00332FAA" w:rsidP="00BD306F">
            <w:pPr>
              <w:pStyle w:val="TableContext"/>
              <w:rPr>
                <w:lang w:val="en-CA"/>
              </w:rPr>
            </w:pPr>
            <w:r w:rsidRPr="00BC081A">
              <w:rPr>
                <w:lang w:val="en-CA"/>
              </w:rPr>
              <w:t>0.707</w:t>
            </w:r>
          </w:p>
        </w:tc>
        <w:tc>
          <w:tcPr>
            <w:tcW w:w="1265" w:type="dxa"/>
            <w:vAlign w:val="bottom"/>
          </w:tcPr>
          <w:p w14:paraId="6074E669" w14:textId="3DEC42DD" w:rsidR="00332FAA" w:rsidRPr="00BC081A" w:rsidRDefault="00332FAA" w:rsidP="00332FAA">
            <w:pPr>
              <w:pStyle w:val="TableContext"/>
              <w:rPr>
                <w:lang w:val="en-CA"/>
              </w:rPr>
            </w:pPr>
            <w:r w:rsidRPr="00BC081A">
              <w:rPr>
                <w:lang w:val="en-CA"/>
              </w:rPr>
              <w:t>0.147</w:t>
            </w:r>
          </w:p>
        </w:tc>
        <w:tc>
          <w:tcPr>
            <w:tcW w:w="1265" w:type="dxa"/>
            <w:vAlign w:val="bottom"/>
          </w:tcPr>
          <w:p w14:paraId="3FECE9C8" w14:textId="2BCDE756"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480BC2C8" w14:textId="7CD62F99" w:rsidR="00332FAA" w:rsidRPr="00BC081A" w:rsidRDefault="00332FAA" w:rsidP="00BD306F">
            <w:pPr>
              <w:pStyle w:val="TableContext"/>
              <w:rPr>
                <w:lang w:val="en-CA"/>
              </w:rPr>
            </w:pPr>
            <w:r w:rsidRPr="00BC081A">
              <w:rPr>
                <w:lang w:val="en-CA"/>
              </w:rPr>
              <w:t>0.170</w:t>
            </w:r>
          </w:p>
        </w:tc>
      </w:tr>
      <w:tr w:rsidR="00332FAA" w:rsidRPr="00BC081A" w14:paraId="68CB872B" w14:textId="77777777" w:rsidTr="008C71FB">
        <w:trPr>
          <w:trHeight w:val="300"/>
          <w:jc w:val="center"/>
        </w:trPr>
        <w:tc>
          <w:tcPr>
            <w:tcW w:w="1841" w:type="dxa"/>
            <w:shd w:val="clear" w:color="auto" w:fill="F2F2F2" w:themeFill="background1" w:themeFillShade="F2"/>
            <w:noWrap/>
            <w:vAlign w:val="bottom"/>
            <w:hideMark/>
          </w:tcPr>
          <w:p w14:paraId="537A685C" w14:textId="77777777" w:rsidR="00332FAA" w:rsidRPr="00BC081A" w:rsidRDefault="00332FAA" w:rsidP="00BD306F">
            <w:pPr>
              <w:pStyle w:val="TableContext"/>
              <w:rPr>
                <w:lang w:val="en-CA"/>
              </w:rPr>
            </w:pPr>
            <w:r w:rsidRPr="00BC081A">
              <w:rPr>
                <w:lang w:val="en-CA"/>
              </w:rPr>
              <w:t>TD2</w:t>
            </w:r>
          </w:p>
        </w:tc>
        <w:tc>
          <w:tcPr>
            <w:tcW w:w="1266" w:type="dxa"/>
            <w:vAlign w:val="bottom"/>
          </w:tcPr>
          <w:p w14:paraId="3535D566" w14:textId="0B929D90" w:rsidR="00332FAA" w:rsidRPr="00BC081A" w:rsidRDefault="00332FAA" w:rsidP="00332FAA">
            <w:pPr>
              <w:pStyle w:val="TableContext"/>
              <w:rPr>
                <w:lang w:val="en-CA"/>
              </w:rPr>
            </w:pPr>
            <w:r w:rsidRPr="00BC081A">
              <w:rPr>
                <w:lang w:val="en-CA"/>
              </w:rPr>
              <w:t>0.926</w:t>
            </w:r>
          </w:p>
        </w:tc>
        <w:tc>
          <w:tcPr>
            <w:tcW w:w="1265" w:type="dxa"/>
            <w:vAlign w:val="bottom"/>
          </w:tcPr>
          <w:p w14:paraId="1EC7F981" w14:textId="12B364DF" w:rsidR="00332FAA" w:rsidRPr="00BC081A" w:rsidRDefault="00332FAA" w:rsidP="00332FAA">
            <w:pPr>
              <w:pStyle w:val="TableContext"/>
              <w:rPr>
                <w:lang w:val="en-CA"/>
              </w:rPr>
            </w:pPr>
            <w:r w:rsidRPr="00BC081A">
              <w:rPr>
                <w:lang w:val="en-CA"/>
              </w:rPr>
              <w:t>0.001</w:t>
            </w:r>
          </w:p>
        </w:tc>
        <w:tc>
          <w:tcPr>
            <w:tcW w:w="1281" w:type="dxa"/>
            <w:vAlign w:val="bottom"/>
          </w:tcPr>
          <w:p w14:paraId="5D82584D" w14:textId="5980018A" w:rsidR="00332FAA" w:rsidRPr="00BC081A" w:rsidRDefault="00332FAA" w:rsidP="00BD306F">
            <w:pPr>
              <w:pStyle w:val="TableContext"/>
              <w:rPr>
                <w:lang w:val="en-CA"/>
              </w:rPr>
            </w:pPr>
            <w:r w:rsidRPr="00BC081A">
              <w:rPr>
                <w:lang w:val="en-CA"/>
              </w:rPr>
              <w:t>0.926</w:t>
            </w:r>
          </w:p>
        </w:tc>
        <w:tc>
          <w:tcPr>
            <w:tcW w:w="1265" w:type="dxa"/>
            <w:vAlign w:val="bottom"/>
          </w:tcPr>
          <w:p w14:paraId="5712832A" w14:textId="153099EC" w:rsidR="00332FAA" w:rsidRPr="00BC081A" w:rsidRDefault="00332FAA" w:rsidP="00332FAA">
            <w:pPr>
              <w:pStyle w:val="TableContext"/>
              <w:rPr>
                <w:lang w:val="en-CA"/>
              </w:rPr>
            </w:pPr>
            <w:r w:rsidRPr="00BC081A">
              <w:rPr>
                <w:lang w:val="en-CA"/>
              </w:rPr>
              <w:t>-0.154</w:t>
            </w:r>
          </w:p>
        </w:tc>
        <w:tc>
          <w:tcPr>
            <w:tcW w:w="1265" w:type="dxa"/>
            <w:vAlign w:val="bottom"/>
          </w:tcPr>
          <w:p w14:paraId="45049342" w14:textId="048DB7BF" w:rsidR="00332FAA" w:rsidRPr="00BC081A" w:rsidRDefault="00332FAA" w:rsidP="00332FAA">
            <w:pPr>
              <w:pStyle w:val="TableContext"/>
              <w:rPr>
                <w:lang w:val="en-CA"/>
              </w:rPr>
            </w:pPr>
            <w:r w:rsidRPr="00BC081A">
              <w:rPr>
                <w:lang w:val="en-CA"/>
              </w:rPr>
              <w:t>0.010</w:t>
            </w:r>
          </w:p>
        </w:tc>
        <w:tc>
          <w:tcPr>
            <w:tcW w:w="1300" w:type="dxa"/>
            <w:shd w:val="clear" w:color="auto" w:fill="auto"/>
            <w:noWrap/>
            <w:vAlign w:val="bottom"/>
            <w:hideMark/>
          </w:tcPr>
          <w:p w14:paraId="1A026438" w14:textId="7ED17864" w:rsidR="00332FAA" w:rsidRPr="00BC081A" w:rsidRDefault="00332FAA" w:rsidP="00BD306F">
            <w:pPr>
              <w:pStyle w:val="TableContext"/>
              <w:rPr>
                <w:lang w:val="en-CA"/>
              </w:rPr>
            </w:pPr>
            <w:r w:rsidRPr="00BC081A">
              <w:rPr>
                <w:lang w:val="en-CA"/>
              </w:rPr>
              <w:t>-0.124</w:t>
            </w:r>
          </w:p>
        </w:tc>
      </w:tr>
      <w:tr w:rsidR="00332FAA" w:rsidRPr="00BC081A" w14:paraId="3846C0B6" w14:textId="77777777" w:rsidTr="008C71FB">
        <w:trPr>
          <w:trHeight w:val="300"/>
          <w:jc w:val="center"/>
        </w:trPr>
        <w:tc>
          <w:tcPr>
            <w:tcW w:w="1841" w:type="dxa"/>
            <w:shd w:val="clear" w:color="auto" w:fill="F2F2F2" w:themeFill="background1" w:themeFillShade="F2"/>
            <w:noWrap/>
            <w:vAlign w:val="bottom"/>
            <w:hideMark/>
          </w:tcPr>
          <w:p w14:paraId="630D59C1" w14:textId="77777777" w:rsidR="00332FAA" w:rsidRPr="00BC081A" w:rsidRDefault="00332FAA" w:rsidP="00BD306F">
            <w:pPr>
              <w:pStyle w:val="TableContext"/>
              <w:rPr>
                <w:lang w:val="en-CA"/>
              </w:rPr>
            </w:pPr>
            <w:r w:rsidRPr="00BC081A">
              <w:rPr>
                <w:lang w:val="en-CA"/>
              </w:rPr>
              <w:t>TD3</w:t>
            </w:r>
          </w:p>
        </w:tc>
        <w:tc>
          <w:tcPr>
            <w:tcW w:w="1266" w:type="dxa"/>
            <w:vAlign w:val="bottom"/>
          </w:tcPr>
          <w:p w14:paraId="11A84BE0" w14:textId="07318466" w:rsidR="00332FAA" w:rsidRPr="00BC081A" w:rsidRDefault="00332FAA" w:rsidP="00332FAA">
            <w:pPr>
              <w:pStyle w:val="TableContext"/>
              <w:rPr>
                <w:lang w:val="en-CA"/>
              </w:rPr>
            </w:pPr>
            <w:r w:rsidRPr="00BC081A">
              <w:rPr>
                <w:lang w:val="en-CA"/>
              </w:rPr>
              <w:t>0.892</w:t>
            </w:r>
          </w:p>
        </w:tc>
        <w:tc>
          <w:tcPr>
            <w:tcW w:w="1265" w:type="dxa"/>
            <w:vAlign w:val="bottom"/>
          </w:tcPr>
          <w:p w14:paraId="4EF77F6B" w14:textId="11B0F82D" w:rsidR="00332FAA" w:rsidRPr="00BC081A" w:rsidRDefault="00332FAA" w:rsidP="00332FAA">
            <w:pPr>
              <w:pStyle w:val="TableContext"/>
              <w:rPr>
                <w:lang w:val="en-CA"/>
              </w:rPr>
            </w:pPr>
            <w:r w:rsidRPr="00BC081A">
              <w:rPr>
                <w:lang w:val="en-CA"/>
              </w:rPr>
              <w:t>0.001</w:t>
            </w:r>
          </w:p>
        </w:tc>
        <w:tc>
          <w:tcPr>
            <w:tcW w:w="1281" w:type="dxa"/>
            <w:vAlign w:val="bottom"/>
          </w:tcPr>
          <w:p w14:paraId="6367656F" w14:textId="78BB92B1" w:rsidR="00332FAA" w:rsidRPr="00BC081A" w:rsidRDefault="00332FAA" w:rsidP="00BD306F">
            <w:pPr>
              <w:pStyle w:val="TableContext"/>
              <w:rPr>
                <w:lang w:val="en-CA"/>
              </w:rPr>
            </w:pPr>
            <w:r w:rsidRPr="00BC081A">
              <w:rPr>
                <w:lang w:val="en-CA"/>
              </w:rPr>
              <w:t>0.892</w:t>
            </w:r>
          </w:p>
        </w:tc>
        <w:tc>
          <w:tcPr>
            <w:tcW w:w="1265" w:type="dxa"/>
            <w:vAlign w:val="bottom"/>
          </w:tcPr>
          <w:p w14:paraId="1074BDB8" w14:textId="4BCED907" w:rsidR="00332FAA" w:rsidRPr="00BC081A" w:rsidRDefault="00332FAA" w:rsidP="00332FAA">
            <w:pPr>
              <w:pStyle w:val="TableContext"/>
              <w:rPr>
                <w:lang w:val="en-CA"/>
              </w:rPr>
            </w:pPr>
            <w:r w:rsidRPr="00BC081A">
              <w:rPr>
                <w:lang w:val="en-CA"/>
              </w:rPr>
              <w:t>0.001</w:t>
            </w:r>
          </w:p>
        </w:tc>
        <w:tc>
          <w:tcPr>
            <w:tcW w:w="1265" w:type="dxa"/>
            <w:vAlign w:val="bottom"/>
          </w:tcPr>
          <w:p w14:paraId="0EE64B42" w14:textId="5968B5B0" w:rsidR="00332FAA" w:rsidRPr="00BC081A" w:rsidRDefault="00332FAA" w:rsidP="00332FA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1300" w:type="dxa"/>
            <w:shd w:val="clear" w:color="auto" w:fill="auto"/>
            <w:noWrap/>
            <w:vAlign w:val="bottom"/>
            <w:hideMark/>
          </w:tcPr>
          <w:p w14:paraId="123938DA" w14:textId="5B92196D" w:rsidR="00332FAA" w:rsidRPr="00BC081A" w:rsidRDefault="00332FAA" w:rsidP="00BD306F">
            <w:pPr>
              <w:pStyle w:val="TableContext"/>
              <w:rPr>
                <w:lang w:val="en-CA"/>
              </w:rPr>
            </w:pPr>
            <w:r w:rsidRPr="00BC081A">
              <w:rPr>
                <w:lang w:val="en-CA"/>
              </w:rPr>
              <w:t>0.031</w:t>
            </w:r>
          </w:p>
        </w:tc>
      </w:tr>
      <w:tr w:rsidR="00332FAA" w:rsidRPr="00BC081A" w14:paraId="07FB2822" w14:textId="77777777" w:rsidTr="008C71FB">
        <w:trPr>
          <w:trHeight w:val="300"/>
          <w:jc w:val="center"/>
        </w:trPr>
        <w:tc>
          <w:tcPr>
            <w:tcW w:w="1841" w:type="dxa"/>
            <w:shd w:val="clear" w:color="auto" w:fill="F2F2F2" w:themeFill="background1" w:themeFillShade="F2"/>
            <w:noWrap/>
            <w:vAlign w:val="bottom"/>
            <w:hideMark/>
          </w:tcPr>
          <w:p w14:paraId="0D5BE4D4" w14:textId="2CBB29FE" w:rsidR="00332FAA" w:rsidRPr="00BC081A" w:rsidRDefault="00332FAA" w:rsidP="00BD306F">
            <w:pPr>
              <w:pStyle w:val="TableContext"/>
              <w:rPr>
                <w:b/>
                <w:lang w:val="en-CA"/>
              </w:rPr>
            </w:pPr>
            <w:r w:rsidRPr="00BC081A">
              <w:rPr>
                <w:b/>
                <w:lang w:val="en-CA"/>
              </w:rPr>
              <w:t>Average</w:t>
            </w:r>
          </w:p>
        </w:tc>
        <w:tc>
          <w:tcPr>
            <w:tcW w:w="1266" w:type="dxa"/>
            <w:vAlign w:val="bottom"/>
          </w:tcPr>
          <w:p w14:paraId="69DE1C24" w14:textId="4D2D95E3" w:rsidR="00332FAA" w:rsidRPr="00BC081A" w:rsidRDefault="00332FAA" w:rsidP="00332FAA">
            <w:pPr>
              <w:pStyle w:val="TableContext"/>
              <w:rPr>
                <w:b/>
                <w:lang w:val="en-CA"/>
              </w:rPr>
            </w:pPr>
            <w:r w:rsidRPr="00BC081A">
              <w:rPr>
                <w:b/>
                <w:lang w:val="en-CA"/>
              </w:rPr>
              <w:t>0.821</w:t>
            </w:r>
          </w:p>
        </w:tc>
        <w:tc>
          <w:tcPr>
            <w:tcW w:w="1265" w:type="dxa"/>
            <w:vAlign w:val="bottom"/>
          </w:tcPr>
          <w:p w14:paraId="3A6FCFF6" w14:textId="17B9C7AA" w:rsidR="00332FAA" w:rsidRPr="00BC081A" w:rsidRDefault="00332FAA" w:rsidP="00332FAA">
            <w:pPr>
              <w:pStyle w:val="TableContext"/>
              <w:rPr>
                <w:b/>
                <w:lang w:val="en-CA"/>
              </w:rPr>
            </w:pPr>
          </w:p>
        </w:tc>
        <w:tc>
          <w:tcPr>
            <w:tcW w:w="1281" w:type="dxa"/>
            <w:vAlign w:val="bottom"/>
          </w:tcPr>
          <w:p w14:paraId="1657433D" w14:textId="07E0141A" w:rsidR="00332FAA" w:rsidRPr="00BC081A" w:rsidRDefault="00332FAA" w:rsidP="00BD306F">
            <w:pPr>
              <w:pStyle w:val="TableContext"/>
              <w:rPr>
                <w:b/>
                <w:lang w:val="en-CA"/>
              </w:rPr>
            </w:pPr>
            <w:r w:rsidRPr="00BC081A">
              <w:rPr>
                <w:b/>
                <w:lang w:val="en-CA"/>
              </w:rPr>
              <w:t>0.821</w:t>
            </w:r>
          </w:p>
        </w:tc>
        <w:tc>
          <w:tcPr>
            <w:tcW w:w="1265" w:type="dxa"/>
            <w:vAlign w:val="bottom"/>
          </w:tcPr>
          <w:p w14:paraId="1286607F" w14:textId="210EFA1B" w:rsidR="00332FAA" w:rsidRPr="00BC081A" w:rsidRDefault="00332FAA" w:rsidP="00332FAA">
            <w:pPr>
              <w:pStyle w:val="TableContext"/>
              <w:rPr>
                <w:b/>
                <w:lang w:val="en-CA"/>
              </w:rPr>
            </w:pPr>
            <w:r w:rsidRPr="00BC081A">
              <w:rPr>
                <w:b/>
                <w:lang w:val="en-CA"/>
              </w:rPr>
              <w:t>0.000</w:t>
            </w:r>
          </w:p>
        </w:tc>
        <w:tc>
          <w:tcPr>
            <w:tcW w:w="1265" w:type="dxa"/>
            <w:vAlign w:val="bottom"/>
          </w:tcPr>
          <w:p w14:paraId="7BBE9CDC" w14:textId="76BBA51A" w:rsidR="00332FAA" w:rsidRPr="00BC081A" w:rsidRDefault="00332FAA" w:rsidP="00332FAA">
            <w:pPr>
              <w:pStyle w:val="TableContext"/>
              <w:rPr>
                <w:b/>
                <w:lang w:val="en-CA"/>
              </w:rPr>
            </w:pPr>
          </w:p>
        </w:tc>
        <w:tc>
          <w:tcPr>
            <w:tcW w:w="1300" w:type="dxa"/>
            <w:shd w:val="clear" w:color="auto" w:fill="auto"/>
            <w:noWrap/>
            <w:vAlign w:val="bottom"/>
            <w:hideMark/>
          </w:tcPr>
          <w:p w14:paraId="19666346" w14:textId="33E1E297" w:rsidR="00332FAA" w:rsidRPr="00BC081A" w:rsidRDefault="00332FAA" w:rsidP="00BD306F">
            <w:pPr>
              <w:pStyle w:val="TableContext"/>
              <w:rPr>
                <w:b/>
                <w:lang w:val="en-CA"/>
              </w:rPr>
            </w:pPr>
            <w:r w:rsidRPr="00BC081A">
              <w:rPr>
                <w:b/>
                <w:lang w:val="en-CA"/>
              </w:rPr>
              <w:t>0.046</w:t>
            </w:r>
          </w:p>
        </w:tc>
      </w:tr>
    </w:tbl>
    <w:p w14:paraId="5CC9B127" w14:textId="77777777" w:rsidR="00BD306F" w:rsidRPr="00BC081A" w:rsidRDefault="00BD306F" w:rsidP="00B23F12">
      <w:pPr>
        <w:ind w:left="720" w:firstLine="0"/>
      </w:pPr>
    </w:p>
    <w:p w14:paraId="57A5166E" w14:textId="17C8B7F0" w:rsidR="00462DE9" w:rsidRPr="00BC081A" w:rsidRDefault="00462DE9" w:rsidP="00462DE9">
      <w:r w:rsidRPr="00BC081A">
        <w:t>As the results show, all the</w:t>
      </w:r>
      <w:r w:rsidR="00A66CBC">
        <w:t xml:space="preserve"> constructs of the model have </w:t>
      </w:r>
      <w:r w:rsidRPr="00BC081A">
        <w:t>very high loading</w:t>
      </w:r>
      <w:r w:rsidR="00F81300">
        <w:t>s</w:t>
      </w:r>
      <w:r w:rsidRPr="00BC081A">
        <w:t xml:space="preserve"> on their own items (indicators) (i.e. principal factor loadings), while method factor’s loadings are very low. On average, principal factor loadings are 0.821 and method factor’s loadings are zero. </w:t>
      </w:r>
      <w:r w:rsidR="0079580F" w:rsidRPr="00BC081A">
        <w:t>Moreover, the predictive power of principal factors is on average 17.8 (0.821</w:t>
      </w:r>
      <w:r w:rsidR="00385D82" w:rsidRPr="00BC081A">
        <w:t xml:space="preserve"> ÷ </w:t>
      </w:r>
      <w:r w:rsidR="0079580F" w:rsidRPr="00BC081A">
        <w:t xml:space="preserve">0.046) times greater than the predictive power of </w:t>
      </w:r>
      <w:r w:rsidR="00F81300">
        <w:t xml:space="preserve">the </w:t>
      </w:r>
      <w:r w:rsidR="0079580F" w:rsidRPr="00BC081A">
        <w:t xml:space="preserve">method factor added in this model. </w:t>
      </w:r>
      <w:r w:rsidR="008625FA" w:rsidRPr="00BC081A">
        <w:t xml:space="preserve">Furthermore, </w:t>
      </w:r>
      <w:r w:rsidR="00F81300">
        <w:t xml:space="preserve">the </w:t>
      </w:r>
      <w:r w:rsidR="008625FA" w:rsidRPr="00BC081A">
        <w:t xml:space="preserve">majority of the factor loadings of the </w:t>
      </w:r>
      <w:r w:rsidR="0039142E" w:rsidRPr="00BC081A">
        <w:t xml:space="preserve">method factor are not significant. Considering this comparison, it can be </w:t>
      </w:r>
      <w:r w:rsidR="003D226A" w:rsidRPr="00BC081A">
        <w:t>concluded t</w:t>
      </w:r>
      <w:r w:rsidR="0039142E" w:rsidRPr="00BC081A">
        <w:t xml:space="preserve">hat </w:t>
      </w:r>
      <w:r w:rsidR="009D1AA4" w:rsidRPr="00BC081A">
        <w:t xml:space="preserve">it is very unlikely that </w:t>
      </w:r>
      <w:r w:rsidR="0039142E" w:rsidRPr="00BC081A">
        <w:t xml:space="preserve">common method bias </w:t>
      </w:r>
      <w:r w:rsidR="009D1AA4" w:rsidRPr="00BC081A">
        <w:t>issue</w:t>
      </w:r>
      <w:r w:rsidR="003D226A" w:rsidRPr="00BC081A">
        <w:t>s</w:t>
      </w:r>
      <w:r w:rsidR="009D1AA4" w:rsidRPr="00BC081A">
        <w:t xml:space="preserve"> exist with </w:t>
      </w:r>
      <w:r w:rsidR="0039142E" w:rsidRPr="00BC081A">
        <w:t>the dataset used to evaluate this model.</w:t>
      </w:r>
    </w:p>
    <w:p w14:paraId="26142FF7" w14:textId="4D9BEEFB" w:rsidR="00800802" w:rsidRPr="00BC081A" w:rsidRDefault="00800802" w:rsidP="00210A51">
      <w:pPr>
        <w:pStyle w:val="Heading4"/>
      </w:pPr>
      <w:r w:rsidRPr="00BC081A">
        <w:t>Saturated Model Analysis</w:t>
      </w:r>
    </w:p>
    <w:p w14:paraId="57F56392" w14:textId="6E1F4D81" w:rsidR="00F44412" w:rsidRPr="00BC081A" w:rsidRDefault="00656581" w:rsidP="00AF10AB">
      <w:r w:rsidRPr="00BC081A">
        <w:t xml:space="preserve">In order to test whether there are any non-hypothesized relationships in the model that could have </w:t>
      </w:r>
      <w:r w:rsidR="00F81300">
        <w:t xml:space="preserve">a </w:t>
      </w:r>
      <w:r w:rsidRPr="00BC081A">
        <w:t xml:space="preserve">significant effect in the model, an alternative saturated model was evaluated using </w:t>
      </w:r>
      <w:proofErr w:type="spellStart"/>
      <w:r w:rsidRPr="00BC081A">
        <w:t>SmartPLS</w:t>
      </w:r>
      <w:proofErr w:type="spellEnd"/>
      <w:r w:rsidRPr="00BC081A">
        <w:t xml:space="preserve">. In the saturated model, all the constructs were linked to one another. Using the bootstrapping approach (with 500 samples), the significance of each path was evaluated. The </w:t>
      </w:r>
      <w:proofErr w:type="gramStart"/>
      <w:r w:rsidRPr="00BC081A">
        <w:t xml:space="preserve">results of </w:t>
      </w:r>
      <w:r w:rsidR="00F81300" w:rsidRPr="00BC081A">
        <w:t>th</w:t>
      </w:r>
      <w:r w:rsidR="00F81300">
        <w:t>is</w:t>
      </w:r>
      <w:r w:rsidR="00F81300" w:rsidRPr="00BC081A">
        <w:t xml:space="preserve"> analys</w:t>
      </w:r>
      <w:r w:rsidR="00F81300">
        <w:t>is</w:t>
      </w:r>
      <w:r w:rsidR="00F81300" w:rsidRPr="00BC081A">
        <w:t xml:space="preserve"> </w:t>
      </w:r>
      <w:r w:rsidR="00F81300">
        <w:t>is</w:t>
      </w:r>
      <w:proofErr w:type="gramEnd"/>
      <w:r w:rsidR="00F81300" w:rsidRPr="00BC081A">
        <w:t xml:space="preserve"> </w:t>
      </w:r>
      <w:r w:rsidRPr="00BC081A">
        <w:t xml:space="preserve">shown in </w:t>
      </w:r>
      <w:r w:rsidRPr="00BC081A">
        <w:fldChar w:fldCharType="begin"/>
      </w:r>
      <w:r w:rsidRPr="00BC081A">
        <w:instrText xml:space="preserve"> REF _Ref268109080 \h </w:instrText>
      </w:r>
      <w:r w:rsidRPr="00BC081A">
        <w:fldChar w:fldCharType="separate"/>
      </w:r>
      <w:r w:rsidR="008C71FB" w:rsidRPr="00BC081A">
        <w:t xml:space="preserve">Table </w:t>
      </w:r>
      <w:r w:rsidR="008C71FB">
        <w:rPr>
          <w:noProof/>
        </w:rPr>
        <w:t>11</w:t>
      </w:r>
      <w:r w:rsidRPr="00BC081A">
        <w:fldChar w:fldCharType="end"/>
      </w:r>
      <w:r w:rsidRPr="00BC081A">
        <w:t>.</w:t>
      </w:r>
    </w:p>
    <w:p w14:paraId="4DCF0491" w14:textId="4A21C8E2" w:rsidR="00E86518" w:rsidRPr="00BC081A" w:rsidRDefault="00E86518" w:rsidP="00C92D78">
      <w:pPr>
        <w:pStyle w:val="Caption"/>
      </w:pPr>
      <w:bookmarkStart w:id="100" w:name="_Ref268109080"/>
      <w:bookmarkStart w:id="101" w:name="_Toc275209769"/>
      <w:r w:rsidRPr="00BC081A">
        <w:lastRenderedPageBreak/>
        <w:t xml:space="preserve">Table </w:t>
      </w:r>
      <w:r w:rsidR="007804FF">
        <w:fldChar w:fldCharType="begin"/>
      </w:r>
      <w:r w:rsidR="007804FF">
        <w:instrText xml:space="preserve"> SEQ Table \* ARABIC </w:instrText>
      </w:r>
      <w:r w:rsidR="007804FF">
        <w:fldChar w:fldCharType="separate"/>
      </w:r>
      <w:r w:rsidR="008C71FB">
        <w:rPr>
          <w:noProof/>
        </w:rPr>
        <w:t>11</w:t>
      </w:r>
      <w:r w:rsidR="007804FF">
        <w:rPr>
          <w:noProof/>
        </w:rPr>
        <w:fldChar w:fldCharType="end"/>
      </w:r>
      <w:bookmarkEnd w:id="100"/>
      <w:r w:rsidRPr="00BC081A">
        <w:t xml:space="preserve"> – PLS Result for Non-hypothesized Paths in the Saturated Model</w:t>
      </w:r>
      <w:bookmarkEnd w:id="101"/>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262"/>
        <w:gridCol w:w="1163"/>
        <w:gridCol w:w="1285"/>
      </w:tblGrid>
      <w:tr w:rsidR="00D208FA" w:rsidRPr="00BC081A" w14:paraId="179A9ABB" w14:textId="77777777" w:rsidTr="008C71FB">
        <w:trPr>
          <w:trHeight w:val="746"/>
          <w:jc w:val="center"/>
        </w:trPr>
        <w:tc>
          <w:tcPr>
            <w:tcW w:w="1863" w:type="dxa"/>
            <w:shd w:val="clear" w:color="auto" w:fill="F2F2F2" w:themeFill="background1" w:themeFillShade="F2"/>
            <w:vAlign w:val="center"/>
            <w:hideMark/>
          </w:tcPr>
          <w:p w14:paraId="1EBB7FAF" w14:textId="77777777" w:rsidR="00D208FA" w:rsidRPr="00BC081A" w:rsidRDefault="00D208FA" w:rsidP="00D208FA">
            <w:pPr>
              <w:pStyle w:val="TableContext"/>
              <w:rPr>
                <w:lang w:val="en-CA"/>
              </w:rPr>
            </w:pPr>
            <w:r w:rsidRPr="00BC081A">
              <w:rPr>
                <w:lang w:val="en-CA"/>
              </w:rPr>
              <w:t> </w:t>
            </w:r>
          </w:p>
        </w:tc>
        <w:tc>
          <w:tcPr>
            <w:tcW w:w="1262" w:type="dxa"/>
            <w:shd w:val="clear" w:color="000000" w:fill="F2F2F2" w:themeFill="background1" w:themeFillShade="F2"/>
            <w:vAlign w:val="center"/>
            <w:hideMark/>
          </w:tcPr>
          <w:p w14:paraId="1A1E0CAE" w14:textId="77777777" w:rsidR="00D208FA" w:rsidRPr="00BC081A" w:rsidRDefault="00D208FA" w:rsidP="00D208FA">
            <w:pPr>
              <w:pStyle w:val="TableContext"/>
              <w:rPr>
                <w:lang w:val="en-CA"/>
              </w:rPr>
            </w:pPr>
            <w:r w:rsidRPr="00BC081A">
              <w:rPr>
                <w:lang w:val="en-CA"/>
              </w:rPr>
              <w:t>Path Coefficient</w:t>
            </w:r>
          </w:p>
        </w:tc>
        <w:tc>
          <w:tcPr>
            <w:tcW w:w="1163" w:type="dxa"/>
            <w:shd w:val="clear" w:color="000000" w:fill="F2F2F2" w:themeFill="background1" w:themeFillShade="F2"/>
            <w:vAlign w:val="center"/>
            <w:hideMark/>
          </w:tcPr>
          <w:p w14:paraId="0DD93A38" w14:textId="77777777" w:rsidR="00D208FA" w:rsidRPr="00BC081A" w:rsidRDefault="00D208FA" w:rsidP="00D208FA">
            <w:pPr>
              <w:pStyle w:val="TableContext"/>
              <w:rPr>
                <w:lang w:val="en-CA"/>
              </w:rPr>
            </w:pPr>
            <w:r w:rsidRPr="00BC081A">
              <w:rPr>
                <w:lang w:val="en-CA"/>
              </w:rPr>
              <w:t>T Statistics</w:t>
            </w:r>
          </w:p>
        </w:tc>
        <w:tc>
          <w:tcPr>
            <w:tcW w:w="1285" w:type="dxa"/>
            <w:shd w:val="clear" w:color="000000" w:fill="F2F2F2" w:themeFill="background1" w:themeFillShade="F2"/>
            <w:vAlign w:val="center"/>
            <w:hideMark/>
          </w:tcPr>
          <w:p w14:paraId="619B2300" w14:textId="77777777" w:rsidR="00D208FA" w:rsidRPr="00BC081A" w:rsidRDefault="00D208FA" w:rsidP="00D208FA">
            <w:pPr>
              <w:pStyle w:val="TableContext"/>
              <w:rPr>
                <w:lang w:val="en-CA"/>
              </w:rPr>
            </w:pPr>
            <w:r w:rsidRPr="00BC081A">
              <w:rPr>
                <w:lang w:val="en-CA"/>
              </w:rPr>
              <w:t>Significant Level</w:t>
            </w:r>
          </w:p>
        </w:tc>
      </w:tr>
      <w:tr w:rsidR="00D208FA" w:rsidRPr="00BC081A" w14:paraId="17AE6FB3" w14:textId="77777777" w:rsidTr="008C71FB">
        <w:trPr>
          <w:trHeight w:val="504"/>
          <w:jc w:val="center"/>
        </w:trPr>
        <w:tc>
          <w:tcPr>
            <w:tcW w:w="1863" w:type="dxa"/>
            <w:shd w:val="clear" w:color="auto" w:fill="F2F2F2" w:themeFill="background1" w:themeFillShade="F2"/>
            <w:vAlign w:val="center"/>
            <w:hideMark/>
          </w:tcPr>
          <w:p w14:paraId="212EC8B5" w14:textId="77777777" w:rsidR="00D208FA" w:rsidRPr="00BC081A" w:rsidRDefault="00D208FA" w:rsidP="00D208FA">
            <w:pPr>
              <w:pStyle w:val="TableContext"/>
              <w:rPr>
                <w:lang w:val="en-CA"/>
              </w:rPr>
            </w:pPr>
            <w:r w:rsidRPr="00BC081A">
              <w:rPr>
                <w:lang w:val="en-CA"/>
              </w:rPr>
              <w:t>AR</w:t>
            </w:r>
            <w:r w:rsidRPr="00BC081A">
              <w:rPr>
                <w:lang w:val="en-CA"/>
              </w:rPr>
              <w:sym w:font="Wingdings" w:char="F0E0"/>
            </w:r>
            <w:r w:rsidRPr="00BC081A">
              <w:rPr>
                <w:lang w:val="en-CA"/>
              </w:rPr>
              <w:t xml:space="preserve"> SA</w:t>
            </w:r>
          </w:p>
        </w:tc>
        <w:tc>
          <w:tcPr>
            <w:tcW w:w="1262" w:type="dxa"/>
            <w:shd w:val="clear" w:color="auto" w:fill="auto"/>
            <w:vAlign w:val="center"/>
            <w:hideMark/>
          </w:tcPr>
          <w:p w14:paraId="1AD69A41" w14:textId="44A02E13" w:rsidR="00D208FA" w:rsidRPr="00BC081A" w:rsidRDefault="00D208FA" w:rsidP="00023591">
            <w:pPr>
              <w:pStyle w:val="TableContext"/>
              <w:rPr>
                <w:lang w:val="en-CA"/>
              </w:rPr>
            </w:pPr>
            <w:r w:rsidRPr="00BC081A">
              <w:rPr>
                <w:lang w:val="en-CA"/>
              </w:rPr>
              <w:t>0.2</w:t>
            </w:r>
            <w:r w:rsidR="00023591" w:rsidRPr="00BC081A">
              <w:rPr>
                <w:lang w:val="en-CA"/>
              </w:rPr>
              <w:t>70</w:t>
            </w:r>
          </w:p>
        </w:tc>
        <w:tc>
          <w:tcPr>
            <w:tcW w:w="1163" w:type="dxa"/>
            <w:shd w:val="clear" w:color="auto" w:fill="auto"/>
            <w:vAlign w:val="center"/>
            <w:hideMark/>
          </w:tcPr>
          <w:p w14:paraId="35E86291" w14:textId="39005E56" w:rsidR="00D208FA" w:rsidRPr="00BC081A" w:rsidRDefault="00D208FA" w:rsidP="00023591">
            <w:pPr>
              <w:pStyle w:val="TableContext"/>
              <w:rPr>
                <w:lang w:val="en-CA"/>
              </w:rPr>
            </w:pPr>
            <w:r w:rsidRPr="00BC081A">
              <w:rPr>
                <w:lang w:val="en-CA"/>
              </w:rPr>
              <w:t>2.</w:t>
            </w:r>
            <w:r w:rsidR="00023591" w:rsidRPr="00BC081A">
              <w:rPr>
                <w:lang w:val="en-CA"/>
              </w:rPr>
              <w:t>049</w:t>
            </w:r>
          </w:p>
        </w:tc>
        <w:tc>
          <w:tcPr>
            <w:tcW w:w="1285" w:type="dxa"/>
            <w:shd w:val="clear" w:color="auto" w:fill="auto"/>
            <w:vAlign w:val="center"/>
            <w:hideMark/>
          </w:tcPr>
          <w:p w14:paraId="2F1A1BEF" w14:textId="77777777" w:rsidR="00D208FA" w:rsidRPr="00BC081A" w:rsidRDefault="00D208FA" w:rsidP="00D208FA">
            <w:pPr>
              <w:pStyle w:val="TableContext"/>
              <w:rPr>
                <w:lang w:val="en-CA"/>
              </w:rPr>
            </w:pPr>
            <w:proofErr w:type="gramStart"/>
            <w:r w:rsidRPr="00BC081A">
              <w:rPr>
                <w:i/>
                <w:iCs/>
                <w:lang w:val="en-CA"/>
              </w:rPr>
              <w:t>p</w:t>
            </w:r>
            <w:proofErr w:type="gramEnd"/>
            <w:r w:rsidRPr="00BC081A">
              <w:rPr>
                <w:i/>
                <w:iCs/>
                <w:lang w:val="en-CA"/>
              </w:rPr>
              <w:t>&lt;</w:t>
            </w:r>
            <w:r w:rsidRPr="00BC081A">
              <w:rPr>
                <w:lang w:val="en-CA"/>
              </w:rPr>
              <w:t>0.05</w:t>
            </w:r>
          </w:p>
        </w:tc>
      </w:tr>
      <w:tr w:rsidR="00D208FA" w:rsidRPr="00BC081A" w14:paraId="29A6ACD5" w14:textId="77777777" w:rsidTr="008C71FB">
        <w:trPr>
          <w:trHeight w:val="558"/>
          <w:jc w:val="center"/>
        </w:trPr>
        <w:tc>
          <w:tcPr>
            <w:tcW w:w="1863" w:type="dxa"/>
            <w:shd w:val="clear" w:color="auto" w:fill="F2F2F2" w:themeFill="background1" w:themeFillShade="F2"/>
            <w:vAlign w:val="center"/>
            <w:hideMark/>
          </w:tcPr>
          <w:p w14:paraId="19FFF1A2" w14:textId="77777777" w:rsidR="00D208FA" w:rsidRPr="00BC081A" w:rsidRDefault="00D208FA" w:rsidP="00D208FA">
            <w:pPr>
              <w:pStyle w:val="TableContext"/>
              <w:rPr>
                <w:lang w:val="en-CA"/>
              </w:rPr>
            </w:pPr>
            <w:r w:rsidRPr="00BC081A">
              <w:rPr>
                <w:lang w:val="en-CA"/>
              </w:rPr>
              <w:t>CH</w:t>
            </w:r>
            <w:r w:rsidRPr="00BC081A">
              <w:rPr>
                <w:lang w:val="en-CA"/>
              </w:rPr>
              <w:sym w:font="Wingdings" w:char="F0E0"/>
            </w:r>
            <w:r w:rsidRPr="00BC081A">
              <w:rPr>
                <w:lang w:val="en-CA"/>
              </w:rPr>
              <w:t>SA</w:t>
            </w:r>
          </w:p>
        </w:tc>
        <w:tc>
          <w:tcPr>
            <w:tcW w:w="1262" w:type="dxa"/>
            <w:shd w:val="clear" w:color="auto" w:fill="auto"/>
            <w:vAlign w:val="center"/>
            <w:hideMark/>
          </w:tcPr>
          <w:p w14:paraId="0AE591E5" w14:textId="6C2D850F" w:rsidR="00D208FA" w:rsidRPr="00BC081A" w:rsidRDefault="00D208FA" w:rsidP="00023591">
            <w:pPr>
              <w:pStyle w:val="TableContext"/>
              <w:rPr>
                <w:lang w:val="en-CA"/>
              </w:rPr>
            </w:pPr>
            <w:r w:rsidRPr="00BC081A">
              <w:rPr>
                <w:lang w:val="en-CA"/>
              </w:rPr>
              <w:t>0.</w:t>
            </w:r>
            <w:r w:rsidR="00023591" w:rsidRPr="00BC081A">
              <w:rPr>
                <w:lang w:val="en-CA"/>
              </w:rPr>
              <w:t>221</w:t>
            </w:r>
          </w:p>
        </w:tc>
        <w:tc>
          <w:tcPr>
            <w:tcW w:w="1163" w:type="dxa"/>
            <w:shd w:val="clear" w:color="auto" w:fill="auto"/>
            <w:vAlign w:val="center"/>
            <w:hideMark/>
          </w:tcPr>
          <w:p w14:paraId="241AC0F4" w14:textId="1797931F" w:rsidR="00D208FA" w:rsidRPr="00BC081A" w:rsidRDefault="00D208FA" w:rsidP="00023591">
            <w:pPr>
              <w:pStyle w:val="TableContext"/>
              <w:rPr>
                <w:lang w:val="en-CA"/>
              </w:rPr>
            </w:pPr>
            <w:r w:rsidRPr="00BC081A">
              <w:rPr>
                <w:lang w:val="en-CA"/>
              </w:rPr>
              <w:t>2.</w:t>
            </w:r>
            <w:r w:rsidR="00023591" w:rsidRPr="00BC081A">
              <w:rPr>
                <w:lang w:val="en-CA"/>
              </w:rPr>
              <w:t>512</w:t>
            </w:r>
          </w:p>
        </w:tc>
        <w:tc>
          <w:tcPr>
            <w:tcW w:w="1285" w:type="dxa"/>
            <w:shd w:val="clear" w:color="auto" w:fill="auto"/>
            <w:vAlign w:val="center"/>
            <w:hideMark/>
          </w:tcPr>
          <w:p w14:paraId="31692469" w14:textId="77777777" w:rsidR="00D208FA" w:rsidRPr="00BC081A" w:rsidRDefault="00D208FA" w:rsidP="00D208FA">
            <w:pPr>
              <w:pStyle w:val="TableContext"/>
              <w:rPr>
                <w:lang w:val="en-CA"/>
              </w:rPr>
            </w:pPr>
            <w:proofErr w:type="gramStart"/>
            <w:r w:rsidRPr="00BC081A">
              <w:rPr>
                <w:i/>
                <w:iCs/>
                <w:lang w:val="en-CA"/>
              </w:rPr>
              <w:t>p</w:t>
            </w:r>
            <w:proofErr w:type="gramEnd"/>
            <w:r w:rsidRPr="00BC081A">
              <w:rPr>
                <w:i/>
                <w:iCs/>
                <w:lang w:val="en-CA"/>
              </w:rPr>
              <w:t>&lt;</w:t>
            </w:r>
            <w:r w:rsidRPr="00BC081A">
              <w:rPr>
                <w:lang w:val="en-CA"/>
              </w:rPr>
              <w:t>0.01</w:t>
            </w:r>
          </w:p>
        </w:tc>
      </w:tr>
      <w:tr w:rsidR="00D208FA" w:rsidRPr="00BC081A" w14:paraId="0438BBA4" w14:textId="77777777" w:rsidTr="008C71FB">
        <w:trPr>
          <w:trHeight w:val="504"/>
          <w:jc w:val="center"/>
        </w:trPr>
        <w:tc>
          <w:tcPr>
            <w:tcW w:w="1863" w:type="dxa"/>
            <w:shd w:val="clear" w:color="auto" w:fill="F2F2F2" w:themeFill="background1" w:themeFillShade="F2"/>
            <w:vAlign w:val="center"/>
            <w:hideMark/>
          </w:tcPr>
          <w:p w14:paraId="7A41354D" w14:textId="77777777" w:rsidR="00D208FA" w:rsidRPr="00BC081A" w:rsidRDefault="00D208FA" w:rsidP="00D208FA">
            <w:pPr>
              <w:pStyle w:val="TableContext"/>
              <w:rPr>
                <w:lang w:val="en-CA"/>
              </w:rPr>
            </w:pPr>
            <w:r w:rsidRPr="00BC081A">
              <w:rPr>
                <w:lang w:val="en-CA"/>
              </w:rPr>
              <w:t>Mode</w:t>
            </w:r>
            <w:r w:rsidRPr="00BC081A">
              <w:rPr>
                <w:lang w:val="en-CA"/>
              </w:rPr>
              <w:sym w:font="Wingdings" w:char="F0E0"/>
            </w:r>
            <w:r w:rsidRPr="00BC081A">
              <w:rPr>
                <w:lang w:val="en-CA"/>
              </w:rPr>
              <w:t>AR</w:t>
            </w:r>
          </w:p>
        </w:tc>
        <w:tc>
          <w:tcPr>
            <w:tcW w:w="1262" w:type="dxa"/>
            <w:shd w:val="clear" w:color="auto" w:fill="auto"/>
            <w:vAlign w:val="center"/>
            <w:hideMark/>
          </w:tcPr>
          <w:p w14:paraId="32A6C794" w14:textId="220ED94B" w:rsidR="00D208FA" w:rsidRPr="00BC081A" w:rsidRDefault="00D208FA" w:rsidP="00023591">
            <w:pPr>
              <w:pStyle w:val="TableContext"/>
              <w:rPr>
                <w:lang w:val="en-CA"/>
              </w:rPr>
            </w:pPr>
            <w:r w:rsidRPr="00BC081A">
              <w:rPr>
                <w:lang w:val="en-CA"/>
              </w:rPr>
              <w:t>-0.</w:t>
            </w:r>
            <w:r w:rsidR="00023591" w:rsidRPr="00BC081A">
              <w:rPr>
                <w:lang w:val="en-CA"/>
              </w:rPr>
              <w:t>270</w:t>
            </w:r>
          </w:p>
        </w:tc>
        <w:tc>
          <w:tcPr>
            <w:tcW w:w="1163" w:type="dxa"/>
            <w:shd w:val="clear" w:color="auto" w:fill="auto"/>
            <w:vAlign w:val="center"/>
            <w:hideMark/>
          </w:tcPr>
          <w:p w14:paraId="4343554D" w14:textId="1FA22A7B" w:rsidR="00D208FA" w:rsidRPr="00BC081A" w:rsidRDefault="00D208FA" w:rsidP="00023591">
            <w:pPr>
              <w:pStyle w:val="TableContext"/>
              <w:rPr>
                <w:lang w:val="en-CA"/>
              </w:rPr>
            </w:pPr>
            <w:r w:rsidRPr="00BC081A">
              <w:rPr>
                <w:lang w:val="en-CA"/>
              </w:rPr>
              <w:t>2.</w:t>
            </w:r>
            <w:r w:rsidR="00023591" w:rsidRPr="00BC081A">
              <w:rPr>
                <w:lang w:val="en-CA"/>
              </w:rPr>
              <w:t>711</w:t>
            </w:r>
          </w:p>
        </w:tc>
        <w:tc>
          <w:tcPr>
            <w:tcW w:w="1285" w:type="dxa"/>
            <w:shd w:val="clear" w:color="auto" w:fill="auto"/>
            <w:vAlign w:val="center"/>
            <w:hideMark/>
          </w:tcPr>
          <w:p w14:paraId="092C5154" w14:textId="77777777" w:rsidR="00D208FA" w:rsidRPr="00BC081A" w:rsidRDefault="00D208FA" w:rsidP="00D208FA">
            <w:pPr>
              <w:pStyle w:val="TableContext"/>
              <w:rPr>
                <w:lang w:val="en-CA"/>
              </w:rPr>
            </w:pPr>
            <w:proofErr w:type="gramStart"/>
            <w:r w:rsidRPr="00BC081A">
              <w:rPr>
                <w:i/>
                <w:iCs/>
                <w:lang w:val="en-CA"/>
              </w:rPr>
              <w:t>p</w:t>
            </w:r>
            <w:proofErr w:type="gramEnd"/>
            <w:r w:rsidRPr="00BC081A">
              <w:rPr>
                <w:i/>
                <w:iCs/>
                <w:lang w:val="en-CA"/>
              </w:rPr>
              <w:t>&lt;</w:t>
            </w:r>
            <w:r w:rsidRPr="00BC081A">
              <w:rPr>
                <w:lang w:val="en-CA"/>
              </w:rPr>
              <w:t>0.01</w:t>
            </w:r>
          </w:p>
        </w:tc>
      </w:tr>
      <w:tr w:rsidR="00D208FA" w:rsidRPr="00BC081A" w14:paraId="53A81A5A" w14:textId="77777777" w:rsidTr="008C71FB">
        <w:trPr>
          <w:trHeight w:val="504"/>
          <w:jc w:val="center"/>
        </w:trPr>
        <w:tc>
          <w:tcPr>
            <w:tcW w:w="1863" w:type="dxa"/>
            <w:shd w:val="clear" w:color="auto" w:fill="F2F2F2" w:themeFill="background1" w:themeFillShade="F2"/>
            <w:vAlign w:val="center"/>
            <w:hideMark/>
          </w:tcPr>
          <w:p w14:paraId="0F8337EE" w14:textId="77777777" w:rsidR="00D208FA" w:rsidRPr="00BC081A" w:rsidRDefault="00D208FA" w:rsidP="00D208FA">
            <w:pPr>
              <w:pStyle w:val="TableContext"/>
              <w:rPr>
                <w:lang w:val="en-CA"/>
              </w:rPr>
            </w:pPr>
            <w:r w:rsidRPr="00BC081A">
              <w:rPr>
                <w:lang w:val="en-CA"/>
              </w:rPr>
              <w:t>Mode</w:t>
            </w:r>
            <w:r w:rsidRPr="00BC081A">
              <w:rPr>
                <w:lang w:val="en-CA"/>
              </w:rPr>
              <w:sym w:font="Wingdings" w:char="F0E0"/>
            </w:r>
            <w:r w:rsidRPr="00BC081A">
              <w:rPr>
                <w:lang w:val="en-CA"/>
              </w:rPr>
              <w:t>CH</w:t>
            </w:r>
          </w:p>
        </w:tc>
        <w:tc>
          <w:tcPr>
            <w:tcW w:w="1262" w:type="dxa"/>
            <w:shd w:val="clear" w:color="auto" w:fill="auto"/>
            <w:vAlign w:val="center"/>
            <w:hideMark/>
          </w:tcPr>
          <w:p w14:paraId="38056587" w14:textId="36B2BB62" w:rsidR="00D208FA" w:rsidRPr="00BC081A" w:rsidRDefault="00D208FA" w:rsidP="00225E5D">
            <w:pPr>
              <w:pStyle w:val="TableContext"/>
              <w:rPr>
                <w:lang w:val="en-CA"/>
              </w:rPr>
            </w:pPr>
            <w:r w:rsidRPr="00BC081A">
              <w:rPr>
                <w:lang w:val="en-CA"/>
              </w:rPr>
              <w:t>-0.</w:t>
            </w:r>
            <w:r w:rsidR="00225E5D" w:rsidRPr="00BC081A">
              <w:rPr>
                <w:lang w:val="en-CA"/>
              </w:rPr>
              <w:t>147</w:t>
            </w:r>
          </w:p>
        </w:tc>
        <w:tc>
          <w:tcPr>
            <w:tcW w:w="1163" w:type="dxa"/>
            <w:shd w:val="clear" w:color="auto" w:fill="auto"/>
            <w:vAlign w:val="center"/>
            <w:hideMark/>
          </w:tcPr>
          <w:p w14:paraId="4214AB22" w14:textId="55485C92" w:rsidR="00D208FA" w:rsidRPr="00BC081A" w:rsidRDefault="00D208FA" w:rsidP="00225E5D">
            <w:pPr>
              <w:pStyle w:val="TableContext"/>
              <w:rPr>
                <w:lang w:val="en-CA"/>
              </w:rPr>
            </w:pPr>
            <w:r w:rsidRPr="00BC081A">
              <w:rPr>
                <w:lang w:val="en-CA"/>
              </w:rPr>
              <w:t>1.</w:t>
            </w:r>
            <w:r w:rsidR="00225E5D" w:rsidRPr="00BC081A">
              <w:rPr>
                <w:lang w:val="en-CA"/>
              </w:rPr>
              <w:t>339</w:t>
            </w:r>
          </w:p>
        </w:tc>
        <w:tc>
          <w:tcPr>
            <w:tcW w:w="1285" w:type="dxa"/>
            <w:shd w:val="clear" w:color="auto" w:fill="auto"/>
            <w:vAlign w:val="center"/>
            <w:hideMark/>
          </w:tcPr>
          <w:p w14:paraId="2DF60EF2"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0165D52F" w14:textId="77777777" w:rsidTr="008C71FB">
        <w:trPr>
          <w:trHeight w:val="504"/>
          <w:jc w:val="center"/>
        </w:trPr>
        <w:tc>
          <w:tcPr>
            <w:tcW w:w="1863" w:type="dxa"/>
            <w:shd w:val="clear" w:color="auto" w:fill="F2F2F2" w:themeFill="background1" w:themeFillShade="F2"/>
            <w:vAlign w:val="center"/>
            <w:hideMark/>
          </w:tcPr>
          <w:p w14:paraId="7307D0A0" w14:textId="77777777" w:rsidR="00D208FA" w:rsidRPr="00BC081A" w:rsidRDefault="00D208FA" w:rsidP="00D208FA">
            <w:pPr>
              <w:pStyle w:val="TableContext"/>
              <w:rPr>
                <w:lang w:val="en-CA"/>
              </w:rPr>
            </w:pPr>
            <w:r w:rsidRPr="00BC081A">
              <w:rPr>
                <w:lang w:val="en-CA"/>
              </w:rPr>
              <w:t>Mode -&gt; Flow</w:t>
            </w:r>
          </w:p>
        </w:tc>
        <w:tc>
          <w:tcPr>
            <w:tcW w:w="1262" w:type="dxa"/>
            <w:shd w:val="clear" w:color="auto" w:fill="auto"/>
            <w:vAlign w:val="center"/>
            <w:hideMark/>
          </w:tcPr>
          <w:p w14:paraId="0DDB737A" w14:textId="195DA3B3" w:rsidR="00D208FA" w:rsidRPr="00BC081A" w:rsidRDefault="00D208FA" w:rsidP="004E5819">
            <w:pPr>
              <w:pStyle w:val="TableContext"/>
              <w:rPr>
                <w:lang w:val="en-CA"/>
              </w:rPr>
            </w:pPr>
            <w:r w:rsidRPr="00BC081A">
              <w:rPr>
                <w:lang w:val="en-CA"/>
              </w:rPr>
              <w:t>0.</w:t>
            </w:r>
            <w:r w:rsidR="004E5819" w:rsidRPr="00BC081A">
              <w:rPr>
                <w:lang w:val="en-CA"/>
              </w:rPr>
              <w:t>095</w:t>
            </w:r>
          </w:p>
        </w:tc>
        <w:tc>
          <w:tcPr>
            <w:tcW w:w="1163" w:type="dxa"/>
            <w:shd w:val="clear" w:color="auto" w:fill="auto"/>
            <w:vAlign w:val="center"/>
            <w:hideMark/>
          </w:tcPr>
          <w:p w14:paraId="36E9D1C8" w14:textId="00610259" w:rsidR="00D208FA" w:rsidRPr="00BC081A" w:rsidRDefault="00D208FA" w:rsidP="004E5819">
            <w:pPr>
              <w:pStyle w:val="TableContext"/>
              <w:rPr>
                <w:lang w:val="en-CA"/>
              </w:rPr>
            </w:pPr>
            <w:r w:rsidRPr="00BC081A">
              <w:rPr>
                <w:lang w:val="en-CA"/>
              </w:rPr>
              <w:t>0.</w:t>
            </w:r>
            <w:r w:rsidR="004E5819" w:rsidRPr="00BC081A">
              <w:rPr>
                <w:lang w:val="en-CA"/>
              </w:rPr>
              <w:t>883</w:t>
            </w:r>
          </w:p>
        </w:tc>
        <w:tc>
          <w:tcPr>
            <w:tcW w:w="1285" w:type="dxa"/>
            <w:shd w:val="clear" w:color="auto" w:fill="auto"/>
            <w:vAlign w:val="center"/>
            <w:hideMark/>
          </w:tcPr>
          <w:p w14:paraId="4321C3EB"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1C8E7E09" w14:textId="77777777" w:rsidTr="008C71FB">
        <w:trPr>
          <w:trHeight w:val="574"/>
          <w:jc w:val="center"/>
        </w:trPr>
        <w:tc>
          <w:tcPr>
            <w:tcW w:w="1863" w:type="dxa"/>
            <w:shd w:val="clear" w:color="auto" w:fill="F2F2F2" w:themeFill="background1" w:themeFillShade="F2"/>
            <w:vAlign w:val="center"/>
            <w:hideMark/>
          </w:tcPr>
          <w:p w14:paraId="3AB01223" w14:textId="59A5AD2C" w:rsidR="00D208FA" w:rsidRPr="00BC081A" w:rsidRDefault="00D208FA" w:rsidP="00D208FA">
            <w:pPr>
              <w:pStyle w:val="TableContext"/>
              <w:rPr>
                <w:lang w:val="en-CA"/>
              </w:rPr>
            </w:pPr>
            <w:r w:rsidRPr="00BC081A">
              <w:rPr>
                <w:lang w:val="en-CA"/>
              </w:rPr>
              <w:t xml:space="preserve">Mode -&gt; </w:t>
            </w:r>
            <w:proofErr w:type="spellStart"/>
            <w:r w:rsidR="005624B9" w:rsidRPr="00BC081A">
              <w:rPr>
                <w:lang w:val="en-CA"/>
              </w:rPr>
              <w:t>DCompt</w:t>
            </w:r>
            <w:proofErr w:type="spellEnd"/>
          </w:p>
        </w:tc>
        <w:tc>
          <w:tcPr>
            <w:tcW w:w="1262" w:type="dxa"/>
            <w:shd w:val="clear" w:color="auto" w:fill="auto"/>
            <w:vAlign w:val="center"/>
            <w:hideMark/>
          </w:tcPr>
          <w:p w14:paraId="0FB4AD0C" w14:textId="1F950C08" w:rsidR="00D208FA" w:rsidRPr="00BC081A" w:rsidRDefault="00D04CE3" w:rsidP="00D04CE3">
            <w:pPr>
              <w:pStyle w:val="TableContext"/>
              <w:rPr>
                <w:lang w:val="en-CA"/>
              </w:rPr>
            </w:pPr>
            <w:r w:rsidRPr="00BC081A">
              <w:rPr>
                <w:lang w:val="en-CA"/>
              </w:rPr>
              <w:t>-</w:t>
            </w:r>
            <w:r w:rsidR="00D208FA" w:rsidRPr="00BC081A">
              <w:rPr>
                <w:lang w:val="en-CA"/>
              </w:rPr>
              <w:t>0.</w:t>
            </w:r>
            <w:r w:rsidRPr="00BC081A">
              <w:rPr>
                <w:lang w:val="en-CA"/>
              </w:rPr>
              <w:t>033</w:t>
            </w:r>
          </w:p>
        </w:tc>
        <w:tc>
          <w:tcPr>
            <w:tcW w:w="1163" w:type="dxa"/>
            <w:shd w:val="clear" w:color="auto" w:fill="auto"/>
            <w:vAlign w:val="center"/>
            <w:hideMark/>
          </w:tcPr>
          <w:p w14:paraId="215F6C9E" w14:textId="4B78E0E4" w:rsidR="00D208FA" w:rsidRPr="00BC081A" w:rsidRDefault="00D208FA" w:rsidP="00D04CE3">
            <w:pPr>
              <w:pStyle w:val="TableContext"/>
              <w:rPr>
                <w:lang w:val="en-CA"/>
              </w:rPr>
            </w:pPr>
            <w:r w:rsidRPr="00BC081A">
              <w:rPr>
                <w:lang w:val="en-CA"/>
              </w:rPr>
              <w:t>0.</w:t>
            </w:r>
            <w:r w:rsidR="00D04CE3" w:rsidRPr="00BC081A">
              <w:rPr>
                <w:lang w:val="en-CA"/>
              </w:rPr>
              <w:t>238</w:t>
            </w:r>
          </w:p>
        </w:tc>
        <w:tc>
          <w:tcPr>
            <w:tcW w:w="1285" w:type="dxa"/>
            <w:shd w:val="clear" w:color="auto" w:fill="auto"/>
            <w:vAlign w:val="center"/>
            <w:hideMark/>
          </w:tcPr>
          <w:p w14:paraId="64D6B945"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1C56D4AA" w14:textId="77777777" w:rsidTr="008C71FB">
        <w:trPr>
          <w:trHeight w:val="504"/>
          <w:jc w:val="center"/>
        </w:trPr>
        <w:tc>
          <w:tcPr>
            <w:tcW w:w="1863" w:type="dxa"/>
            <w:shd w:val="clear" w:color="auto" w:fill="F2F2F2" w:themeFill="background1" w:themeFillShade="F2"/>
            <w:vAlign w:val="center"/>
            <w:hideMark/>
          </w:tcPr>
          <w:p w14:paraId="2185DD50" w14:textId="77777777" w:rsidR="00D208FA" w:rsidRPr="00BC081A" w:rsidRDefault="00D208FA" w:rsidP="00D208FA">
            <w:pPr>
              <w:pStyle w:val="TableContext"/>
              <w:rPr>
                <w:lang w:val="en-CA"/>
              </w:rPr>
            </w:pPr>
            <w:r w:rsidRPr="00BC081A">
              <w:rPr>
                <w:lang w:val="en-CA"/>
              </w:rPr>
              <w:t>Mode -&gt; SA</w:t>
            </w:r>
          </w:p>
        </w:tc>
        <w:tc>
          <w:tcPr>
            <w:tcW w:w="1262" w:type="dxa"/>
            <w:shd w:val="clear" w:color="auto" w:fill="auto"/>
            <w:vAlign w:val="center"/>
            <w:hideMark/>
          </w:tcPr>
          <w:p w14:paraId="278808D3" w14:textId="4814DF83" w:rsidR="00D208FA" w:rsidRPr="00BC081A" w:rsidRDefault="00D208FA" w:rsidP="00D04CE3">
            <w:pPr>
              <w:pStyle w:val="TableContext"/>
              <w:rPr>
                <w:lang w:val="en-CA"/>
              </w:rPr>
            </w:pPr>
            <w:r w:rsidRPr="00BC081A">
              <w:rPr>
                <w:lang w:val="en-CA"/>
              </w:rPr>
              <w:t>-0.</w:t>
            </w:r>
            <w:r w:rsidR="00D04CE3" w:rsidRPr="00BC081A">
              <w:rPr>
                <w:lang w:val="en-CA"/>
              </w:rPr>
              <w:t>088</w:t>
            </w:r>
          </w:p>
        </w:tc>
        <w:tc>
          <w:tcPr>
            <w:tcW w:w="1163" w:type="dxa"/>
            <w:shd w:val="clear" w:color="auto" w:fill="auto"/>
            <w:vAlign w:val="center"/>
            <w:hideMark/>
          </w:tcPr>
          <w:p w14:paraId="28C75A6D" w14:textId="621BE053" w:rsidR="00D208FA" w:rsidRPr="00BC081A" w:rsidRDefault="00D208FA" w:rsidP="002638D1">
            <w:pPr>
              <w:pStyle w:val="TableContext"/>
              <w:rPr>
                <w:lang w:val="en-CA"/>
              </w:rPr>
            </w:pPr>
            <w:r w:rsidRPr="00BC081A">
              <w:rPr>
                <w:lang w:val="en-CA"/>
              </w:rPr>
              <w:t>0.</w:t>
            </w:r>
            <w:r w:rsidR="002638D1" w:rsidRPr="00BC081A">
              <w:rPr>
                <w:lang w:val="en-CA"/>
              </w:rPr>
              <w:t>971</w:t>
            </w:r>
          </w:p>
        </w:tc>
        <w:tc>
          <w:tcPr>
            <w:tcW w:w="1285" w:type="dxa"/>
            <w:shd w:val="clear" w:color="auto" w:fill="auto"/>
            <w:vAlign w:val="center"/>
            <w:hideMark/>
          </w:tcPr>
          <w:p w14:paraId="02E4BDED"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5AA07138" w14:textId="77777777" w:rsidTr="008C71FB">
        <w:trPr>
          <w:trHeight w:val="604"/>
          <w:jc w:val="center"/>
        </w:trPr>
        <w:tc>
          <w:tcPr>
            <w:tcW w:w="1863" w:type="dxa"/>
            <w:shd w:val="clear" w:color="auto" w:fill="F2F2F2" w:themeFill="background1" w:themeFillShade="F2"/>
            <w:vAlign w:val="center"/>
            <w:hideMark/>
          </w:tcPr>
          <w:p w14:paraId="4A292DA4" w14:textId="190D349C" w:rsidR="00D208FA" w:rsidRPr="00BC081A" w:rsidRDefault="005624B9" w:rsidP="00D208FA">
            <w:pPr>
              <w:pStyle w:val="TableContext"/>
              <w:rPr>
                <w:lang w:val="en-CA"/>
              </w:rPr>
            </w:pPr>
            <w:proofErr w:type="spellStart"/>
            <w:r w:rsidRPr="00BC081A">
              <w:rPr>
                <w:lang w:val="en-CA"/>
              </w:rPr>
              <w:t>SCompt</w:t>
            </w:r>
            <w:proofErr w:type="spellEnd"/>
            <w:r w:rsidR="00D208FA" w:rsidRPr="00BC081A">
              <w:rPr>
                <w:lang w:val="en-CA"/>
              </w:rPr>
              <w:t xml:space="preserve"> -&gt; Flow</w:t>
            </w:r>
          </w:p>
        </w:tc>
        <w:tc>
          <w:tcPr>
            <w:tcW w:w="1262" w:type="dxa"/>
            <w:shd w:val="clear" w:color="auto" w:fill="auto"/>
            <w:vAlign w:val="center"/>
            <w:hideMark/>
          </w:tcPr>
          <w:p w14:paraId="28C8B9AE" w14:textId="007B43A2" w:rsidR="00D208FA" w:rsidRPr="00BC081A" w:rsidRDefault="00D208FA" w:rsidP="006B280A">
            <w:pPr>
              <w:pStyle w:val="TableContext"/>
              <w:rPr>
                <w:lang w:val="en-CA"/>
              </w:rPr>
            </w:pPr>
            <w:r w:rsidRPr="00BC081A">
              <w:rPr>
                <w:lang w:val="en-CA"/>
              </w:rPr>
              <w:t>-0.</w:t>
            </w:r>
            <w:r w:rsidR="006B280A" w:rsidRPr="00BC081A">
              <w:rPr>
                <w:lang w:val="en-CA"/>
              </w:rPr>
              <w:t>011</w:t>
            </w:r>
          </w:p>
        </w:tc>
        <w:tc>
          <w:tcPr>
            <w:tcW w:w="1163" w:type="dxa"/>
            <w:shd w:val="clear" w:color="auto" w:fill="auto"/>
            <w:vAlign w:val="center"/>
            <w:hideMark/>
          </w:tcPr>
          <w:p w14:paraId="37881E87" w14:textId="58741D8B" w:rsidR="00D208FA" w:rsidRPr="00BC081A" w:rsidRDefault="006B280A" w:rsidP="00D208FA">
            <w:pPr>
              <w:pStyle w:val="TableContext"/>
              <w:rPr>
                <w:lang w:val="en-CA"/>
              </w:rPr>
            </w:pPr>
            <w:r w:rsidRPr="00BC081A">
              <w:rPr>
                <w:lang w:val="en-CA"/>
              </w:rPr>
              <w:t>0.092</w:t>
            </w:r>
          </w:p>
        </w:tc>
        <w:tc>
          <w:tcPr>
            <w:tcW w:w="1285" w:type="dxa"/>
            <w:shd w:val="clear" w:color="auto" w:fill="auto"/>
            <w:vAlign w:val="center"/>
            <w:hideMark/>
          </w:tcPr>
          <w:p w14:paraId="7C080478"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4B7DEAD3" w14:textId="77777777" w:rsidTr="008C71FB">
        <w:trPr>
          <w:trHeight w:val="131"/>
          <w:jc w:val="center"/>
        </w:trPr>
        <w:tc>
          <w:tcPr>
            <w:tcW w:w="1863" w:type="dxa"/>
            <w:shd w:val="clear" w:color="auto" w:fill="F2F2F2" w:themeFill="background1" w:themeFillShade="F2"/>
            <w:vAlign w:val="center"/>
            <w:hideMark/>
          </w:tcPr>
          <w:p w14:paraId="58245479" w14:textId="096615CA" w:rsidR="00D208FA" w:rsidRPr="00BC081A" w:rsidRDefault="005624B9" w:rsidP="00D208FA">
            <w:pPr>
              <w:pStyle w:val="TableContext"/>
              <w:rPr>
                <w:lang w:val="en-CA"/>
              </w:rPr>
            </w:pPr>
            <w:proofErr w:type="spellStart"/>
            <w:r w:rsidRPr="00BC081A">
              <w:rPr>
                <w:lang w:val="en-CA"/>
              </w:rPr>
              <w:t>SCompt</w:t>
            </w:r>
            <w:proofErr w:type="spellEnd"/>
            <w:r w:rsidR="00D208FA" w:rsidRPr="00BC081A">
              <w:rPr>
                <w:lang w:val="en-CA"/>
              </w:rPr>
              <w:t xml:space="preserve"> -&gt; SA</w:t>
            </w:r>
          </w:p>
        </w:tc>
        <w:tc>
          <w:tcPr>
            <w:tcW w:w="1262" w:type="dxa"/>
            <w:shd w:val="clear" w:color="auto" w:fill="auto"/>
            <w:vAlign w:val="center"/>
            <w:hideMark/>
          </w:tcPr>
          <w:p w14:paraId="04C98BB7" w14:textId="45AF5090" w:rsidR="00D208FA" w:rsidRPr="00BC081A" w:rsidRDefault="00D208FA" w:rsidP="006B280A">
            <w:pPr>
              <w:pStyle w:val="TableContext"/>
              <w:rPr>
                <w:lang w:val="en-CA"/>
              </w:rPr>
            </w:pPr>
            <w:r w:rsidRPr="00BC081A">
              <w:rPr>
                <w:lang w:val="en-CA"/>
              </w:rPr>
              <w:t>0.</w:t>
            </w:r>
            <w:r w:rsidR="006B280A" w:rsidRPr="00BC081A">
              <w:rPr>
                <w:lang w:val="en-CA"/>
              </w:rPr>
              <w:t>082</w:t>
            </w:r>
          </w:p>
        </w:tc>
        <w:tc>
          <w:tcPr>
            <w:tcW w:w="1163" w:type="dxa"/>
            <w:shd w:val="clear" w:color="auto" w:fill="auto"/>
            <w:vAlign w:val="center"/>
            <w:hideMark/>
          </w:tcPr>
          <w:p w14:paraId="43019238" w14:textId="64E6CF22" w:rsidR="00D208FA" w:rsidRPr="00BC081A" w:rsidRDefault="006B280A" w:rsidP="00D208FA">
            <w:pPr>
              <w:pStyle w:val="TableContext"/>
              <w:rPr>
                <w:lang w:val="en-CA"/>
              </w:rPr>
            </w:pPr>
            <w:r w:rsidRPr="00BC081A">
              <w:rPr>
                <w:lang w:val="en-CA"/>
              </w:rPr>
              <w:t>0.725</w:t>
            </w:r>
          </w:p>
        </w:tc>
        <w:tc>
          <w:tcPr>
            <w:tcW w:w="1285" w:type="dxa"/>
            <w:shd w:val="clear" w:color="auto" w:fill="auto"/>
            <w:vAlign w:val="center"/>
            <w:hideMark/>
          </w:tcPr>
          <w:p w14:paraId="2E5344AA"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3836FD94" w14:textId="77777777" w:rsidTr="008C71FB">
        <w:trPr>
          <w:trHeight w:val="493"/>
          <w:jc w:val="center"/>
        </w:trPr>
        <w:tc>
          <w:tcPr>
            <w:tcW w:w="1863" w:type="dxa"/>
            <w:shd w:val="clear" w:color="auto" w:fill="F2F2F2" w:themeFill="background1" w:themeFillShade="F2"/>
            <w:vAlign w:val="center"/>
            <w:hideMark/>
          </w:tcPr>
          <w:p w14:paraId="38A67BEA" w14:textId="1C2942CF" w:rsidR="00D208FA" w:rsidRPr="00BC081A" w:rsidRDefault="005624B9" w:rsidP="00D208FA">
            <w:pPr>
              <w:pStyle w:val="TableContext"/>
              <w:rPr>
                <w:lang w:val="en-CA"/>
              </w:rPr>
            </w:pPr>
            <w:proofErr w:type="spellStart"/>
            <w:r w:rsidRPr="00BC081A">
              <w:rPr>
                <w:lang w:val="en-CA"/>
              </w:rPr>
              <w:t>DCompt</w:t>
            </w:r>
            <w:proofErr w:type="spellEnd"/>
            <w:r w:rsidR="00D208FA" w:rsidRPr="00BC081A">
              <w:rPr>
                <w:lang w:val="en-CA"/>
              </w:rPr>
              <w:t xml:space="preserve"> -&gt; AR</w:t>
            </w:r>
          </w:p>
        </w:tc>
        <w:tc>
          <w:tcPr>
            <w:tcW w:w="1262" w:type="dxa"/>
            <w:shd w:val="clear" w:color="auto" w:fill="auto"/>
            <w:vAlign w:val="center"/>
            <w:hideMark/>
          </w:tcPr>
          <w:p w14:paraId="65ECA2FC" w14:textId="691623C0" w:rsidR="00D208FA" w:rsidRPr="00BC081A" w:rsidRDefault="006B280A" w:rsidP="006B280A">
            <w:pPr>
              <w:pStyle w:val="TableContext"/>
              <w:rPr>
                <w:lang w:val="en-CA"/>
              </w:rPr>
            </w:pPr>
            <w:r w:rsidRPr="00BC081A">
              <w:rPr>
                <w:lang w:val="en-CA"/>
              </w:rPr>
              <w:t>0.011</w:t>
            </w:r>
          </w:p>
        </w:tc>
        <w:tc>
          <w:tcPr>
            <w:tcW w:w="1163" w:type="dxa"/>
            <w:shd w:val="clear" w:color="auto" w:fill="auto"/>
            <w:vAlign w:val="center"/>
            <w:hideMark/>
          </w:tcPr>
          <w:p w14:paraId="42359BBA" w14:textId="2031269A" w:rsidR="00D208FA" w:rsidRPr="00BC081A" w:rsidRDefault="00D208FA" w:rsidP="006B280A">
            <w:pPr>
              <w:pStyle w:val="TableContext"/>
              <w:rPr>
                <w:lang w:val="en-CA"/>
              </w:rPr>
            </w:pPr>
            <w:r w:rsidRPr="00BC081A">
              <w:rPr>
                <w:lang w:val="en-CA"/>
              </w:rPr>
              <w:t>0.</w:t>
            </w:r>
            <w:r w:rsidR="006B280A" w:rsidRPr="00BC081A">
              <w:rPr>
                <w:lang w:val="en-CA"/>
              </w:rPr>
              <w:t>098</w:t>
            </w:r>
          </w:p>
        </w:tc>
        <w:tc>
          <w:tcPr>
            <w:tcW w:w="1285" w:type="dxa"/>
            <w:shd w:val="clear" w:color="auto" w:fill="auto"/>
            <w:vAlign w:val="center"/>
            <w:hideMark/>
          </w:tcPr>
          <w:p w14:paraId="1DA403EB"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095D213C" w14:textId="77777777" w:rsidTr="008C71FB">
        <w:trPr>
          <w:trHeight w:val="543"/>
          <w:jc w:val="center"/>
        </w:trPr>
        <w:tc>
          <w:tcPr>
            <w:tcW w:w="1863" w:type="dxa"/>
            <w:shd w:val="clear" w:color="auto" w:fill="F2F2F2" w:themeFill="background1" w:themeFillShade="F2"/>
            <w:vAlign w:val="center"/>
            <w:hideMark/>
          </w:tcPr>
          <w:p w14:paraId="30AADAE0" w14:textId="4807220E" w:rsidR="00D208FA" w:rsidRPr="00BC081A" w:rsidRDefault="005624B9" w:rsidP="00D208FA">
            <w:pPr>
              <w:pStyle w:val="TableContext"/>
              <w:rPr>
                <w:lang w:val="en-CA"/>
              </w:rPr>
            </w:pPr>
            <w:proofErr w:type="spellStart"/>
            <w:r w:rsidRPr="00BC081A">
              <w:rPr>
                <w:lang w:val="en-CA"/>
              </w:rPr>
              <w:t>DCompt</w:t>
            </w:r>
            <w:proofErr w:type="spellEnd"/>
            <w:r w:rsidR="00D208FA" w:rsidRPr="00BC081A">
              <w:rPr>
                <w:lang w:val="en-CA"/>
              </w:rPr>
              <w:t xml:space="preserve"> -&gt; CH</w:t>
            </w:r>
          </w:p>
        </w:tc>
        <w:tc>
          <w:tcPr>
            <w:tcW w:w="1262" w:type="dxa"/>
            <w:shd w:val="clear" w:color="auto" w:fill="auto"/>
            <w:vAlign w:val="center"/>
            <w:hideMark/>
          </w:tcPr>
          <w:p w14:paraId="259BA17D" w14:textId="342235AE" w:rsidR="00D208FA" w:rsidRPr="00BC081A" w:rsidRDefault="00D208FA" w:rsidP="006B280A">
            <w:pPr>
              <w:pStyle w:val="TableContext"/>
              <w:rPr>
                <w:lang w:val="en-CA"/>
              </w:rPr>
            </w:pPr>
            <w:r w:rsidRPr="00BC081A">
              <w:rPr>
                <w:lang w:val="en-CA"/>
              </w:rPr>
              <w:t>0.</w:t>
            </w:r>
            <w:r w:rsidR="006B280A" w:rsidRPr="00BC081A">
              <w:rPr>
                <w:lang w:val="en-CA"/>
              </w:rPr>
              <w:t>070</w:t>
            </w:r>
          </w:p>
        </w:tc>
        <w:tc>
          <w:tcPr>
            <w:tcW w:w="1163" w:type="dxa"/>
            <w:shd w:val="clear" w:color="auto" w:fill="auto"/>
            <w:vAlign w:val="center"/>
            <w:hideMark/>
          </w:tcPr>
          <w:p w14:paraId="5E8EF147" w14:textId="760DAC0D" w:rsidR="00D208FA" w:rsidRPr="00BC081A" w:rsidRDefault="006B280A" w:rsidP="00D208FA">
            <w:pPr>
              <w:pStyle w:val="TableContext"/>
              <w:rPr>
                <w:lang w:val="en-CA"/>
              </w:rPr>
            </w:pPr>
            <w:r w:rsidRPr="00BC081A">
              <w:rPr>
                <w:lang w:val="en-CA"/>
              </w:rPr>
              <w:t>0.658</w:t>
            </w:r>
          </w:p>
        </w:tc>
        <w:tc>
          <w:tcPr>
            <w:tcW w:w="1285" w:type="dxa"/>
            <w:shd w:val="clear" w:color="auto" w:fill="auto"/>
            <w:vAlign w:val="center"/>
            <w:hideMark/>
          </w:tcPr>
          <w:p w14:paraId="2CCB2BD4"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1F5D367E" w14:textId="77777777" w:rsidTr="008C71FB">
        <w:trPr>
          <w:trHeight w:val="706"/>
          <w:jc w:val="center"/>
        </w:trPr>
        <w:tc>
          <w:tcPr>
            <w:tcW w:w="1863" w:type="dxa"/>
            <w:shd w:val="clear" w:color="auto" w:fill="F2F2F2" w:themeFill="background1" w:themeFillShade="F2"/>
            <w:vAlign w:val="center"/>
            <w:hideMark/>
          </w:tcPr>
          <w:p w14:paraId="54D0BDA2" w14:textId="550A8B1E" w:rsidR="00D208FA" w:rsidRPr="00BC081A" w:rsidRDefault="005624B9" w:rsidP="00D208FA">
            <w:pPr>
              <w:pStyle w:val="TableContext"/>
              <w:rPr>
                <w:lang w:val="en-CA"/>
              </w:rPr>
            </w:pPr>
            <w:proofErr w:type="spellStart"/>
            <w:r w:rsidRPr="00BC081A">
              <w:rPr>
                <w:lang w:val="en-CA"/>
              </w:rPr>
              <w:t>DCompt</w:t>
            </w:r>
            <w:proofErr w:type="spellEnd"/>
            <w:r w:rsidR="00D208FA" w:rsidRPr="00BC081A">
              <w:rPr>
                <w:lang w:val="en-CA"/>
              </w:rPr>
              <w:t xml:space="preserve"> -&gt; Flow</w:t>
            </w:r>
          </w:p>
        </w:tc>
        <w:tc>
          <w:tcPr>
            <w:tcW w:w="1262" w:type="dxa"/>
            <w:shd w:val="clear" w:color="auto" w:fill="auto"/>
            <w:vAlign w:val="center"/>
            <w:hideMark/>
          </w:tcPr>
          <w:p w14:paraId="6707CA96" w14:textId="35216C5F" w:rsidR="00D208FA" w:rsidRPr="00BC081A" w:rsidRDefault="00D208FA" w:rsidP="00F24299">
            <w:pPr>
              <w:pStyle w:val="TableContext"/>
              <w:rPr>
                <w:lang w:val="en-CA"/>
              </w:rPr>
            </w:pPr>
            <w:r w:rsidRPr="00BC081A">
              <w:rPr>
                <w:lang w:val="en-CA"/>
              </w:rPr>
              <w:t>0.</w:t>
            </w:r>
            <w:r w:rsidR="00F24299" w:rsidRPr="00BC081A">
              <w:rPr>
                <w:lang w:val="en-CA"/>
              </w:rPr>
              <w:t>050</w:t>
            </w:r>
          </w:p>
        </w:tc>
        <w:tc>
          <w:tcPr>
            <w:tcW w:w="1163" w:type="dxa"/>
            <w:shd w:val="clear" w:color="auto" w:fill="auto"/>
            <w:vAlign w:val="center"/>
            <w:hideMark/>
          </w:tcPr>
          <w:p w14:paraId="30F3DB6C" w14:textId="6EE7929E" w:rsidR="00D208FA" w:rsidRPr="00BC081A" w:rsidRDefault="00F24299" w:rsidP="00D208FA">
            <w:pPr>
              <w:pStyle w:val="TableContext"/>
              <w:rPr>
                <w:lang w:val="en-CA"/>
              </w:rPr>
            </w:pPr>
            <w:r w:rsidRPr="00BC081A">
              <w:rPr>
                <w:lang w:val="en-CA"/>
              </w:rPr>
              <w:t>0.512</w:t>
            </w:r>
          </w:p>
        </w:tc>
        <w:tc>
          <w:tcPr>
            <w:tcW w:w="1285" w:type="dxa"/>
            <w:shd w:val="clear" w:color="auto" w:fill="auto"/>
            <w:vAlign w:val="center"/>
            <w:hideMark/>
          </w:tcPr>
          <w:p w14:paraId="16358C8A"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7E01BA50" w14:textId="77777777" w:rsidTr="008C71FB">
        <w:trPr>
          <w:trHeight w:val="547"/>
          <w:jc w:val="center"/>
        </w:trPr>
        <w:tc>
          <w:tcPr>
            <w:tcW w:w="1863" w:type="dxa"/>
            <w:shd w:val="clear" w:color="auto" w:fill="F2F2F2" w:themeFill="background1" w:themeFillShade="F2"/>
            <w:vAlign w:val="center"/>
            <w:hideMark/>
          </w:tcPr>
          <w:p w14:paraId="560047A1" w14:textId="46AB7C7D" w:rsidR="00D208FA" w:rsidRPr="00BC081A" w:rsidRDefault="005624B9" w:rsidP="00D208FA">
            <w:pPr>
              <w:pStyle w:val="TableContext"/>
              <w:rPr>
                <w:lang w:val="en-CA"/>
              </w:rPr>
            </w:pPr>
            <w:proofErr w:type="spellStart"/>
            <w:r w:rsidRPr="00BC081A">
              <w:rPr>
                <w:lang w:val="en-CA"/>
              </w:rPr>
              <w:t>DCompt</w:t>
            </w:r>
            <w:proofErr w:type="spellEnd"/>
            <w:r w:rsidR="00D208FA" w:rsidRPr="00BC081A">
              <w:rPr>
                <w:lang w:val="en-CA"/>
              </w:rPr>
              <w:t xml:space="preserve"> -&gt; SA</w:t>
            </w:r>
          </w:p>
        </w:tc>
        <w:tc>
          <w:tcPr>
            <w:tcW w:w="1262" w:type="dxa"/>
            <w:shd w:val="clear" w:color="auto" w:fill="auto"/>
            <w:vAlign w:val="center"/>
            <w:hideMark/>
          </w:tcPr>
          <w:p w14:paraId="63C8CCBE" w14:textId="370A2402" w:rsidR="00D208FA" w:rsidRPr="00BC081A" w:rsidRDefault="00D208FA" w:rsidP="006A4C7E">
            <w:pPr>
              <w:pStyle w:val="TableContext"/>
              <w:rPr>
                <w:lang w:val="en-CA"/>
              </w:rPr>
            </w:pPr>
            <w:r w:rsidRPr="00BC081A">
              <w:rPr>
                <w:lang w:val="en-CA"/>
              </w:rPr>
              <w:t>-0.</w:t>
            </w:r>
            <w:r w:rsidR="006A4C7E" w:rsidRPr="00BC081A">
              <w:rPr>
                <w:lang w:val="en-CA"/>
              </w:rPr>
              <w:t>017</w:t>
            </w:r>
          </w:p>
        </w:tc>
        <w:tc>
          <w:tcPr>
            <w:tcW w:w="1163" w:type="dxa"/>
            <w:shd w:val="clear" w:color="auto" w:fill="auto"/>
            <w:vAlign w:val="center"/>
            <w:hideMark/>
          </w:tcPr>
          <w:p w14:paraId="29638C63" w14:textId="3E5F38FE" w:rsidR="00D208FA" w:rsidRPr="00BC081A" w:rsidRDefault="00D208FA" w:rsidP="008769C1">
            <w:pPr>
              <w:pStyle w:val="TableContext"/>
              <w:rPr>
                <w:lang w:val="en-CA"/>
              </w:rPr>
            </w:pPr>
            <w:r w:rsidRPr="00BC081A">
              <w:rPr>
                <w:lang w:val="en-CA"/>
              </w:rPr>
              <w:t>0.</w:t>
            </w:r>
            <w:r w:rsidR="008769C1" w:rsidRPr="00BC081A">
              <w:rPr>
                <w:lang w:val="en-CA"/>
              </w:rPr>
              <w:t>180</w:t>
            </w:r>
          </w:p>
        </w:tc>
        <w:tc>
          <w:tcPr>
            <w:tcW w:w="1285" w:type="dxa"/>
            <w:shd w:val="clear" w:color="auto" w:fill="auto"/>
            <w:vAlign w:val="center"/>
            <w:hideMark/>
          </w:tcPr>
          <w:p w14:paraId="6B0D7300"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51DBC3CF" w14:textId="77777777" w:rsidTr="008C71FB">
        <w:trPr>
          <w:trHeight w:val="427"/>
          <w:jc w:val="center"/>
        </w:trPr>
        <w:tc>
          <w:tcPr>
            <w:tcW w:w="1863" w:type="dxa"/>
            <w:shd w:val="clear" w:color="auto" w:fill="F2F2F2" w:themeFill="background1" w:themeFillShade="F2"/>
            <w:vAlign w:val="center"/>
            <w:hideMark/>
          </w:tcPr>
          <w:p w14:paraId="23557DE2" w14:textId="77777777" w:rsidR="00D208FA" w:rsidRPr="00BC081A" w:rsidRDefault="00D208FA" w:rsidP="00D208FA">
            <w:pPr>
              <w:pStyle w:val="TableContext"/>
              <w:rPr>
                <w:lang w:val="en-CA"/>
              </w:rPr>
            </w:pPr>
            <w:r w:rsidRPr="00BC081A">
              <w:rPr>
                <w:lang w:val="en-CA"/>
              </w:rPr>
              <w:t>SP -&gt; AR</w:t>
            </w:r>
          </w:p>
        </w:tc>
        <w:tc>
          <w:tcPr>
            <w:tcW w:w="1262" w:type="dxa"/>
            <w:shd w:val="clear" w:color="auto" w:fill="auto"/>
            <w:vAlign w:val="center"/>
            <w:hideMark/>
          </w:tcPr>
          <w:p w14:paraId="21CB1375" w14:textId="182DA6CC" w:rsidR="00D208FA" w:rsidRPr="00BC081A" w:rsidRDefault="00D208FA" w:rsidP="008769C1">
            <w:pPr>
              <w:pStyle w:val="TableContext"/>
              <w:rPr>
                <w:lang w:val="en-CA"/>
              </w:rPr>
            </w:pPr>
            <w:r w:rsidRPr="00BC081A">
              <w:rPr>
                <w:lang w:val="en-CA"/>
              </w:rPr>
              <w:t>0.</w:t>
            </w:r>
            <w:r w:rsidR="008769C1" w:rsidRPr="00BC081A">
              <w:rPr>
                <w:lang w:val="en-CA"/>
              </w:rPr>
              <w:t>056</w:t>
            </w:r>
          </w:p>
        </w:tc>
        <w:tc>
          <w:tcPr>
            <w:tcW w:w="1163" w:type="dxa"/>
            <w:shd w:val="clear" w:color="auto" w:fill="auto"/>
            <w:vAlign w:val="center"/>
            <w:hideMark/>
          </w:tcPr>
          <w:p w14:paraId="06B62681" w14:textId="7047EA1C" w:rsidR="00D208FA" w:rsidRPr="00BC081A" w:rsidRDefault="008769C1" w:rsidP="00D208FA">
            <w:pPr>
              <w:pStyle w:val="TableContext"/>
              <w:rPr>
                <w:lang w:val="en-CA"/>
              </w:rPr>
            </w:pPr>
            <w:r w:rsidRPr="00BC081A">
              <w:rPr>
                <w:lang w:val="en-CA"/>
              </w:rPr>
              <w:t>0.580</w:t>
            </w:r>
          </w:p>
        </w:tc>
        <w:tc>
          <w:tcPr>
            <w:tcW w:w="1285" w:type="dxa"/>
            <w:shd w:val="clear" w:color="auto" w:fill="auto"/>
            <w:vAlign w:val="center"/>
            <w:hideMark/>
          </w:tcPr>
          <w:p w14:paraId="14EFE2C8"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709CF408" w14:textId="77777777" w:rsidTr="008C71FB">
        <w:trPr>
          <w:trHeight w:val="349"/>
          <w:jc w:val="center"/>
        </w:trPr>
        <w:tc>
          <w:tcPr>
            <w:tcW w:w="1863" w:type="dxa"/>
            <w:shd w:val="clear" w:color="auto" w:fill="F2F2F2" w:themeFill="background1" w:themeFillShade="F2"/>
            <w:vAlign w:val="center"/>
            <w:hideMark/>
          </w:tcPr>
          <w:p w14:paraId="76F3BC08" w14:textId="77777777" w:rsidR="00D208FA" w:rsidRPr="00BC081A" w:rsidRDefault="00D208FA" w:rsidP="00D208FA">
            <w:pPr>
              <w:pStyle w:val="TableContext"/>
              <w:rPr>
                <w:lang w:val="en-CA"/>
              </w:rPr>
            </w:pPr>
            <w:r w:rsidRPr="00BC081A">
              <w:rPr>
                <w:lang w:val="en-CA"/>
              </w:rPr>
              <w:t>SP -&gt; CH</w:t>
            </w:r>
          </w:p>
        </w:tc>
        <w:tc>
          <w:tcPr>
            <w:tcW w:w="1262" w:type="dxa"/>
            <w:shd w:val="clear" w:color="auto" w:fill="auto"/>
            <w:vAlign w:val="center"/>
            <w:hideMark/>
          </w:tcPr>
          <w:p w14:paraId="7F8164F4" w14:textId="50F13BCC" w:rsidR="00D208FA" w:rsidRPr="00BC081A" w:rsidRDefault="008769C1" w:rsidP="00D208FA">
            <w:pPr>
              <w:pStyle w:val="TableContext"/>
              <w:rPr>
                <w:lang w:val="en-CA"/>
              </w:rPr>
            </w:pPr>
            <w:r w:rsidRPr="00BC081A">
              <w:rPr>
                <w:lang w:val="en-CA"/>
              </w:rPr>
              <w:t>-0.012</w:t>
            </w:r>
          </w:p>
        </w:tc>
        <w:tc>
          <w:tcPr>
            <w:tcW w:w="1163" w:type="dxa"/>
            <w:shd w:val="clear" w:color="auto" w:fill="auto"/>
            <w:vAlign w:val="center"/>
            <w:hideMark/>
          </w:tcPr>
          <w:p w14:paraId="220AF421" w14:textId="190B7437" w:rsidR="00D208FA" w:rsidRPr="00BC081A" w:rsidRDefault="008769C1" w:rsidP="00D208FA">
            <w:pPr>
              <w:pStyle w:val="TableContext"/>
              <w:rPr>
                <w:lang w:val="en-CA"/>
              </w:rPr>
            </w:pPr>
            <w:r w:rsidRPr="00BC081A">
              <w:rPr>
                <w:lang w:val="en-CA"/>
              </w:rPr>
              <w:t>0.133</w:t>
            </w:r>
          </w:p>
        </w:tc>
        <w:tc>
          <w:tcPr>
            <w:tcW w:w="1285" w:type="dxa"/>
            <w:shd w:val="clear" w:color="auto" w:fill="auto"/>
            <w:vAlign w:val="center"/>
            <w:hideMark/>
          </w:tcPr>
          <w:p w14:paraId="194469D6"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545277DE" w14:textId="77777777" w:rsidTr="008C71FB">
        <w:trPr>
          <w:trHeight w:val="504"/>
          <w:jc w:val="center"/>
        </w:trPr>
        <w:tc>
          <w:tcPr>
            <w:tcW w:w="1863" w:type="dxa"/>
            <w:shd w:val="clear" w:color="auto" w:fill="F2F2F2" w:themeFill="background1" w:themeFillShade="F2"/>
            <w:vAlign w:val="center"/>
            <w:hideMark/>
          </w:tcPr>
          <w:p w14:paraId="504AC713" w14:textId="77777777" w:rsidR="00D208FA" w:rsidRPr="00BC081A" w:rsidRDefault="00D208FA" w:rsidP="00D208FA">
            <w:pPr>
              <w:pStyle w:val="TableContext"/>
              <w:rPr>
                <w:lang w:val="en-CA"/>
              </w:rPr>
            </w:pPr>
            <w:r w:rsidRPr="00BC081A">
              <w:rPr>
                <w:lang w:val="en-CA"/>
              </w:rPr>
              <w:t>SP -&gt; Flow</w:t>
            </w:r>
          </w:p>
        </w:tc>
        <w:tc>
          <w:tcPr>
            <w:tcW w:w="1262" w:type="dxa"/>
            <w:shd w:val="clear" w:color="auto" w:fill="auto"/>
            <w:vAlign w:val="center"/>
            <w:hideMark/>
          </w:tcPr>
          <w:p w14:paraId="5FC3FA98" w14:textId="3BA5B2B3" w:rsidR="00D208FA" w:rsidRPr="00BC081A" w:rsidRDefault="00D208FA" w:rsidP="008769C1">
            <w:pPr>
              <w:pStyle w:val="TableContext"/>
              <w:rPr>
                <w:lang w:val="en-CA"/>
              </w:rPr>
            </w:pPr>
            <w:r w:rsidRPr="00BC081A">
              <w:rPr>
                <w:lang w:val="en-CA"/>
              </w:rPr>
              <w:t>0.</w:t>
            </w:r>
            <w:r w:rsidR="008769C1" w:rsidRPr="00BC081A">
              <w:rPr>
                <w:lang w:val="en-CA"/>
              </w:rPr>
              <w:t>074</w:t>
            </w:r>
          </w:p>
        </w:tc>
        <w:tc>
          <w:tcPr>
            <w:tcW w:w="1163" w:type="dxa"/>
            <w:shd w:val="clear" w:color="auto" w:fill="auto"/>
            <w:vAlign w:val="center"/>
            <w:hideMark/>
          </w:tcPr>
          <w:p w14:paraId="7C717920" w14:textId="4FFC1E5A" w:rsidR="00D208FA" w:rsidRPr="00BC081A" w:rsidRDefault="008769C1" w:rsidP="00D208FA">
            <w:pPr>
              <w:pStyle w:val="TableContext"/>
              <w:rPr>
                <w:lang w:val="en-CA"/>
              </w:rPr>
            </w:pPr>
            <w:r w:rsidRPr="00BC081A">
              <w:rPr>
                <w:lang w:val="en-CA"/>
              </w:rPr>
              <w:t>0.757</w:t>
            </w:r>
          </w:p>
        </w:tc>
        <w:tc>
          <w:tcPr>
            <w:tcW w:w="1285" w:type="dxa"/>
            <w:shd w:val="clear" w:color="auto" w:fill="auto"/>
            <w:vAlign w:val="center"/>
            <w:hideMark/>
          </w:tcPr>
          <w:p w14:paraId="2840ADA6"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76E2A234" w14:textId="77777777" w:rsidTr="008C71FB">
        <w:trPr>
          <w:trHeight w:val="463"/>
          <w:jc w:val="center"/>
        </w:trPr>
        <w:tc>
          <w:tcPr>
            <w:tcW w:w="1863" w:type="dxa"/>
            <w:shd w:val="clear" w:color="auto" w:fill="F2F2F2" w:themeFill="background1" w:themeFillShade="F2"/>
            <w:vAlign w:val="center"/>
            <w:hideMark/>
          </w:tcPr>
          <w:p w14:paraId="7ACD732F" w14:textId="3EB5FEC1" w:rsidR="00D208FA" w:rsidRPr="00BC081A" w:rsidRDefault="00D208FA" w:rsidP="00D208FA">
            <w:pPr>
              <w:pStyle w:val="TableContext"/>
              <w:rPr>
                <w:lang w:val="en-CA"/>
              </w:rPr>
            </w:pPr>
            <w:r w:rsidRPr="00BC081A">
              <w:rPr>
                <w:lang w:val="en-CA"/>
              </w:rPr>
              <w:t xml:space="preserve">SP -&gt; </w:t>
            </w:r>
            <w:proofErr w:type="spellStart"/>
            <w:r w:rsidR="005624B9" w:rsidRPr="00BC081A">
              <w:rPr>
                <w:lang w:val="en-CA"/>
              </w:rPr>
              <w:t>DCompt</w:t>
            </w:r>
            <w:proofErr w:type="spellEnd"/>
          </w:p>
        </w:tc>
        <w:tc>
          <w:tcPr>
            <w:tcW w:w="1262" w:type="dxa"/>
            <w:shd w:val="clear" w:color="auto" w:fill="auto"/>
            <w:vAlign w:val="center"/>
            <w:hideMark/>
          </w:tcPr>
          <w:p w14:paraId="36C8D5B9" w14:textId="2CFD8C0A" w:rsidR="00D208FA" w:rsidRPr="00BC081A" w:rsidRDefault="00D208FA" w:rsidP="008769C1">
            <w:pPr>
              <w:pStyle w:val="TableContext"/>
              <w:rPr>
                <w:lang w:val="en-CA"/>
              </w:rPr>
            </w:pPr>
            <w:r w:rsidRPr="00BC081A">
              <w:rPr>
                <w:lang w:val="en-CA"/>
              </w:rPr>
              <w:t>0.</w:t>
            </w:r>
            <w:r w:rsidR="008769C1" w:rsidRPr="00BC081A">
              <w:rPr>
                <w:lang w:val="en-CA"/>
              </w:rPr>
              <w:t>080</w:t>
            </w:r>
          </w:p>
        </w:tc>
        <w:tc>
          <w:tcPr>
            <w:tcW w:w="1163" w:type="dxa"/>
            <w:shd w:val="clear" w:color="auto" w:fill="auto"/>
            <w:vAlign w:val="center"/>
            <w:hideMark/>
          </w:tcPr>
          <w:p w14:paraId="51BBF997" w14:textId="04E977F0" w:rsidR="00D208FA" w:rsidRPr="00BC081A" w:rsidRDefault="008769C1" w:rsidP="00D208FA">
            <w:pPr>
              <w:pStyle w:val="TableContext"/>
              <w:rPr>
                <w:lang w:val="en-CA"/>
              </w:rPr>
            </w:pPr>
            <w:r w:rsidRPr="00BC081A">
              <w:rPr>
                <w:lang w:val="en-CA"/>
              </w:rPr>
              <w:t>0.571</w:t>
            </w:r>
          </w:p>
        </w:tc>
        <w:tc>
          <w:tcPr>
            <w:tcW w:w="1285" w:type="dxa"/>
            <w:shd w:val="clear" w:color="auto" w:fill="auto"/>
            <w:vAlign w:val="center"/>
            <w:hideMark/>
          </w:tcPr>
          <w:p w14:paraId="3362F876" w14:textId="77777777" w:rsidR="00D208FA" w:rsidRPr="00BC081A" w:rsidRDefault="00D208FA" w:rsidP="00D208FA">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208FA" w:rsidRPr="00BC081A" w14:paraId="2811ECFF" w14:textId="77777777" w:rsidTr="008C71FB">
        <w:trPr>
          <w:trHeight w:val="385"/>
          <w:jc w:val="center"/>
        </w:trPr>
        <w:tc>
          <w:tcPr>
            <w:tcW w:w="1863" w:type="dxa"/>
            <w:shd w:val="clear" w:color="auto" w:fill="F2F2F2" w:themeFill="background1" w:themeFillShade="F2"/>
            <w:vAlign w:val="center"/>
            <w:hideMark/>
          </w:tcPr>
          <w:p w14:paraId="6F758ED6" w14:textId="77777777" w:rsidR="00D208FA" w:rsidRPr="00BC081A" w:rsidRDefault="00D208FA" w:rsidP="00D208FA">
            <w:pPr>
              <w:pStyle w:val="TableContext"/>
              <w:rPr>
                <w:lang w:val="en-CA"/>
              </w:rPr>
            </w:pPr>
            <w:r w:rsidRPr="00BC081A">
              <w:rPr>
                <w:lang w:val="en-CA"/>
              </w:rPr>
              <w:t>SP -&gt; SA</w:t>
            </w:r>
          </w:p>
        </w:tc>
        <w:tc>
          <w:tcPr>
            <w:tcW w:w="1262" w:type="dxa"/>
            <w:shd w:val="clear" w:color="auto" w:fill="auto"/>
            <w:vAlign w:val="center"/>
            <w:hideMark/>
          </w:tcPr>
          <w:p w14:paraId="0BF5A1F4" w14:textId="0EA8A6E6" w:rsidR="00D208FA" w:rsidRPr="00BC081A" w:rsidRDefault="008769C1" w:rsidP="008769C1">
            <w:pPr>
              <w:pStyle w:val="TableContext"/>
              <w:rPr>
                <w:lang w:val="en-CA"/>
              </w:rPr>
            </w:pPr>
            <w:r w:rsidRPr="00BC081A">
              <w:rPr>
                <w:lang w:val="en-CA"/>
              </w:rPr>
              <w:t>-0.026</w:t>
            </w:r>
          </w:p>
        </w:tc>
        <w:tc>
          <w:tcPr>
            <w:tcW w:w="1163" w:type="dxa"/>
            <w:shd w:val="clear" w:color="auto" w:fill="auto"/>
            <w:vAlign w:val="center"/>
            <w:hideMark/>
          </w:tcPr>
          <w:p w14:paraId="6952CB01" w14:textId="5B7C6EB7" w:rsidR="00D208FA" w:rsidRPr="00BC081A" w:rsidRDefault="008769C1" w:rsidP="00D208FA">
            <w:pPr>
              <w:pStyle w:val="TableContext"/>
              <w:rPr>
                <w:lang w:val="en-CA"/>
              </w:rPr>
            </w:pPr>
            <w:r w:rsidRPr="00BC081A">
              <w:rPr>
                <w:lang w:val="en-CA"/>
              </w:rPr>
              <w:t>0.306</w:t>
            </w:r>
          </w:p>
        </w:tc>
        <w:tc>
          <w:tcPr>
            <w:tcW w:w="1285" w:type="dxa"/>
            <w:shd w:val="clear" w:color="auto" w:fill="auto"/>
            <w:vAlign w:val="center"/>
            <w:hideMark/>
          </w:tcPr>
          <w:p w14:paraId="2842DC80" w14:textId="77777777" w:rsidR="00D208FA" w:rsidRPr="00BC081A" w:rsidRDefault="00D208FA" w:rsidP="00AF78A9">
            <w:pPr>
              <w:pStyle w:val="TableContext"/>
              <w:keepN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bl>
    <w:p w14:paraId="5EA92319" w14:textId="4EFBCB22" w:rsidR="00D208FA" w:rsidRPr="00BC081A" w:rsidRDefault="00AF78A9" w:rsidP="00AF78A9">
      <w:pPr>
        <w:pStyle w:val="Caption"/>
      </w:pPr>
      <w:r>
        <w:t xml:space="preserve">Footnote </w:t>
      </w:r>
      <w:r w:rsidR="007804FF">
        <w:fldChar w:fldCharType="begin"/>
      </w:r>
      <w:r w:rsidR="007804FF">
        <w:instrText xml:space="preserve"> SEQ Footnote \* ARABIC </w:instrText>
      </w:r>
      <w:r w:rsidR="007804FF">
        <w:fldChar w:fldCharType="separate"/>
      </w:r>
      <w:r w:rsidR="008C71FB">
        <w:rPr>
          <w:noProof/>
        </w:rPr>
        <w:t>1</w:t>
      </w:r>
      <w:r w:rsidR="007804FF">
        <w:rPr>
          <w:noProof/>
        </w:rPr>
        <w:fldChar w:fldCharType="end"/>
      </w:r>
      <w:r>
        <w:t xml:space="preserve"> – AR: Arousal, SA: Satisfaction, CH: Challenge, Mode: Competition Mode, </w:t>
      </w:r>
      <w:proofErr w:type="spellStart"/>
      <w:r>
        <w:t>DCompt</w:t>
      </w:r>
      <w:proofErr w:type="spellEnd"/>
      <w:r>
        <w:t xml:space="preserve">: Dispositional Competitiveness, </w:t>
      </w:r>
      <w:proofErr w:type="spellStart"/>
      <w:r>
        <w:t>SCompt</w:t>
      </w:r>
      <w:proofErr w:type="spellEnd"/>
      <w:r>
        <w:t xml:space="preserve">: Situational Competitiveness, SP: Social </w:t>
      </w:r>
      <w:proofErr w:type="spellStart"/>
      <w:r>
        <w:t>Precense</w:t>
      </w:r>
      <w:proofErr w:type="spellEnd"/>
    </w:p>
    <w:p w14:paraId="1036C819" w14:textId="41ED4081" w:rsidR="00191883" w:rsidRPr="00BC081A" w:rsidRDefault="00F2108F" w:rsidP="00AF10AB">
      <w:r w:rsidRPr="00BC081A">
        <w:t xml:space="preserve">As the results of saturated model analysis show, the only non-hypothesized relationships that were significant were the path between Arousal and Satisfaction, Challenge and Satisfaction, </w:t>
      </w:r>
      <w:r w:rsidRPr="00BC081A">
        <w:lastRenderedPageBreak/>
        <w:t xml:space="preserve">and Mode and Arousal. </w:t>
      </w:r>
      <w:r w:rsidR="00A02553" w:rsidRPr="00BC081A">
        <w:t xml:space="preserve">However, </w:t>
      </w:r>
      <w:r w:rsidR="0004035F" w:rsidRPr="00BC081A">
        <w:t xml:space="preserve">none of these relationships </w:t>
      </w:r>
      <w:r w:rsidR="003D226A" w:rsidRPr="00BC081A">
        <w:t xml:space="preserve">can be </w:t>
      </w:r>
      <w:r w:rsidR="0004035F" w:rsidRPr="00BC081A">
        <w:t xml:space="preserve">theoretically justified, nor </w:t>
      </w:r>
      <w:r w:rsidR="003D226A" w:rsidRPr="00BC081A">
        <w:t xml:space="preserve">was </w:t>
      </w:r>
      <w:r w:rsidR="0004035F" w:rsidRPr="00BC081A">
        <w:t xml:space="preserve">any evidence found to support them in the literature. It is evident that </w:t>
      </w:r>
      <w:r w:rsidR="003D226A" w:rsidRPr="00BC081A">
        <w:t xml:space="preserve">the </w:t>
      </w:r>
      <w:r w:rsidR="0004035F" w:rsidRPr="00BC081A">
        <w:t>Flow construct was not able to fully mediate the relationship between Challenge and Satisfaction or Arousal and Satisfaction. Due to the significance of these relationships, they should be considered for further analyses</w:t>
      </w:r>
      <w:r w:rsidR="00F81300">
        <w:t xml:space="preserve"> and are thus</w:t>
      </w:r>
      <w:r w:rsidR="0004035F" w:rsidRPr="00BC081A">
        <w:t xml:space="preserve"> included in guidance for future </w:t>
      </w:r>
      <w:r w:rsidR="0099759C" w:rsidRPr="00BC081A">
        <w:t>research</w:t>
      </w:r>
      <w:r w:rsidR="00F81300">
        <w:t xml:space="preserve"> in the next chapter</w:t>
      </w:r>
      <w:r w:rsidR="0004035F" w:rsidRPr="00BC081A">
        <w:t xml:space="preserve">. </w:t>
      </w:r>
    </w:p>
    <w:p w14:paraId="21C2CF19" w14:textId="14D79BC7" w:rsidR="00F44412" w:rsidRPr="00BC081A" w:rsidRDefault="00F44412" w:rsidP="00F44412">
      <w:pPr>
        <w:pStyle w:val="Heading4"/>
      </w:pPr>
      <w:r w:rsidRPr="00BC081A">
        <w:t>Control Variables Effect</w:t>
      </w:r>
      <w:r w:rsidR="00F81300">
        <w:t>s</w:t>
      </w:r>
    </w:p>
    <w:p w14:paraId="225C69A8" w14:textId="451251ED" w:rsidR="00AC5B27" w:rsidRPr="00BC081A" w:rsidRDefault="00AC5B27" w:rsidP="00AC5B27">
      <w:r w:rsidRPr="00BC081A">
        <w:t xml:space="preserve">As mentioned earlier in </w:t>
      </w:r>
      <w:r w:rsidR="00147E7B" w:rsidRPr="00BC081A">
        <w:t xml:space="preserve">this chapter, some demographics, individual characteristics and control variables information </w:t>
      </w:r>
      <w:r w:rsidRPr="00BC081A">
        <w:t xml:space="preserve">was gathered from participants. </w:t>
      </w:r>
      <w:r w:rsidR="0010318D" w:rsidRPr="00BC081A">
        <w:t xml:space="preserve">In order to test the effects of these variables on the model, the effect of each of them individually on all the latent constructs in the model was evaluated using </w:t>
      </w:r>
      <w:proofErr w:type="spellStart"/>
      <w:r w:rsidR="0010318D" w:rsidRPr="00BC081A">
        <w:t>SmartPLS</w:t>
      </w:r>
      <w:proofErr w:type="spellEnd"/>
      <w:r w:rsidR="0010318D" w:rsidRPr="00BC081A">
        <w:t>.</w:t>
      </w:r>
      <w:r w:rsidR="003A06DF" w:rsidRPr="00BC081A">
        <w:t xml:space="preserve"> </w:t>
      </w:r>
    </w:p>
    <w:p w14:paraId="7E207412" w14:textId="1E205775" w:rsidR="0003006D" w:rsidRPr="00BC081A" w:rsidRDefault="0003006D" w:rsidP="00C92D78">
      <w:pPr>
        <w:pStyle w:val="Caption"/>
      </w:pPr>
      <w:bookmarkStart w:id="102" w:name="_Ref268110159"/>
      <w:bookmarkStart w:id="103" w:name="_Toc275209770"/>
      <w:r w:rsidRPr="00BC081A">
        <w:t xml:space="preserve">Table </w:t>
      </w:r>
      <w:r w:rsidR="007804FF">
        <w:fldChar w:fldCharType="begin"/>
      </w:r>
      <w:r w:rsidR="007804FF">
        <w:instrText xml:space="preserve"> SEQ Table \* ARABIC </w:instrText>
      </w:r>
      <w:r w:rsidR="007804FF">
        <w:fldChar w:fldCharType="separate"/>
      </w:r>
      <w:r w:rsidR="008C71FB">
        <w:rPr>
          <w:noProof/>
        </w:rPr>
        <w:t>12</w:t>
      </w:r>
      <w:r w:rsidR="007804FF">
        <w:rPr>
          <w:noProof/>
        </w:rPr>
        <w:fldChar w:fldCharType="end"/>
      </w:r>
      <w:bookmarkEnd w:id="102"/>
      <w:r w:rsidRPr="00BC081A">
        <w:t xml:space="preserve"> – Impact of Control Variables on Model's Latent Constructs</w:t>
      </w:r>
      <w:bookmarkEnd w:id="103"/>
    </w:p>
    <w:tbl>
      <w:tblPr>
        <w:tblW w:w="8078"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448"/>
        <w:gridCol w:w="992"/>
        <w:gridCol w:w="851"/>
        <w:gridCol w:w="992"/>
        <w:gridCol w:w="877"/>
        <w:gridCol w:w="850"/>
        <w:gridCol w:w="851"/>
        <w:gridCol w:w="850"/>
      </w:tblGrid>
      <w:tr w:rsidR="00D975CB" w:rsidRPr="00BC081A" w14:paraId="044A3DFE" w14:textId="77777777" w:rsidTr="008C71FB">
        <w:trPr>
          <w:trHeight w:val="282"/>
          <w:jc w:val="center"/>
        </w:trPr>
        <w:tc>
          <w:tcPr>
            <w:tcW w:w="1367" w:type="dxa"/>
            <w:shd w:val="clear" w:color="auto" w:fill="F2F2F2" w:themeFill="background1" w:themeFillShade="F2"/>
            <w:noWrap/>
            <w:vAlign w:val="bottom"/>
            <w:hideMark/>
          </w:tcPr>
          <w:p w14:paraId="1AF64C69"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75DE1A14" w14:textId="77777777" w:rsidR="00D975CB" w:rsidRPr="00BC081A" w:rsidRDefault="00D975CB" w:rsidP="00D975CB">
            <w:pPr>
              <w:pStyle w:val="TableContext"/>
              <w:rPr>
                <w:lang w:val="en-CA"/>
              </w:rPr>
            </w:pPr>
          </w:p>
        </w:tc>
        <w:tc>
          <w:tcPr>
            <w:tcW w:w="992" w:type="dxa"/>
            <w:shd w:val="clear" w:color="auto" w:fill="F2F2F2" w:themeFill="background1" w:themeFillShade="F2"/>
            <w:vAlign w:val="center"/>
            <w:hideMark/>
          </w:tcPr>
          <w:p w14:paraId="3976E4B0" w14:textId="45CD3AEB" w:rsidR="00D975CB" w:rsidRPr="00BC081A" w:rsidRDefault="005624B9" w:rsidP="00D975CB">
            <w:pPr>
              <w:pStyle w:val="TableContext"/>
              <w:rPr>
                <w:lang w:val="en-CA"/>
              </w:rPr>
            </w:pPr>
            <w:proofErr w:type="spellStart"/>
            <w:r w:rsidRPr="00BC081A">
              <w:rPr>
                <w:lang w:val="en-CA"/>
              </w:rPr>
              <w:t>DCompt</w:t>
            </w:r>
            <w:proofErr w:type="spellEnd"/>
          </w:p>
        </w:tc>
        <w:tc>
          <w:tcPr>
            <w:tcW w:w="851" w:type="dxa"/>
            <w:shd w:val="clear" w:color="auto" w:fill="F2F2F2" w:themeFill="background1" w:themeFillShade="F2"/>
            <w:vAlign w:val="center"/>
            <w:hideMark/>
          </w:tcPr>
          <w:p w14:paraId="213004B6" w14:textId="77777777" w:rsidR="00D975CB" w:rsidRPr="00BC081A" w:rsidRDefault="00D975CB" w:rsidP="00D975CB">
            <w:pPr>
              <w:pStyle w:val="TableContext"/>
              <w:rPr>
                <w:lang w:val="en-CA"/>
              </w:rPr>
            </w:pPr>
            <w:r w:rsidRPr="00BC081A">
              <w:rPr>
                <w:lang w:val="en-CA"/>
              </w:rPr>
              <w:t>SP</w:t>
            </w:r>
          </w:p>
        </w:tc>
        <w:tc>
          <w:tcPr>
            <w:tcW w:w="992" w:type="dxa"/>
            <w:shd w:val="clear" w:color="auto" w:fill="F2F2F2" w:themeFill="background1" w:themeFillShade="F2"/>
            <w:vAlign w:val="center"/>
            <w:hideMark/>
          </w:tcPr>
          <w:p w14:paraId="4A318C9D" w14:textId="45C28D44" w:rsidR="00D975CB" w:rsidRPr="00BC081A" w:rsidRDefault="005624B9" w:rsidP="00D975CB">
            <w:pPr>
              <w:pStyle w:val="TableContext"/>
              <w:rPr>
                <w:lang w:val="en-CA"/>
              </w:rPr>
            </w:pPr>
            <w:proofErr w:type="spellStart"/>
            <w:r w:rsidRPr="00BC081A">
              <w:rPr>
                <w:lang w:val="en-CA"/>
              </w:rPr>
              <w:t>SCompt</w:t>
            </w:r>
            <w:proofErr w:type="spellEnd"/>
          </w:p>
        </w:tc>
        <w:tc>
          <w:tcPr>
            <w:tcW w:w="877" w:type="dxa"/>
            <w:shd w:val="clear" w:color="auto" w:fill="F2F2F2" w:themeFill="background1" w:themeFillShade="F2"/>
            <w:vAlign w:val="center"/>
            <w:hideMark/>
          </w:tcPr>
          <w:p w14:paraId="69EC3C59" w14:textId="77777777" w:rsidR="00D975CB" w:rsidRPr="00BC081A" w:rsidRDefault="00D975CB" w:rsidP="00D975CB">
            <w:pPr>
              <w:pStyle w:val="TableContext"/>
              <w:rPr>
                <w:lang w:val="en-CA"/>
              </w:rPr>
            </w:pPr>
            <w:r w:rsidRPr="00BC081A">
              <w:rPr>
                <w:lang w:val="en-CA"/>
              </w:rPr>
              <w:t>CH</w:t>
            </w:r>
          </w:p>
        </w:tc>
        <w:tc>
          <w:tcPr>
            <w:tcW w:w="850" w:type="dxa"/>
            <w:shd w:val="clear" w:color="auto" w:fill="F2F2F2" w:themeFill="background1" w:themeFillShade="F2"/>
            <w:vAlign w:val="center"/>
            <w:hideMark/>
          </w:tcPr>
          <w:p w14:paraId="26D40FF4" w14:textId="77777777" w:rsidR="00D975CB" w:rsidRPr="00BC081A" w:rsidRDefault="00D975CB" w:rsidP="00D975CB">
            <w:pPr>
              <w:pStyle w:val="TableContext"/>
              <w:rPr>
                <w:lang w:val="en-CA"/>
              </w:rPr>
            </w:pPr>
            <w:r w:rsidRPr="00BC081A">
              <w:rPr>
                <w:lang w:val="en-CA"/>
              </w:rPr>
              <w:t>AR</w:t>
            </w:r>
          </w:p>
        </w:tc>
        <w:tc>
          <w:tcPr>
            <w:tcW w:w="851" w:type="dxa"/>
            <w:shd w:val="clear" w:color="auto" w:fill="F2F2F2" w:themeFill="background1" w:themeFillShade="F2"/>
            <w:vAlign w:val="center"/>
            <w:hideMark/>
          </w:tcPr>
          <w:p w14:paraId="3074D384" w14:textId="77777777" w:rsidR="00D975CB" w:rsidRPr="00BC081A" w:rsidRDefault="00D975CB" w:rsidP="00D975CB">
            <w:pPr>
              <w:pStyle w:val="TableContext"/>
              <w:rPr>
                <w:lang w:val="en-CA"/>
              </w:rPr>
            </w:pPr>
            <w:r w:rsidRPr="00BC081A">
              <w:rPr>
                <w:lang w:val="en-CA"/>
              </w:rPr>
              <w:t>Flow</w:t>
            </w:r>
          </w:p>
        </w:tc>
        <w:tc>
          <w:tcPr>
            <w:tcW w:w="850" w:type="dxa"/>
            <w:shd w:val="clear" w:color="auto" w:fill="F2F2F2" w:themeFill="background1" w:themeFillShade="F2"/>
            <w:vAlign w:val="center"/>
            <w:hideMark/>
          </w:tcPr>
          <w:p w14:paraId="0CE33A8F" w14:textId="77777777" w:rsidR="00D975CB" w:rsidRPr="00BC081A" w:rsidRDefault="00D975CB" w:rsidP="00D975CB">
            <w:pPr>
              <w:pStyle w:val="TableContext"/>
              <w:rPr>
                <w:lang w:val="en-CA"/>
              </w:rPr>
            </w:pPr>
            <w:r w:rsidRPr="00BC081A">
              <w:rPr>
                <w:lang w:val="en-CA"/>
              </w:rPr>
              <w:t>SA</w:t>
            </w:r>
          </w:p>
        </w:tc>
      </w:tr>
      <w:tr w:rsidR="00D975CB" w:rsidRPr="00BC081A" w14:paraId="1B07D5C0" w14:textId="77777777" w:rsidTr="008C71FB">
        <w:trPr>
          <w:trHeight w:val="282"/>
          <w:jc w:val="center"/>
        </w:trPr>
        <w:tc>
          <w:tcPr>
            <w:tcW w:w="1367" w:type="dxa"/>
            <w:vMerge w:val="restart"/>
            <w:shd w:val="clear" w:color="auto" w:fill="F2F2F2" w:themeFill="background1" w:themeFillShade="F2"/>
            <w:noWrap/>
            <w:vAlign w:val="center"/>
            <w:hideMark/>
          </w:tcPr>
          <w:p w14:paraId="2F38FC09" w14:textId="77777777" w:rsidR="00D975CB" w:rsidRPr="00BC081A" w:rsidRDefault="00D975CB" w:rsidP="00D975CB">
            <w:pPr>
              <w:pStyle w:val="TableContext"/>
              <w:rPr>
                <w:lang w:val="en-CA"/>
              </w:rPr>
            </w:pPr>
            <w:r w:rsidRPr="00BC081A">
              <w:rPr>
                <w:lang w:val="en-CA"/>
              </w:rPr>
              <w:t>Age</w:t>
            </w:r>
          </w:p>
        </w:tc>
        <w:tc>
          <w:tcPr>
            <w:tcW w:w="448" w:type="dxa"/>
            <w:shd w:val="clear" w:color="auto" w:fill="F2F2F2" w:themeFill="background1" w:themeFillShade="F2"/>
            <w:noWrap/>
            <w:vAlign w:val="bottom"/>
            <w:hideMark/>
          </w:tcPr>
          <w:p w14:paraId="3829B90A"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tcPr>
          <w:p w14:paraId="7E4FC4B6" w14:textId="3483F38F" w:rsidR="00D975CB" w:rsidRPr="00BC081A" w:rsidRDefault="00D975CB" w:rsidP="00D975CB">
            <w:pPr>
              <w:pStyle w:val="TableContext"/>
              <w:rPr>
                <w:lang w:val="en-CA"/>
              </w:rPr>
            </w:pPr>
          </w:p>
        </w:tc>
        <w:tc>
          <w:tcPr>
            <w:tcW w:w="851" w:type="dxa"/>
            <w:shd w:val="clear" w:color="auto" w:fill="auto"/>
            <w:noWrap/>
            <w:vAlign w:val="bottom"/>
          </w:tcPr>
          <w:p w14:paraId="553A76B9" w14:textId="511883C5" w:rsidR="00D975CB" w:rsidRPr="00BC081A" w:rsidRDefault="00D975CB" w:rsidP="00D975CB">
            <w:pPr>
              <w:pStyle w:val="TableContext"/>
              <w:rPr>
                <w:lang w:val="en-CA"/>
              </w:rPr>
            </w:pPr>
          </w:p>
        </w:tc>
        <w:tc>
          <w:tcPr>
            <w:tcW w:w="992" w:type="dxa"/>
            <w:shd w:val="clear" w:color="auto" w:fill="auto"/>
            <w:noWrap/>
            <w:vAlign w:val="bottom"/>
          </w:tcPr>
          <w:p w14:paraId="3EE973BE" w14:textId="0FABE90E" w:rsidR="00D975CB" w:rsidRPr="00BC081A" w:rsidRDefault="00D975CB" w:rsidP="00D975CB">
            <w:pPr>
              <w:pStyle w:val="TableContext"/>
              <w:rPr>
                <w:lang w:val="en-CA"/>
              </w:rPr>
            </w:pPr>
          </w:p>
        </w:tc>
        <w:tc>
          <w:tcPr>
            <w:tcW w:w="877" w:type="dxa"/>
            <w:shd w:val="clear" w:color="auto" w:fill="auto"/>
            <w:noWrap/>
            <w:vAlign w:val="bottom"/>
            <w:hideMark/>
          </w:tcPr>
          <w:p w14:paraId="1D0A2661" w14:textId="77777777" w:rsidR="00D975CB" w:rsidRPr="00BC081A" w:rsidRDefault="00D975CB" w:rsidP="00D975CB">
            <w:pPr>
              <w:pStyle w:val="TableContext"/>
              <w:rPr>
                <w:lang w:val="en-CA"/>
              </w:rPr>
            </w:pPr>
            <w:r w:rsidRPr="00BC081A">
              <w:rPr>
                <w:lang w:val="en-CA"/>
              </w:rPr>
              <w:t>0.22</w:t>
            </w:r>
          </w:p>
        </w:tc>
        <w:tc>
          <w:tcPr>
            <w:tcW w:w="850" w:type="dxa"/>
            <w:shd w:val="clear" w:color="auto" w:fill="auto"/>
            <w:noWrap/>
            <w:vAlign w:val="bottom"/>
            <w:hideMark/>
          </w:tcPr>
          <w:p w14:paraId="296F0F5C" w14:textId="77777777" w:rsidR="00D975CB" w:rsidRPr="00BC081A" w:rsidRDefault="00D975CB" w:rsidP="00D975CB">
            <w:pPr>
              <w:pStyle w:val="TableContext"/>
              <w:rPr>
                <w:lang w:val="en-CA"/>
              </w:rPr>
            </w:pPr>
            <w:r w:rsidRPr="00BC081A">
              <w:rPr>
                <w:lang w:val="en-CA"/>
              </w:rPr>
              <w:t>0.213</w:t>
            </w:r>
          </w:p>
        </w:tc>
        <w:tc>
          <w:tcPr>
            <w:tcW w:w="851" w:type="dxa"/>
            <w:shd w:val="clear" w:color="auto" w:fill="auto"/>
            <w:noWrap/>
            <w:vAlign w:val="bottom"/>
          </w:tcPr>
          <w:p w14:paraId="24AD1823" w14:textId="7F8014AE" w:rsidR="00D975CB" w:rsidRPr="00BC081A" w:rsidRDefault="00D975CB" w:rsidP="00D975CB">
            <w:pPr>
              <w:pStyle w:val="TableContext"/>
              <w:rPr>
                <w:lang w:val="en-CA"/>
              </w:rPr>
            </w:pPr>
          </w:p>
        </w:tc>
        <w:tc>
          <w:tcPr>
            <w:tcW w:w="850" w:type="dxa"/>
            <w:shd w:val="clear" w:color="auto" w:fill="auto"/>
            <w:noWrap/>
            <w:vAlign w:val="bottom"/>
          </w:tcPr>
          <w:p w14:paraId="1F83B6C8" w14:textId="45238A5E" w:rsidR="00D975CB" w:rsidRPr="00BC081A" w:rsidRDefault="00D975CB" w:rsidP="00D975CB">
            <w:pPr>
              <w:pStyle w:val="TableContext"/>
              <w:rPr>
                <w:lang w:val="en-CA"/>
              </w:rPr>
            </w:pPr>
          </w:p>
        </w:tc>
      </w:tr>
      <w:tr w:rsidR="00D975CB" w:rsidRPr="00BC081A" w14:paraId="2D514039" w14:textId="77777777" w:rsidTr="008C71FB">
        <w:trPr>
          <w:trHeight w:val="282"/>
          <w:jc w:val="center"/>
        </w:trPr>
        <w:tc>
          <w:tcPr>
            <w:tcW w:w="1367" w:type="dxa"/>
            <w:vMerge/>
            <w:shd w:val="clear" w:color="auto" w:fill="F2F2F2" w:themeFill="background1" w:themeFillShade="F2"/>
            <w:noWrap/>
            <w:vAlign w:val="center"/>
            <w:hideMark/>
          </w:tcPr>
          <w:p w14:paraId="169FD7FB"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0D2D78A0"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5CA668A6"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770990FA"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450BBD82"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6E71F346" w14:textId="77777777" w:rsidR="00D975CB" w:rsidRPr="00BC081A" w:rsidRDefault="00D975CB" w:rsidP="00D975CB">
            <w:pPr>
              <w:pStyle w:val="TableContext"/>
              <w:rPr>
                <w:lang w:val="en-CA"/>
              </w:rPr>
            </w:pPr>
            <w:r w:rsidRPr="00BC081A">
              <w:rPr>
                <w:lang w:val="en-CA"/>
              </w:rPr>
              <w:t>0.05</w:t>
            </w:r>
          </w:p>
        </w:tc>
        <w:tc>
          <w:tcPr>
            <w:tcW w:w="850" w:type="dxa"/>
            <w:shd w:val="clear" w:color="auto" w:fill="auto"/>
            <w:noWrap/>
            <w:vAlign w:val="bottom"/>
            <w:hideMark/>
          </w:tcPr>
          <w:p w14:paraId="248EB679" w14:textId="77777777" w:rsidR="00D975CB" w:rsidRPr="00BC081A" w:rsidRDefault="00D975CB" w:rsidP="00D975CB">
            <w:pPr>
              <w:pStyle w:val="TableContext"/>
              <w:rPr>
                <w:lang w:val="en-CA"/>
              </w:rPr>
            </w:pPr>
            <w:r w:rsidRPr="00BC081A">
              <w:rPr>
                <w:lang w:val="en-CA"/>
              </w:rPr>
              <w:t>0.01</w:t>
            </w:r>
          </w:p>
        </w:tc>
        <w:tc>
          <w:tcPr>
            <w:tcW w:w="851" w:type="dxa"/>
            <w:shd w:val="clear" w:color="auto" w:fill="auto"/>
            <w:noWrap/>
            <w:vAlign w:val="bottom"/>
            <w:hideMark/>
          </w:tcPr>
          <w:p w14:paraId="11FB051E"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66001C79"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526C367B" w14:textId="77777777" w:rsidTr="008C71FB">
        <w:trPr>
          <w:trHeight w:val="282"/>
          <w:jc w:val="center"/>
        </w:trPr>
        <w:tc>
          <w:tcPr>
            <w:tcW w:w="1367" w:type="dxa"/>
            <w:vMerge w:val="restart"/>
            <w:shd w:val="clear" w:color="auto" w:fill="F2F2F2" w:themeFill="background1" w:themeFillShade="F2"/>
            <w:noWrap/>
            <w:vAlign w:val="center"/>
            <w:hideMark/>
          </w:tcPr>
          <w:p w14:paraId="2119A4A0" w14:textId="77777777" w:rsidR="00D975CB" w:rsidRPr="00BC081A" w:rsidRDefault="00D975CB" w:rsidP="00D975CB">
            <w:pPr>
              <w:pStyle w:val="TableContext"/>
              <w:rPr>
                <w:lang w:val="en-CA"/>
              </w:rPr>
            </w:pPr>
            <w:r w:rsidRPr="00BC081A">
              <w:rPr>
                <w:lang w:val="en-CA"/>
              </w:rPr>
              <w:t>Gender</w:t>
            </w:r>
          </w:p>
        </w:tc>
        <w:tc>
          <w:tcPr>
            <w:tcW w:w="448" w:type="dxa"/>
            <w:shd w:val="clear" w:color="auto" w:fill="F2F2F2" w:themeFill="background1" w:themeFillShade="F2"/>
            <w:noWrap/>
            <w:vAlign w:val="bottom"/>
            <w:hideMark/>
          </w:tcPr>
          <w:p w14:paraId="6FCD4066"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tcPr>
          <w:p w14:paraId="36EB22B0" w14:textId="267C7547" w:rsidR="00D975CB" w:rsidRPr="00BC081A" w:rsidRDefault="00D975CB" w:rsidP="00D975CB">
            <w:pPr>
              <w:pStyle w:val="TableContext"/>
              <w:rPr>
                <w:lang w:val="en-CA"/>
              </w:rPr>
            </w:pPr>
          </w:p>
        </w:tc>
        <w:tc>
          <w:tcPr>
            <w:tcW w:w="851" w:type="dxa"/>
            <w:shd w:val="clear" w:color="auto" w:fill="auto"/>
            <w:noWrap/>
            <w:vAlign w:val="bottom"/>
          </w:tcPr>
          <w:p w14:paraId="759E901A" w14:textId="221BFB17" w:rsidR="00D975CB" w:rsidRPr="00BC081A" w:rsidRDefault="00D975CB" w:rsidP="00D975CB">
            <w:pPr>
              <w:pStyle w:val="TableContext"/>
              <w:rPr>
                <w:lang w:val="en-CA"/>
              </w:rPr>
            </w:pPr>
          </w:p>
        </w:tc>
        <w:tc>
          <w:tcPr>
            <w:tcW w:w="992" w:type="dxa"/>
            <w:shd w:val="clear" w:color="auto" w:fill="auto"/>
            <w:noWrap/>
            <w:vAlign w:val="bottom"/>
          </w:tcPr>
          <w:p w14:paraId="5F0B314D" w14:textId="69594E41" w:rsidR="00D975CB" w:rsidRPr="00BC081A" w:rsidRDefault="00D975CB" w:rsidP="00D975CB">
            <w:pPr>
              <w:pStyle w:val="TableContext"/>
              <w:rPr>
                <w:lang w:val="en-CA"/>
              </w:rPr>
            </w:pPr>
          </w:p>
        </w:tc>
        <w:tc>
          <w:tcPr>
            <w:tcW w:w="877" w:type="dxa"/>
            <w:shd w:val="clear" w:color="auto" w:fill="auto"/>
            <w:noWrap/>
            <w:vAlign w:val="bottom"/>
          </w:tcPr>
          <w:p w14:paraId="4B6F3A8D" w14:textId="1781CB19" w:rsidR="00D975CB" w:rsidRPr="00BC081A" w:rsidRDefault="00D975CB" w:rsidP="00D975CB">
            <w:pPr>
              <w:pStyle w:val="TableContext"/>
              <w:rPr>
                <w:lang w:val="en-CA"/>
              </w:rPr>
            </w:pPr>
          </w:p>
        </w:tc>
        <w:tc>
          <w:tcPr>
            <w:tcW w:w="850" w:type="dxa"/>
            <w:shd w:val="clear" w:color="auto" w:fill="auto"/>
            <w:noWrap/>
            <w:vAlign w:val="bottom"/>
          </w:tcPr>
          <w:p w14:paraId="05261C6D" w14:textId="41EC0B7E" w:rsidR="00D975CB" w:rsidRPr="00BC081A" w:rsidRDefault="00D975CB" w:rsidP="00D975CB">
            <w:pPr>
              <w:pStyle w:val="TableContext"/>
              <w:rPr>
                <w:lang w:val="en-CA"/>
              </w:rPr>
            </w:pPr>
          </w:p>
        </w:tc>
        <w:tc>
          <w:tcPr>
            <w:tcW w:w="851" w:type="dxa"/>
            <w:shd w:val="clear" w:color="auto" w:fill="auto"/>
            <w:noWrap/>
            <w:vAlign w:val="bottom"/>
          </w:tcPr>
          <w:p w14:paraId="221D35FA" w14:textId="5B2552F3" w:rsidR="00D975CB" w:rsidRPr="00BC081A" w:rsidRDefault="00D975CB" w:rsidP="00D975CB">
            <w:pPr>
              <w:pStyle w:val="TableContext"/>
              <w:rPr>
                <w:lang w:val="en-CA"/>
              </w:rPr>
            </w:pPr>
          </w:p>
        </w:tc>
        <w:tc>
          <w:tcPr>
            <w:tcW w:w="850" w:type="dxa"/>
            <w:shd w:val="clear" w:color="auto" w:fill="auto"/>
            <w:noWrap/>
            <w:vAlign w:val="bottom"/>
          </w:tcPr>
          <w:p w14:paraId="55AC6A05" w14:textId="27B4B8E1" w:rsidR="00D975CB" w:rsidRPr="00BC081A" w:rsidRDefault="00D975CB" w:rsidP="00D975CB">
            <w:pPr>
              <w:pStyle w:val="TableContext"/>
              <w:rPr>
                <w:lang w:val="en-CA"/>
              </w:rPr>
            </w:pPr>
          </w:p>
        </w:tc>
      </w:tr>
      <w:tr w:rsidR="00D975CB" w:rsidRPr="00BC081A" w14:paraId="4C365C0F" w14:textId="77777777" w:rsidTr="008C71FB">
        <w:trPr>
          <w:trHeight w:val="282"/>
          <w:jc w:val="center"/>
        </w:trPr>
        <w:tc>
          <w:tcPr>
            <w:tcW w:w="1367" w:type="dxa"/>
            <w:vMerge/>
            <w:shd w:val="clear" w:color="auto" w:fill="F2F2F2" w:themeFill="background1" w:themeFillShade="F2"/>
            <w:noWrap/>
            <w:vAlign w:val="center"/>
            <w:hideMark/>
          </w:tcPr>
          <w:p w14:paraId="1C72DF68"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7DF160A2"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37A4A91B"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42F83FC8"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48B3C6BB"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33DBBD11"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0FF0F372"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29B80DB8"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14F31341"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4A3AE97D" w14:textId="77777777" w:rsidTr="008C71FB">
        <w:trPr>
          <w:trHeight w:val="282"/>
          <w:jc w:val="center"/>
        </w:trPr>
        <w:tc>
          <w:tcPr>
            <w:tcW w:w="1367" w:type="dxa"/>
            <w:vMerge w:val="restart"/>
            <w:shd w:val="clear" w:color="auto" w:fill="F2F2F2" w:themeFill="background1" w:themeFillShade="F2"/>
            <w:noWrap/>
            <w:vAlign w:val="center"/>
            <w:hideMark/>
          </w:tcPr>
          <w:p w14:paraId="5C76952C" w14:textId="77777777" w:rsidR="00D975CB" w:rsidRPr="00BC081A" w:rsidRDefault="00D975CB" w:rsidP="00D975CB">
            <w:pPr>
              <w:pStyle w:val="TableContext"/>
              <w:rPr>
                <w:lang w:val="en-CA"/>
              </w:rPr>
            </w:pPr>
            <w:r w:rsidRPr="00BC081A">
              <w:rPr>
                <w:lang w:val="en-CA"/>
              </w:rPr>
              <w:t>Education</w:t>
            </w:r>
          </w:p>
        </w:tc>
        <w:tc>
          <w:tcPr>
            <w:tcW w:w="448" w:type="dxa"/>
            <w:shd w:val="clear" w:color="auto" w:fill="F2F2F2" w:themeFill="background1" w:themeFillShade="F2"/>
            <w:noWrap/>
            <w:vAlign w:val="bottom"/>
            <w:hideMark/>
          </w:tcPr>
          <w:p w14:paraId="4C459E23"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tcPr>
          <w:p w14:paraId="4BD01108" w14:textId="40DB9EC0" w:rsidR="00D975CB" w:rsidRPr="00BC081A" w:rsidRDefault="00D975CB" w:rsidP="00D975CB">
            <w:pPr>
              <w:pStyle w:val="TableContext"/>
              <w:rPr>
                <w:lang w:val="en-CA"/>
              </w:rPr>
            </w:pPr>
          </w:p>
        </w:tc>
        <w:tc>
          <w:tcPr>
            <w:tcW w:w="851" w:type="dxa"/>
            <w:shd w:val="clear" w:color="auto" w:fill="auto"/>
            <w:noWrap/>
            <w:vAlign w:val="bottom"/>
          </w:tcPr>
          <w:p w14:paraId="082A4058" w14:textId="71E387BF" w:rsidR="00D975CB" w:rsidRPr="00BC081A" w:rsidRDefault="00D975CB" w:rsidP="00D975CB">
            <w:pPr>
              <w:pStyle w:val="TableContext"/>
              <w:rPr>
                <w:lang w:val="en-CA"/>
              </w:rPr>
            </w:pPr>
          </w:p>
        </w:tc>
        <w:tc>
          <w:tcPr>
            <w:tcW w:w="992" w:type="dxa"/>
            <w:shd w:val="clear" w:color="auto" w:fill="auto"/>
            <w:noWrap/>
            <w:vAlign w:val="bottom"/>
          </w:tcPr>
          <w:p w14:paraId="57F31AAD" w14:textId="762E864F" w:rsidR="00D975CB" w:rsidRPr="00BC081A" w:rsidRDefault="00D975CB" w:rsidP="00D975CB">
            <w:pPr>
              <w:pStyle w:val="TableContext"/>
              <w:rPr>
                <w:lang w:val="en-CA"/>
              </w:rPr>
            </w:pPr>
          </w:p>
        </w:tc>
        <w:tc>
          <w:tcPr>
            <w:tcW w:w="877" w:type="dxa"/>
            <w:shd w:val="clear" w:color="auto" w:fill="auto"/>
            <w:noWrap/>
            <w:vAlign w:val="bottom"/>
            <w:hideMark/>
          </w:tcPr>
          <w:p w14:paraId="24534D38" w14:textId="77777777" w:rsidR="00D975CB" w:rsidRPr="00BC081A" w:rsidRDefault="00D975CB" w:rsidP="00D975CB">
            <w:pPr>
              <w:pStyle w:val="TableContext"/>
              <w:rPr>
                <w:lang w:val="en-CA"/>
              </w:rPr>
            </w:pPr>
            <w:r w:rsidRPr="00BC081A">
              <w:rPr>
                <w:lang w:val="en-CA"/>
              </w:rPr>
              <w:t>0.198</w:t>
            </w:r>
          </w:p>
        </w:tc>
        <w:tc>
          <w:tcPr>
            <w:tcW w:w="850" w:type="dxa"/>
            <w:shd w:val="clear" w:color="auto" w:fill="auto"/>
            <w:noWrap/>
            <w:vAlign w:val="bottom"/>
            <w:hideMark/>
          </w:tcPr>
          <w:p w14:paraId="2AC6262D" w14:textId="77777777" w:rsidR="00D975CB" w:rsidRPr="00BC081A" w:rsidRDefault="00D975CB" w:rsidP="00D975CB">
            <w:pPr>
              <w:pStyle w:val="TableContext"/>
              <w:rPr>
                <w:lang w:val="en-CA"/>
              </w:rPr>
            </w:pPr>
            <w:r w:rsidRPr="00BC081A">
              <w:rPr>
                <w:lang w:val="en-CA"/>
              </w:rPr>
              <w:t>0.211</w:t>
            </w:r>
          </w:p>
        </w:tc>
        <w:tc>
          <w:tcPr>
            <w:tcW w:w="851" w:type="dxa"/>
            <w:shd w:val="clear" w:color="auto" w:fill="auto"/>
            <w:noWrap/>
            <w:vAlign w:val="bottom"/>
            <w:hideMark/>
          </w:tcPr>
          <w:p w14:paraId="0EB3551B" w14:textId="77777777" w:rsidR="00D975CB" w:rsidRPr="00BC081A" w:rsidRDefault="00D975CB" w:rsidP="00D975CB">
            <w:pPr>
              <w:pStyle w:val="TableContext"/>
              <w:rPr>
                <w:lang w:val="en-CA"/>
              </w:rPr>
            </w:pPr>
            <w:r w:rsidRPr="00BC081A">
              <w:rPr>
                <w:lang w:val="en-CA"/>
              </w:rPr>
              <w:t>-0.13</w:t>
            </w:r>
          </w:p>
        </w:tc>
        <w:tc>
          <w:tcPr>
            <w:tcW w:w="850" w:type="dxa"/>
            <w:shd w:val="clear" w:color="auto" w:fill="auto"/>
            <w:noWrap/>
            <w:vAlign w:val="bottom"/>
            <w:hideMark/>
          </w:tcPr>
          <w:p w14:paraId="10D4AE99" w14:textId="4B5F7267" w:rsidR="00D975CB" w:rsidRPr="00BC081A" w:rsidRDefault="00D975CB" w:rsidP="00D975CB">
            <w:pPr>
              <w:pStyle w:val="TableContext"/>
              <w:rPr>
                <w:lang w:val="en-CA"/>
              </w:rPr>
            </w:pPr>
          </w:p>
        </w:tc>
      </w:tr>
      <w:tr w:rsidR="00D975CB" w:rsidRPr="00BC081A" w14:paraId="29D8B991" w14:textId="77777777" w:rsidTr="008C71FB">
        <w:trPr>
          <w:trHeight w:val="282"/>
          <w:jc w:val="center"/>
        </w:trPr>
        <w:tc>
          <w:tcPr>
            <w:tcW w:w="1367" w:type="dxa"/>
            <w:vMerge/>
            <w:shd w:val="clear" w:color="auto" w:fill="F2F2F2" w:themeFill="background1" w:themeFillShade="F2"/>
            <w:noWrap/>
            <w:vAlign w:val="center"/>
            <w:hideMark/>
          </w:tcPr>
          <w:p w14:paraId="511C4C4E"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45A83BC1"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16D3DFB8"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593A5CE0"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2F09DEB5"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28B19DB9" w14:textId="77777777" w:rsidR="00D975CB" w:rsidRPr="00BC081A" w:rsidRDefault="00D975CB" w:rsidP="00D975CB">
            <w:pPr>
              <w:pStyle w:val="TableContext"/>
              <w:rPr>
                <w:lang w:val="en-CA"/>
              </w:rPr>
            </w:pPr>
            <w:r w:rsidRPr="00BC081A">
              <w:rPr>
                <w:lang w:val="en-CA"/>
              </w:rPr>
              <w:t>0.01</w:t>
            </w:r>
          </w:p>
        </w:tc>
        <w:tc>
          <w:tcPr>
            <w:tcW w:w="850" w:type="dxa"/>
            <w:shd w:val="clear" w:color="auto" w:fill="auto"/>
            <w:noWrap/>
            <w:vAlign w:val="bottom"/>
            <w:hideMark/>
          </w:tcPr>
          <w:p w14:paraId="40FC7F20" w14:textId="77777777" w:rsidR="00D975CB" w:rsidRPr="00BC081A" w:rsidRDefault="00D975CB" w:rsidP="00D975CB">
            <w:pPr>
              <w:pStyle w:val="TableContext"/>
              <w:rPr>
                <w:lang w:val="en-CA"/>
              </w:rPr>
            </w:pPr>
            <w:r w:rsidRPr="00BC081A">
              <w:rPr>
                <w:lang w:val="en-CA"/>
              </w:rPr>
              <w:t>0.01</w:t>
            </w:r>
          </w:p>
        </w:tc>
        <w:tc>
          <w:tcPr>
            <w:tcW w:w="851" w:type="dxa"/>
            <w:shd w:val="clear" w:color="auto" w:fill="auto"/>
            <w:noWrap/>
            <w:vAlign w:val="bottom"/>
            <w:hideMark/>
          </w:tcPr>
          <w:p w14:paraId="31A5BBF4" w14:textId="77777777" w:rsidR="00D975CB" w:rsidRPr="00BC081A" w:rsidRDefault="00D975CB" w:rsidP="00D975CB">
            <w:pPr>
              <w:pStyle w:val="TableContext"/>
              <w:rPr>
                <w:lang w:val="en-CA"/>
              </w:rPr>
            </w:pPr>
            <w:r w:rsidRPr="00BC081A">
              <w:rPr>
                <w:lang w:val="en-CA"/>
              </w:rPr>
              <w:t>0.05</w:t>
            </w:r>
          </w:p>
        </w:tc>
        <w:tc>
          <w:tcPr>
            <w:tcW w:w="850" w:type="dxa"/>
            <w:shd w:val="clear" w:color="auto" w:fill="auto"/>
            <w:noWrap/>
            <w:vAlign w:val="bottom"/>
            <w:hideMark/>
          </w:tcPr>
          <w:p w14:paraId="3E284480"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01D12701" w14:textId="77777777" w:rsidTr="008C71FB">
        <w:trPr>
          <w:trHeight w:val="282"/>
          <w:jc w:val="center"/>
        </w:trPr>
        <w:tc>
          <w:tcPr>
            <w:tcW w:w="1367" w:type="dxa"/>
            <w:vMerge w:val="restart"/>
            <w:shd w:val="clear" w:color="auto" w:fill="F2F2F2" w:themeFill="background1" w:themeFillShade="F2"/>
            <w:noWrap/>
            <w:vAlign w:val="center"/>
            <w:hideMark/>
          </w:tcPr>
          <w:p w14:paraId="7A53CC0F" w14:textId="77777777" w:rsidR="00D975CB" w:rsidRPr="00BC081A" w:rsidRDefault="00D975CB" w:rsidP="00D975CB">
            <w:pPr>
              <w:pStyle w:val="TableContext"/>
              <w:rPr>
                <w:lang w:val="en-CA"/>
              </w:rPr>
            </w:pPr>
            <w:r w:rsidRPr="00BC081A">
              <w:rPr>
                <w:lang w:val="en-CA"/>
              </w:rPr>
              <w:t>Ethnicity</w:t>
            </w:r>
          </w:p>
        </w:tc>
        <w:tc>
          <w:tcPr>
            <w:tcW w:w="448" w:type="dxa"/>
            <w:shd w:val="clear" w:color="auto" w:fill="F2F2F2" w:themeFill="background1" w:themeFillShade="F2"/>
            <w:noWrap/>
            <w:vAlign w:val="bottom"/>
            <w:hideMark/>
          </w:tcPr>
          <w:p w14:paraId="7BC85A39"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hideMark/>
          </w:tcPr>
          <w:p w14:paraId="672DF225" w14:textId="77777777" w:rsidR="00D975CB" w:rsidRPr="00BC081A" w:rsidRDefault="00D975CB" w:rsidP="00D975CB">
            <w:pPr>
              <w:pStyle w:val="TableContext"/>
              <w:rPr>
                <w:lang w:val="en-CA"/>
              </w:rPr>
            </w:pPr>
          </w:p>
        </w:tc>
        <w:tc>
          <w:tcPr>
            <w:tcW w:w="851" w:type="dxa"/>
            <w:shd w:val="clear" w:color="auto" w:fill="auto"/>
            <w:noWrap/>
            <w:vAlign w:val="bottom"/>
            <w:hideMark/>
          </w:tcPr>
          <w:p w14:paraId="68AF69E1" w14:textId="77777777" w:rsidR="00D975CB" w:rsidRPr="00BC081A" w:rsidRDefault="00D975CB" w:rsidP="00D975CB">
            <w:pPr>
              <w:pStyle w:val="TableContext"/>
              <w:rPr>
                <w:lang w:val="en-CA"/>
              </w:rPr>
            </w:pPr>
          </w:p>
        </w:tc>
        <w:tc>
          <w:tcPr>
            <w:tcW w:w="992" w:type="dxa"/>
            <w:shd w:val="clear" w:color="auto" w:fill="auto"/>
            <w:noWrap/>
            <w:vAlign w:val="bottom"/>
            <w:hideMark/>
          </w:tcPr>
          <w:p w14:paraId="2C7DC0EB" w14:textId="77777777" w:rsidR="00D975CB" w:rsidRPr="00BC081A" w:rsidRDefault="00D975CB" w:rsidP="00D975CB">
            <w:pPr>
              <w:pStyle w:val="TableContext"/>
              <w:rPr>
                <w:lang w:val="en-CA"/>
              </w:rPr>
            </w:pPr>
          </w:p>
        </w:tc>
        <w:tc>
          <w:tcPr>
            <w:tcW w:w="877" w:type="dxa"/>
            <w:shd w:val="clear" w:color="auto" w:fill="auto"/>
            <w:noWrap/>
            <w:vAlign w:val="bottom"/>
          </w:tcPr>
          <w:p w14:paraId="6F5ECB97" w14:textId="09CAD8D6" w:rsidR="00D975CB" w:rsidRPr="00BC081A" w:rsidRDefault="00D975CB" w:rsidP="00D975CB">
            <w:pPr>
              <w:pStyle w:val="TableContext"/>
              <w:rPr>
                <w:lang w:val="en-CA"/>
              </w:rPr>
            </w:pPr>
          </w:p>
        </w:tc>
        <w:tc>
          <w:tcPr>
            <w:tcW w:w="850" w:type="dxa"/>
            <w:shd w:val="clear" w:color="auto" w:fill="auto"/>
            <w:noWrap/>
            <w:vAlign w:val="bottom"/>
          </w:tcPr>
          <w:p w14:paraId="22B53FFE" w14:textId="7EE3F214" w:rsidR="00D975CB" w:rsidRPr="00BC081A" w:rsidRDefault="00D975CB" w:rsidP="00D975CB">
            <w:pPr>
              <w:pStyle w:val="TableContext"/>
              <w:rPr>
                <w:lang w:val="en-CA"/>
              </w:rPr>
            </w:pPr>
          </w:p>
        </w:tc>
        <w:tc>
          <w:tcPr>
            <w:tcW w:w="851" w:type="dxa"/>
            <w:shd w:val="clear" w:color="auto" w:fill="auto"/>
            <w:noWrap/>
            <w:vAlign w:val="bottom"/>
            <w:hideMark/>
          </w:tcPr>
          <w:p w14:paraId="1E64A88D" w14:textId="77777777" w:rsidR="00D975CB" w:rsidRPr="00BC081A" w:rsidRDefault="00D975CB" w:rsidP="00D975CB">
            <w:pPr>
              <w:pStyle w:val="TableContext"/>
              <w:rPr>
                <w:lang w:val="en-CA"/>
              </w:rPr>
            </w:pPr>
          </w:p>
        </w:tc>
        <w:tc>
          <w:tcPr>
            <w:tcW w:w="850" w:type="dxa"/>
            <w:shd w:val="clear" w:color="auto" w:fill="auto"/>
            <w:noWrap/>
            <w:vAlign w:val="bottom"/>
            <w:hideMark/>
          </w:tcPr>
          <w:p w14:paraId="16A2E252" w14:textId="77777777" w:rsidR="00D975CB" w:rsidRPr="00BC081A" w:rsidRDefault="00D975CB" w:rsidP="00D975CB">
            <w:pPr>
              <w:pStyle w:val="TableContext"/>
              <w:rPr>
                <w:lang w:val="en-CA"/>
              </w:rPr>
            </w:pPr>
          </w:p>
        </w:tc>
      </w:tr>
      <w:tr w:rsidR="00D975CB" w:rsidRPr="00BC081A" w14:paraId="63B614F1" w14:textId="77777777" w:rsidTr="008C71FB">
        <w:trPr>
          <w:trHeight w:val="282"/>
          <w:jc w:val="center"/>
        </w:trPr>
        <w:tc>
          <w:tcPr>
            <w:tcW w:w="1367" w:type="dxa"/>
            <w:vMerge/>
            <w:shd w:val="clear" w:color="auto" w:fill="F2F2F2" w:themeFill="background1" w:themeFillShade="F2"/>
            <w:noWrap/>
            <w:vAlign w:val="center"/>
            <w:hideMark/>
          </w:tcPr>
          <w:p w14:paraId="4FD20237"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46ABE24E"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1A47CD01"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4F904DBE"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6E035C92"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1203321F"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1FA68417"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52261C01"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1B0D2E4E"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497818CA" w14:textId="77777777" w:rsidTr="008C71FB">
        <w:trPr>
          <w:trHeight w:val="282"/>
          <w:jc w:val="center"/>
        </w:trPr>
        <w:tc>
          <w:tcPr>
            <w:tcW w:w="1367" w:type="dxa"/>
            <w:vMerge w:val="restart"/>
            <w:shd w:val="clear" w:color="auto" w:fill="F2F2F2" w:themeFill="background1" w:themeFillShade="F2"/>
            <w:noWrap/>
            <w:vAlign w:val="center"/>
            <w:hideMark/>
          </w:tcPr>
          <w:p w14:paraId="086440B7" w14:textId="77777777" w:rsidR="00D975CB" w:rsidRPr="00BC081A" w:rsidRDefault="00D975CB" w:rsidP="00D975CB">
            <w:pPr>
              <w:pStyle w:val="TableContext"/>
              <w:rPr>
                <w:lang w:val="en-CA"/>
              </w:rPr>
            </w:pPr>
            <w:r w:rsidRPr="00BC081A">
              <w:rPr>
                <w:lang w:val="en-CA"/>
              </w:rPr>
              <w:t>Language</w:t>
            </w:r>
          </w:p>
          <w:p w14:paraId="5B4E3AA4" w14:textId="09135E16" w:rsidR="00D975CB" w:rsidRPr="00BC081A" w:rsidRDefault="00D975CB" w:rsidP="00D975CB">
            <w:pPr>
              <w:pStyle w:val="TableContext"/>
              <w:rPr>
                <w:lang w:val="en-CA"/>
              </w:rPr>
            </w:pPr>
            <w:r w:rsidRPr="00BC081A">
              <w:rPr>
                <w:lang w:val="en-CA"/>
              </w:rPr>
              <w:t>(1=English, 2=Not English)</w:t>
            </w:r>
          </w:p>
        </w:tc>
        <w:tc>
          <w:tcPr>
            <w:tcW w:w="448" w:type="dxa"/>
            <w:shd w:val="clear" w:color="auto" w:fill="F2F2F2" w:themeFill="background1" w:themeFillShade="F2"/>
            <w:noWrap/>
            <w:vAlign w:val="bottom"/>
            <w:hideMark/>
          </w:tcPr>
          <w:p w14:paraId="632C7E4B"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hideMark/>
          </w:tcPr>
          <w:p w14:paraId="3F8B6287" w14:textId="77777777" w:rsidR="00D975CB" w:rsidRPr="00BC081A" w:rsidRDefault="00D975CB" w:rsidP="00D975CB">
            <w:pPr>
              <w:pStyle w:val="TableContext"/>
              <w:rPr>
                <w:lang w:val="en-CA"/>
              </w:rPr>
            </w:pPr>
          </w:p>
        </w:tc>
        <w:tc>
          <w:tcPr>
            <w:tcW w:w="851" w:type="dxa"/>
            <w:shd w:val="clear" w:color="auto" w:fill="auto"/>
            <w:noWrap/>
            <w:vAlign w:val="bottom"/>
            <w:hideMark/>
          </w:tcPr>
          <w:p w14:paraId="614F9DA6" w14:textId="77777777" w:rsidR="00D975CB" w:rsidRPr="00BC081A" w:rsidRDefault="00D975CB" w:rsidP="00D975CB">
            <w:pPr>
              <w:pStyle w:val="TableContext"/>
              <w:rPr>
                <w:lang w:val="en-CA"/>
              </w:rPr>
            </w:pPr>
          </w:p>
        </w:tc>
        <w:tc>
          <w:tcPr>
            <w:tcW w:w="992" w:type="dxa"/>
            <w:shd w:val="clear" w:color="auto" w:fill="auto"/>
            <w:noWrap/>
            <w:vAlign w:val="bottom"/>
            <w:hideMark/>
          </w:tcPr>
          <w:p w14:paraId="465FC385" w14:textId="77777777" w:rsidR="00D975CB" w:rsidRPr="00BC081A" w:rsidRDefault="00D975CB" w:rsidP="00D975CB">
            <w:pPr>
              <w:pStyle w:val="TableContext"/>
              <w:rPr>
                <w:lang w:val="en-CA"/>
              </w:rPr>
            </w:pPr>
            <w:r w:rsidRPr="00BC081A">
              <w:rPr>
                <w:lang w:val="en-CA"/>
              </w:rPr>
              <w:t>-0.15</w:t>
            </w:r>
          </w:p>
        </w:tc>
        <w:tc>
          <w:tcPr>
            <w:tcW w:w="877" w:type="dxa"/>
            <w:shd w:val="clear" w:color="auto" w:fill="auto"/>
            <w:noWrap/>
            <w:vAlign w:val="bottom"/>
            <w:hideMark/>
          </w:tcPr>
          <w:p w14:paraId="62DC9377" w14:textId="77777777" w:rsidR="00D975CB" w:rsidRPr="00BC081A" w:rsidRDefault="00D975CB" w:rsidP="00D975CB">
            <w:pPr>
              <w:pStyle w:val="TableContext"/>
              <w:rPr>
                <w:lang w:val="en-CA"/>
              </w:rPr>
            </w:pPr>
          </w:p>
        </w:tc>
        <w:tc>
          <w:tcPr>
            <w:tcW w:w="850" w:type="dxa"/>
            <w:shd w:val="clear" w:color="auto" w:fill="auto"/>
            <w:noWrap/>
            <w:vAlign w:val="bottom"/>
            <w:hideMark/>
          </w:tcPr>
          <w:p w14:paraId="43122761" w14:textId="77777777" w:rsidR="00D975CB" w:rsidRPr="00BC081A" w:rsidRDefault="00D975CB" w:rsidP="00D975CB">
            <w:pPr>
              <w:pStyle w:val="TableContext"/>
              <w:rPr>
                <w:lang w:val="en-CA"/>
              </w:rPr>
            </w:pPr>
          </w:p>
        </w:tc>
        <w:tc>
          <w:tcPr>
            <w:tcW w:w="851" w:type="dxa"/>
            <w:shd w:val="clear" w:color="auto" w:fill="auto"/>
            <w:noWrap/>
            <w:vAlign w:val="bottom"/>
            <w:hideMark/>
          </w:tcPr>
          <w:p w14:paraId="2A7D8457" w14:textId="77777777" w:rsidR="00D975CB" w:rsidRPr="00BC081A" w:rsidRDefault="00D975CB" w:rsidP="00D975CB">
            <w:pPr>
              <w:pStyle w:val="TableContext"/>
              <w:rPr>
                <w:lang w:val="en-CA"/>
              </w:rPr>
            </w:pPr>
            <w:r w:rsidRPr="00BC081A">
              <w:rPr>
                <w:lang w:val="en-CA"/>
              </w:rPr>
              <w:t>-0.184</w:t>
            </w:r>
          </w:p>
        </w:tc>
        <w:tc>
          <w:tcPr>
            <w:tcW w:w="850" w:type="dxa"/>
            <w:shd w:val="clear" w:color="auto" w:fill="auto"/>
            <w:noWrap/>
            <w:vAlign w:val="bottom"/>
            <w:hideMark/>
          </w:tcPr>
          <w:p w14:paraId="2C4AB7C0" w14:textId="77777777" w:rsidR="00D975CB" w:rsidRPr="00BC081A" w:rsidRDefault="00D975CB" w:rsidP="00D975CB">
            <w:pPr>
              <w:pStyle w:val="TableContext"/>
              <w:rPr>
                <w:lang w:val="en-CA"/>
              </w:rPr>
            </w:pPr>
          </w:p>
        </w:tc>
      </w:tr>
      <w:tr w:rsidR="00D975CB" w:rsidRPr="00BC081A" w14:paraId="785ED08F" w14:textId="77777777" w:rsidTr="008C71FB">
        <w:trPr>
          <w:trHeight w:val="282"/>
          <w:jc w:val="center"/>
        </w:trPr>
        <w:tc>
          <w:tcPr>
            <w:tcW w:w="1367" w:type="dxa"/>
            <w:vMerge/>
            <w:shd w:val="clear" w:color="auto" w:fill="F2F2F2" w:themeFill="background1" w:themeFillShade="F2"/>
            <w:noWrap/>
            <w:vAlign w:val="center"/>
            <w:hideMark/>
          </w:tcPr>
          <w:p w14:paraId="1F5BE7A2" w14:textId="593604D5"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23D1FB0F"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1560941F"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351F310B"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08A94D4A" w14:textId="77777777" w:rsidR="00D975CB" w:rsidRPr="00BC081A" w:rsidRDefault="00D975CB" w:rsidP="00D975CB">
            <w:pPr>
              <w:pStyle w:val="TableContext"/>
              <w:rPr>
                <w:lang w:val="en-CA"/>
              </w:rPr>
            </w:pPr>
            <w:r w:rsidRPr="00BC081A">
              <w:rPr>
                <w:lang w:val="en-CA"/>
              </w:rPr>
              <w:t>0.05</w:t>
            </w:r>
          </w:p>
        </w:tc>
        <w:tc>
          <w:tcPr>
            <w:tcW w:w="877" w:type="dxa"/>
            <w:shd w:val="clear" w:color="auto" w:fill="auto"/>
            <w:noWrap/>
            <w:vAlign w:val="bottom"/>
            <w:hideMark/>
          </w:tcPr>
          <w:p w14:paraId="6206BEA3"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37CC5A3E"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35AECCFF" w14:textId="77777777" w:rsidR="00D975CB" w:rsidRPr="00BC081A" w:rsidRDefault="00D975CB" w:rsidP="00D975CB">
            <w:pPr>
              <w:pStyle w:val="TableContext"/>
              <w:rPr>
                <w:lang w:val="en-CA"/>
              </w:rPr>
            </w:pPr>
            <w:r w:rsidRPr="00BC081A">
              <w:rPr>
                <w:lang w:val="en-CA"/>
              </w:rPr>
              <w:t>0.05</w:t>
            </w:r>
          </w:p>
        </w:tc>
        <w:tc>
          <w:tcPr>
            <w:tcW w:w="850" w:type="dxa"/>
            <w:shd w:val="clear" w:color="auto" w:fill="auto"/>
            <w:noWrap/>
            <w:vAlign w:val="bottom"/>
            <w:hideMark/>
          </w:tcPr>
          <w:p w14:paraId="0DFB2FA0"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2BCFCCB0" w14:textId="77777777" w:rsidTr="008C71FB">
        <w:trPr>
          <w:trHeight w:val="282"/>
          <w:jc w:val="center"/>
        </w:trPr>
        <w:tc>
          <w:tcPr>
            <w:tcW w:w="1367" w:type="dxa"/>
            <w:vMerge w:val="restart"/>
            <w:shd w:val="clear" w:color="auto" w:fill="F2F2F2" w:themeFill="background1" w:themeFillShade="F2"/>
            <w:noWrap/>
            <w:vAlign w:val="center"/>
            <w:hideMark/>
          </w:tcPr>
          <w:p w14:paraId="6873EA12" w14:textId="77777777" w:rsidR="00D975CB" w:rsidRPr="00BC081A" w:rsidRDefault="00D975CB" w:rsidP="00D975CB">
            <w:pPr>
              <w:pStyle w:val="TableContext"/>
              <w:rPr>
                <w:lang w:val="en-CA"/>
              </w:rPr>
            </w:pPr>
            <w:r w:rsidRPr="00BC081A">
              <w:rPr>
                <w:lang w:val="en-CA"/>
              </w:rPr>
              <w:t xml:space="preserve">Computer </w:t>
            </w:r>
            <w:r w:rsidRPr="00BC081A">
              <w:rPr>
                <w:lang w:val="en-CA"/>
              </w:rPr>
              <w:lastRenderedPageBreak/>
              <w:t>Experience</w:t>
            </w:r>
          </w:p>
        </w:tc>
        <w:tc>
          <w:tcPr>
            <w:tcW w:w="448" w:type="dxa"/>
            <w:shd w:val="clear" w:color="auto" w:fill="F2F2F2" w:themeFill="background1" w:themeFillShade="F2"/>
            <w:noWrap/>
            <w:vAlign w:val="bottom"/>
            <w:hideMark/>
          </w:tcPr>
          <w:p w14:paraId="41E79293"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lastRenderedPageBreak/>
              <w:t xml:space="preserve">β </w:t>
            </w:r>
          </w:p>
        </w:tc>
        <w:tc>
          <w:tcPr>
            <w:tcW w:w="992" w:type="dxa"/>
            <w:shd w:val="clear" w:color="auto" w:fill="auto"/>
            <w:noWrap/>
            <w:vAlign w:val="bottom"/>
            <w:hideMark/>
          </w:tcPr>
          <w:p w14:paraId="47871DE9" w14:textId="77777777" w:rsidR="00D975CB" w:rsidRPr="00BC081A" w:rsidRDefault="00D975CB" w:rsidP="00D975CB">
            <w:pPr>
              <w:pStyle w:val="TableContext"/>
              <w:rPr>
                <w:lang w:val="en-CA"/>
              </w:rPr>
            </w:pPr>
          </w:p>
        </w:tc>
        <w:tc>
          <w:tcPr>
            <w:tcW w:w="851" w:type="dxa"/>
            <w:shd w:val="clear" w:color="auto" w:fill="auto"/>
            <w:noWrap/>
            <w:vAlign w:val="bottom"/>
            <w:hideMark/>
          </w:tcPr>
          <w:p w14:paraId="259356ED" w14:textId="77777777" w:rsidR="00D975CB" w:rsidRPr="00BC081A" w:rsidRDefault="00D975CB" w:rsidP="00D975CB">
            <w:pPr>
              <w:pStyle w:val="TableContext"/>
              <w:rPr>
                <w:lang w:val="en-CA"/>
              </w:rPr>
            </w:pPr>
          </w:p>
        </w:tc>
        <w:tc>
          <w:tcPr>
            <w:tcW w:w="992" w:type="dxa"/>
            <w:shd w:val="clear" w:color="auto" w:fill="auto"/>
            <w:noWrap/>
            <w:vAlign w:val="bottom"/>
            <w:hideMark/>
          </w:tcPr>
          <w:p w14:paraId="207A8F6D" w14:textId="77777777" w:rsidR="00D975CB" w:rsidRPr="00BC081A" w:rsidRDefault="00D975CB" w:rsidP="00D975CB">
            <w:pPr>
              <w:pStyle w:val="TableContext"/>
              <w:rPr>
                <w:lang w:val="en-CA"/>
              </w:rPr>
            </w:pPr>
          </w:p>
        </w:tc>
        <w:tc>
          <w:tcPr>
            <w:tcW w:w="877" w:type="dxa"/>
            <w:shd w:val="clear" w:color="auto" w:fill="auto"/>
            <w:noWrap/>
            <w:vAlign w:val="bottom"/>
            <w:hideMark/>
          </w:tcPr>
          <w:p w14:paraId="18DD0D76" w14:textId="77777777" w:rsidR="00D975CB" w:rsidRPr="00BC081A" w:rsidRDefault="00D975CB" w:rsidP="00D975CB">
            <w:pPr>
              <w:pStyle w:val="TableContext"/>
              <w:rPr>
                <w:lang w:val="en-CA"/>
              </w:rPr>
            </w:pPr>
          </w:p>
        </w:tc>
        <w:tc>
          <w:tcPr>
            <w:tcW w:w="850" w:type="dxa"/>
            <w:shd w:val="clear" w:color="auto" w:fill="auto"/>
            <w:noWrap/>
            <w:vAlign w:val="bottom"/>
            <w:hideMark/>
          </w:tcPr>
          <w:p w14:paraId="735A1891" w14:textId="77777777" w:rsidR="00D975CB" w:rsidRPr="00BC081A" w:rsidRDefault="00D975CB" w:rsidP="00D975CB">
            <w:pPr>
              <w:pStyle w:val="TableContext"/>
              <w:rPr>
                <w:lang w:val="en-CA"/>
              </w:rPr>
            </w:pPr>
          </w:p>
        </w:tc>
        <w:tc>
          <w:tcPr>
            <w:tcW w:w="851" w:type="dxa"/>
            <w:shd w:val="clear" w:color="auto" w:fill="auto"/>
            <w:noWrap/>
            <w:vAlign w:val="bottom"/>
            <w:hideMark/>
          </w:tcPr>
          <w:p w14:paraId="626D756D" w14:textId="77777777" w:rsidR="00D975CB" w:rsidRPr="00BC081A" w:rsidRDefault="00D975CB" w:rsidP="00D975CB">
            <w:pPr>
              <w:pStyle w:val="TableContext"/>
              <w:rPr>
                <w:lang w:val="en-CA"/>
              </w:rPr>
            </w:pPr>
            <w:r w:rsidRPr="00BC081A">
              <w:rPr>
                <w:lang w:val="en-CA"/>
              </w:rPr>
              <w:t>0.14</w:t>
            </w:r>
          </w:p>
        </w:tc>
        <w:tc>
          <w:tcPr>
            <w:tcW w:w="850" w:type="dxa"/>
            <w:shd w:val="clear" w:color="auto" w:fill="auto"/>
            <w:noWrap/>
            <w:vAlign w:val="bottom"/>
            <w:hideMark/>
          </w:tcPr>
          <w:p w14:paraId="1C3EAF17" w14:textId="77777777" w:rsidR="00D975CB" w:rsidRPr="00BC081A" w:rsidRDefault="00D975CB" w:rsidP="00D975CB">
            <w:pPr>
              <w:pStyle w:val="TableContext"/>
              <w:rPr>
                <w:lang w:val="en-CA"/>
              </w:rPr>
            </w:pPr>
          </w:p>
        </w:tc>
      </w:tr>
      <w:tr w:rsidR="00D975CB" w:rsidRPr="00BC081A" w14:paraId="47207636" w14:textId="77777777" w:rsidTr="008C71FB">
        <w:trPr>
          <w:trHeight w:val="282"/>
          <w:jc w:val="center"/>
        </w:trPr>
        <w:tc>
          <w:tcPr>
            <w:tcW w:w="1367" w:type="dxa"/>
            <w:vMerge/>
            <w:shd w:val="clear" w:color="auto" w:fill="F2F2F2" w:themeFill="background1" w:themeFillShade="F2"/>
            <w:noWrap/>
            <w:vAlign w:val="center"/>
            <w:hideMark/>
          </w:tcPr>
          <w:p w14:paraId="5DEC52C7"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4E308A23"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51E6D860"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2007C068"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646D0DFA"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46BE1280"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04D89ACF"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04B7B6AB" w14:textId="77777777" w:rsidR="00D975CB" w:rsidRPr="00BC081A" w:rsidRDefault="00D975CB" w:rsidP="00D975CB">
            <w:pPr>
              <w:pStyle w:val="TableContext"/>
              <w:rPr>
                <w:lang w:val="en-CA"/>
              </w:rPr>
            </w:pPr>
            <w:r w:rsidRPr="00BC081A">
              <w:rPr>
                <w:lang w:val="en-CA"/>
              </w:rPr>
              <w:t>0.05</w:t>
            </w:r>
          </w:p>
        </w:tc>
        <w:tc>
          <w:tcPr>
            <w:tcW w:w="850" w:type="dxa"/>
            <w:shd w:val="clear" w:color="auto" w:fill="auto"/>
            <w:noWrap/>
            <w:vAlign w:val="bottom"/>
            <w:hideMark/>
          </w:tcPr>
          <w:p w14:paraId="16E76BD5"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6CA4AEB7" w14:textId="77777777" w:rsidTr="008C71FB">
        <w:trPr>
          <w:trHeight w:val="282"/>
          <w:jc w:val="center"/>
        </w:trPr>
        <w:tc>
          <w:tcPr>
            <w:tcW w:w="1367" w:type="dxa"/>
            <w:vMerge w:val="restart"/>
            <w:shd w:val="clear" w:color="auto" w:fill="F2F2F2" w:themeFill="background1" w:themeFillShade="F2"/>
            <w:noWrap/>
            <w:vAlign w:val="center"/>
            <w:hideMark/>
          </w:tcPr>
          <w:p w14:paraId="4363D96C" w14:textId="77777777" w:rsidR="00D975CB" w:rsidRPr="00BC081A" w:rsidRDefault="00D975CB" w:rsidP="00D975CB">
            <w:pPr>
              <w:pStyle w:val="TableContext"/>
              <w:rPr>
                <w:lang w:val="en-CA"/>
              </w:rPr>
            </w:pPr>
            <w:r w:rsidRPr="00BC081A">
              <w:rPr>
                <w:lang w:val="en-CA"/>
              </w:rPr>
              <w:lastRenderedPageBreak/>
              <w:t>Internet Experience</w:t>
            </w:r>
          </w:p>
        </w:tc>
        <w:tc>
          <w:tcPr>
            <w:tcW w:w="448" w:type="dxa"/>
            <w:shd w:val="clear" w:color="auto" w:fill="F2F2F2" w:themeFill="background1" w:themeFillShade="F2"/>
            <w:noWrap/>
            <w:vAlign w:val="bottom"/>
            <w:hideMark/>
          </w:tcPr>
          <w:p w14:paraId="6898DBF9"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hideMark/>
          </w:tcPr>
          <w:p w14:paraId="51485BDA" w14:textId="77777777" w:rsidR="00D975CB" w:rsidRPr="00BC081A" w:rsidRDefault="00D975CB" w:rsidP="00D975CB">
            <w:pPr>
              <w:pStyle w:val="TableContext"/>
              <w:rPr>
                <w:lang w:val="en-CA"/>
              </w:rPr>
            </w:pPr>
          </w:p>
        </w:tc>
        <w:tc>
          <w:tcPr>
            <w:tcW w:w="851" w:type="dxa"/>
            <w:shd w:val="clear" w:color="auto" w:fill="auto"/>
            <w:noWrap/>
            <w:vAlign w:val="bottom"/>
            <w:hideMark/>
          </w:tcPr>
          <w:p w14:paraId="5FF8A44B" w14:textId="77777777" w:rsidR="00D975CB" w:rsidRPr="00BC081A" w:rsidRDefault="00D975CB" w:rsidP="00D975CB">
            <w:pPr>
              <w:pStyle w:val="TableContext"/>
              <w:rPr>
                <w:lang w:val="en-CA"/>
              </w:rPr>
            </w:pPr>
          </w:p>
        </w:tc>
        <w:tc>
          <w:tcPr>
            <w:tcW w:w="992" w:type="dxa"/>
            <w:shd w:val="clear" w:color="auto" w:fill="auto"/>
            <w:noWrap/>
            <w:vAlign w:val="bottom"/>
            <w:hideMark/>
          </w:tcPr>
          <w:p w14:paraId="60C3B2E0" w14:textId="77777777" w:rsidR="00D975CB" w:rsidRPr="00BC081A" w:rsidRDefault="00D975CB" w:rsidP="00D975CB">
            <w:pPr>
              <w:pStyle w:val="TableContext"/>
              <w:rPr>
                <w:lang w:val="en-CA"/>
              </w:rPr>
            </w:pPr>
          </w:p>
        </w:tc>
        <w:tc>
          <w:tcPr>
            <w:tcW w:w="877" w:type="dxa"/>
            <w:shd w:val="clear" w:color="auto" w:fill="auto"/>
            <w:noWrap/>
            <w:vAlign w:val="bottom"/>
            <w:hideMark/>
          </w:tcPr>
          <w:p w14:paraId="4EB22F37" w14:textId="77777777" w:rsidR="00D975CB" w:rsidRPr="00BC081A" w:rsidRDefault="00D975CB" w:rsidP="00D975CB">
            <w:pPr>
              <w:pStyle w:val="TableContext"/>
              <w:rPr>
                <w:lang w:val="en-CA"/>
              </w:rPr>
            </w:pPr>
          </w:p>
        </w:tc>
        <w:tc>
          <w:tcPr>
            <w:tcW w:w="850" w:type="dxa"/>
            <w:shd w:val="clear" w:color="auto" w:fill="auto"/>
            <w:noWrap/>
            <w:vAlign w:val="bottom"/>
            <w:hideMark/>
          </w:tcPr>
          <w:p w14:paraId="24CA23C7" w14:textId="77777777" w:rsidR="00D975CB" w:rsidRPr="00BC081A" w:rsidRDefault="00D975CB" w:rsidP="00D975CB">
            <w:pPr>
              <w:pStyle w:val="TableContext"/>
              <w:rPr>
                <w:lang w:val="en-CA"/>
              </w:rPr>
            </w:pPr>
          </w:p>
        </w:tc>
        <w:tc>
          <w:tcPr>
            <w:tcW w:w="851" w:type="dxa"/>
            <w:shd w:val="clear" w:color="auto" w:fill="auto"/>
            <w:noWrap/>
            <w:vAlign w:val="bottom"/>
            <w:hideMark/>
          </w:tcPr>
          <w:p w14:paraId="79CB581D" w14:textId="77777777" w:rsidR="00D975CB" w:rsidRPr="00BC081A" w:rsidRDefault="00D975CB" w:rsidP="00D975CB">
            <w:pPr>
              <w:pStyle w:val="TableContext"/>
              <w:rPr>
                <w:lang w:val="en-CA"/>
              </w:rPr>
            </w:pPr>
            <w:r w:rsidRPr="00BC081A">
              <w:rPr>
                <w:lang w:val="en-CA"/>
              </w:rPr>
              <w:t>0.162</w:t>
            </w:r>
          </w:p>
        </w:tc>
        <w:tc>
          <w:tcPr>
            <w:tcW w:w="850" w:type="dxa"/>
            <w:shd w:val="clear" w:color="auto" w:fill="auto"/>
            <w:noWrap/>
            <w:vAlign w:val="bottom"/>
            <w:hideMark/>
          </w:tcPr>
          <w:p w14:paraId="0900540A" w14:textId="77777777" w:rsidR="00D975CB" w:rsidRPr="00BC081A" w:rsidRDefault="00D975CB" w:rsidP="00D975CB">
            <w:pPr>
              <w:pStyle w:val="TableContext"/>
              <w:rPr>
                <w:lang w:val="en-CA"/>
              </w:rPr>
            </w:pPr>
          </w:p>
        </w:tc>
      </w:tr>
      <w:tr w:rsidR="00D975CB" w:rsidRPr="00BC081A" w14:paraId="3CC363F8" w14:textId="77777777" w:rsidTr="008C71FB">
        <w:trPr>
          <w:trHeight w:val="282"/>
          <w:jc w:val="center"/>
        </w:trPr>
        <w:tc>
          <w:tcPr>
            <w:tcW w:w="1367" w:type="dxa"/>
            <w:vMerge/>
            <w:shd w:val="clear" w:color="auto" w:fill="F2F2F2" w:themeFill="background1" w:themeFillShade="F2"/>
            <w:noWrap/>
            <w:vAlign w:val="center"/>
            <w:hideMark/>
          </w:tcPr>
          <w:p w14:paraId="04CF8D55"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296DAA41"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2028AB03"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533564E2"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992" w:type="dxa"/>
            <w:shd w:val="clear" w:color="auto" w:fill="auto"/>
            <w:noWrap/>
            <w:vAlign w:val="bottom"/>
            <w:hideMark/>
          </w:tcPr>
          <w:p w14:paraId="426C274A"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4A2C1F05"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0" w:type="dxa"/>
            <w:shd w:val="clear" w:color="auto" w:fill="auto"/>
            <w:noWrap/>
            <w:vAlign w:val="bottom"/>
            <w:hideMark/>
          </w:tcPr>
          <w:p w14:paraId="19AED431"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630F1951" w14:textId="77777777" w:rsidR="00D975CB" w:rsidRPr="00BC081A" w:rsidRDefault="00D975CB" w:rsidP="00D975CB">
            <w:pPr>
              <w:pStyle w:val="TableContext"/>
              <w:rPr>
                <w:lang w:val="en-CA"/>
              </w:rPr>
            </w:pPr>
            <w:r w:rsidRPr="00BC081A">
              <w:rPr>
                <w:lang w:val="en-CA"/>
              </w:rPr>
              <w:t>0.05</w:t>
            </w:r>
          </w:p>
        </w:tc>
        <w:tc>
          <w:tcPr>
            <w:tcW w:w="850" w:type="dxa"/>
            <w:shd w:val="clear" w:color="auto" w:fill="auto"/>
            <w:noWrap/>
            <w:vAlign w:val="bottom"/>
            <w:hideMark/>
          </w:tcPr>
          <w:p w14:paraId="554B1722"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r w:rsidR="00D975CB" w:rsidRPr="00BC081A" w14:paraId="13218DC7" w14:textId="77777777" w:rsidTr="008C71FB">
        <w:trPr>
          <w:trHeight w:val="282"/>
          <w:jc w:val="center"/>
        </w:trPr>
        <w:tc>
          <w:tcPr>
            <w:tcW w:w="1367" w:type="dxa"/>
            <w:vMerge w:val="restart"/>
            <w:shd w:val="clear" w:color="auto" w:fill="F2F2F2" w:themeFill="background1" w:themeFillShade="F2"/>
            <w:noWrap/>
            <w:vAlign w:val="center"/>
            <w:hideMark/>
          </w:tcPr>
          <w:p w14:paraId="2EDEFB29" w14:textId="77777777" w:rsidR="00D975CB" w:rsidRPr="00BC081A" w:rsidRDefault="00D975CB" w:rsidP="00D975CB">
            <w:pPr>
              <w:pStyle w:val="TableContext"/>
              <w:rPr>
                <w:lang w:val="en-CA"/>
              </w:rPr>
            </w:pPr>
            <w:r w:rsidRPr="00BC081A">
              <w:rPr>
                <w:lang w:val="en-CA"/>
              </w:rPr>
              <w:t>Gaming Experience</w:t>
            </w:r>
          </w:p>
        </w:tc>
        <w:tc>
          <w:tcPr>
            <w:tcW w:w="448" w:type="dxa"/>
            <w:shd w:val="clear" w:color="auto" w:fill="F2F2F2" w:themeFill="background1" w:themeFillShade="F2"/>
            <w:noWrap/>
            <w:vAlign w:val="bottom"/>
            <w:hideMark/>
          </w:tcPr>
          <w:p w14:paraId="3B56141C" w14:textId="77777777" w:rsidR="00D975CB" w:rsidRPr="00BC081A" w:rsidRDefault="00D975CB" w:rsidP="00D975CB">
            <w:pPr>
              <w:pStyle w:val="TableContext"/>
              <w:rPr>
                <w:rFonts w:ascii="Times New Roman" w:hAnsi="Times New Roman"/>
                <w:sz w:val="18"/>
                <w:szCs w:val="18"/>
                <w:lang w:val="en-CA"/>
              </w:rPr>
            </w:pPr>
            <w:r w:rsidRPr="00BC081A">
              <w:rPr>
                <w:rFonts w:ascii="Times New Roman" w:hAnsi="Times New Roman"/>
                <w:sz w:val="18"/>
                <w:szCs w:val="18"/>
                <w:lang w:val="en-CA"/>
              </w:rPr>
              <w:t xml:space="preserve">β </w:t>
            </w:r>
          </w:p>
        </w:tc>
        <w:tc>
          <w:tcPr>
            <w:tcW w:w="992" w:type="dxa"/>
            <w:shd w:val="clear" w:color="auto" w:fill="auto"/>
            <w:noWrap/>
            <w:vAlign w:val="bottom"/>
            <w:hideMark/>
          </w:tcPr>
          <w:p w14:paraId="0574CAE1" w14:textId="77777777" w:rsidR="00D975CB" w:rsidRPr="00BC081A" w:rsidRDefault="00D975CB" w:rsidP="00D975CB">
            <w:pPr>
              <w:pStyle w:val="TableContext"/>
              <w:rPr>
                <w:lang w:val="en-CA"/>
              </w:rPr>
            </w:pPr>
          </w:p>
        </w:tc>
        <w:tc>
          <w:tcPr>
            <w:tcW w:w="851" w:type="dxa"/>
            <w:shd w:val="clear" w:color="auto" w:fill="auto"/>
            <w:noWrap/>
            <w:vAlign w:val="bottom"/>
            <w:hideMark/>
          </w:tcPr>
          <w:p w14:paraId="6C97DB00" w14:textId="77777777" w:rsidR="00D975CB" w:rsidRPr="00BC081A" w:rsidRDefault="00D975CB" w:rsidP="00D975CB">
            <w:pPr>
              <w:pStyle w:val="TableContext"/>
              <w:rPr>
                <w:lang w:val="en-CA"/>
              </w:rPr>
            </w:pPr>
            <w:r w:rsidRPr="00BC081A">
              <w:rPr>
                <w:lang w:val="en-CA"/>
              </w:rPr>
              <w:t>-0.173</w:t>
            </w:r>
          </w:p>
        </w:tc>
        <w:tc>
          <w:tcPr>
            <w:tcW w:w="992" w:type="dxa"/>
            <w:shd w:val="clear" w:color="auto" w:fill="auto"/>
            <w:noWrap/>
            <w:vAlign w:val="bottom"/>
            <w:hideMark/>
          </w:tcPr>
          <w:p w14:paraId="18B970DC" w14:textId="77777777" w:rsidR="00D975CB" w:rsidRPr="00BC081A" w:rsidRDefault="00D975CB" w:rsidP="00D975CB">
            <w:pPr>
              <w:pStyle w:val="TableContext"/>
              <w:rPr>
                <w:lang w:val="en-CA"/>
              </w:rPr>
            </w:pPr>
          </w:p>
        </w:tc>
        <w:tc>
          <w:tcPr>
            <w:tcW w:w="877" w:type="dxa"/>
            <w:shd w:val="clear" w:color="auto" w:fill="auto"/>
            <w:noWrap/>
            <w:vAlign w:val="bottom"/>
            <w:hideMark/>
          </w:tcPr>
          <w:p w14:paraId="1D2B6417" w14:textId="77777777" w:rsidR="00D975CB" w:rsidRPr="00BC081A" w:rsidRDefault="00D975CB" w:rsidP="00D975CB">
            <w:pPr>
              <w:pStyle w:val="TableContext"/>
              <w:rPr>
                <w:lang w:val="en-CA"/>
              </w:rPr>
            </w:pPr>
            <w:r w:rsidRPr="00BC081A">
              <w:rPr>
                <w:lang w:val="en-CA"/>
              </w:rPr>
              <w:t>-0.211</w:t>
            </w:r>
          </w:p>
        </w:tc>
        <w:tc>
          <w:tcPr>
            <w:tcW w:w="850" w:type="dxa"/>
            <w:shd w:val="clear" w:color="auto" w:fill="auto"/>
            <w:noWrap/>
            <w:vAlign w:val="bottom"/>
            <w:hideMark/>
          </w:tcPr>
          <w:p w14:paraId="24AB9ABA" w14:textId="77777777" w:rsidR="00D975CB" w:rsidRPr="00BC081A" w:rsidRDefault="00D975CB" w:rsidP="00D975CB">
            <w:pPr>
              <w:pStyle w:val="TableContext"/>
              <w:rPr>
                <w:lang w:val="en-CA"/>
              </w:rPr>
            </w:pPr>
          </w:p>
        </w:tc>
        <w:tc>
          <w:tcPr>
            <w:tcW w:w="851" w:type="dxa"/>
            <w:shd w:val="clear" w:color="auto" w:fill="auto"/>
            <w:noWrap/>
            <w:vAlign w:val="bottom"/>
            <w:hideMark/>
          </w:tcPr>
          <w:p w14:paraId="665B9946" w14:textId="77777777" w:rsidR="00D975CB" w:rsidRPr="00BC081A" w:rsidRDefault="00D975CB" w:rsidP="00D975CB">
            <w:pPr>
              <w:pStyle w:val="TableContext"/>
              <w:rPr>
                <w:lang w:val="en-CA"/>
              </w:rPr>
            </w:pPr>
            <w:r w:rsidRPr="00BC081A">
              <w:rPr>
                <w:lang w:val="en-CA"/>
              </w:rPr>
              <w:t>-0.042</w:t>
            </w:r>
          </w:p>
        </w:tc>
        <w:tc>
          <w:tcPr>
            <w:tcW w:w="850" w:type="dxa"/>
            <w:shd w:val="clear" w:color="auto" w:fill="auto"/>
            <w:noWrap/>
            <w:vAlign w:val="bottom"/>
            <w:hideMark/>
          </w:tcPr>
          <w:p w14:paraId="63140C1D" w14:textId="77777777" w:rsidR="00D975CB" w:rsidRPr="00BC081A" w:rsidRDefault="00D975CB" w:rsidP="00D975CB">
            <w:pPr>
              <w:pStyle w:val="TableContext"/>
              <w:rPr>
                <w:lang w:val="en-CA"/>
              </w:rPr>
            </w:pPr>
          </w:p>
        </w:tc>
      </w:tr>
      <w:tr w:rsidR="00D975CB" w:rsidRPr="00BC081A" w14:paraId="6E196693" w14:textId="77777777" w:rsidTr="008C71FB">
        <w:trPr>
          <w:trHeight w:val="282"/>
          <w:jc w:val="center"/>
        </w:trPr>
        <w:tc>
          <w:tcPr>
            <w:tcW w:w="1367" w:type="dxa"/>
            <w:vMerge/>
            <w:shd w:val="clear" w:color="auto" w:fill="F2F2F2" w:themeFill="background1" w:themeFillShade="F2"/>
            <w:noWrap/>
            <w:vAlign w:val="center"/>
            <w:hideMark/>
          </w:tcPr>
          <w:p w14:paraId="0948CB96" w14:textId="77777777" w:rsidR="00D975CB" w:rsidRPr="00BC081A" w:rsidRDefault="00D975CB" w:rsidP="00D975CB">
            <w:pPr>
              <w:pStyle w:val="TableContext"/>
              <w:rPr>
                <w:lang w:val="en-CA"/>
              </w:rPr>
            </w:pPr>
          </w:p>
        </w:tc>
        <w:tc>
          <w:tcPr>
            <w:tcW w:w="448" w:type="dxa"/>
            <w:shd w:val="clear" w:color="auto" w:fill="F2F2F2" w:themeFill="background1" w:themeFillShade="F2"/>
            <w:noWrap/>
            <w:vAlign w:val="bottom"/>
            <w:hideMark/>
          </w:tcPr>
          <w:p w14:paraId="48B6E720" w14:textId="77777777" w:rsidR="00D975CB" w:rsidRPr="00BC081A" w:rsidRDefault="00D975CB" w:rsidP="00D975CB">
            <w:pPr>
              <w:pStyle w:val="TableContext"/>
              <w:rPr>
                <w:rFonts w:ascii="Times New Roman" w:hAnsi="Times New Roman"/>
                <w:sz w:val="18"/>
                <w:szCs w:val="18"/>
                <w:lang w:val="en-CA"/>
              </w:rPr>
            </w:pPr>
            <w:proofErr w:type="gramStart"/>
            <w:r w:rsidRPr="00BC081A">
              <w:rPr>
                <w:rFonts w:ascii="Times New Roman" w:hAnsi="Times New Roman"/>
                <w:sz w:val="18"/>
                <w:szCs w:val="18"/>
                <w:lang w:val="en-CA"/>
              </w:rPr>
              <w:t>p</w:t>
            </w:r>
            <w:proofErr w:type="gramEnd"/>
            <w:r w:rsidRPr="00BC081A">
              <w:rPr>
                <w:rFonts w:ascii="Times New Roman" w:hAnsi="Times New Roman"/>
                <w:sz w:val="18"/>
                <w:szCs w:val="18"/>
                <w:lang w:val="en-CA"/>
              </w:rPr>
              <w:t xml:space="preserve">&lt; </w:t>
            </w:r>
          </w:p>
        </w:tc>
        <w:tc>
          <w:tcPr>
            <w:tcW w:w="992" w:type="dxa"/>
            <w:shd w:val="clear" w:color="auto" w:fill="auto"/>
            <w:noWrap/>
            <w:vAlign w:val="bottom"/>
            <w:hideMark/>
          </w:tcPr>
          <w:p w14:paraId="05FB7020"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1A092CA1" w14:textId="77777777" w:rsidR="00D975CB" w:rsidRPr="00BC081A" w:rsidRDefault="00D975CB" w:rsidP="00D975CB">
            <w:pPr>
              <w:pStyle w:val="TableContext"/>
              <w:rPr>
                <w:lang w:val="en-CA"/>
              </w:rPr>
            </w:pPr>
            <w:r w:rsidRPr="00BC081A">
              <w:rPr>
                <w:lang w:val="en-CA"/>
              </w:rPr>
              <w:t>0.05</w:t>
            </w:r>
          </w:p>
        </w:tc>
        <w:tc>
          <w:tcPr>
            <w:tcW w:w="992" w:type="dxa"/>
            <w:shd w:val="clear" w:color="auto" w:fill="auto"/>
            <w:noWrap/>
            <w:vAlign w:val="bottom"/>
            <w:hideMark/>
          </w:tcPr>
          <w:p w14:paraId="6D01EE62"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77" w:type="dxa"/>
            <w:shd w:val="clear" w:color="auto" w:fill="auto"/>
            <w:noWrap/>
            <w:vAlign w:val="bottom"/>
            <w:hideMark/>
          </w:tcPr>
          <w:p w14:paraId="7E2313E4" w14:textId="77777777" w:rsidR="00D975CB" w:rsidRPr="00BC081A" w:rsidRDefault="00D975CB" w:rsidP="00D975CB">
            <w:pPr>
              <w:pStyle w:val="TableContext"/>
              <w:rPr>
                <w:lang w:val="en-CA"/>
              </w:rPr>
            </w:pPr>
            <w:r w:rsidRPr="00BC081A">
              <w:rPr>
                <w:lang w:val="en-CA"/>
              </w:rPr>
              <w:t>0.01</w:t>
            </w:r>
          </w:p>
        </w:tc>
        <w:tc>
          <w:tcPr>
            <w:tcW w:w="850" w:type="dxa"/>
            <w:shd w:val="clear" w:color="auto" w:fill="auto"/>
            <w:noWrap/>
            <w:vAlign w:val="bottom"/>
            <w:hideMark/>
          </w:tcPr>
          <w:p w14:paraId="22BF206B"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c>
          <w:tcPr>
            <w:tcW w:w="851" w:type="dxa"/>
            <w:shd w:val="clear" w:color="auto" w:fill="auto"/>
            <w:noWrap/>
            <w:vAlign w:val="bottom"/>
            <w:hideMark/>
          </w:tcPr>
          <w:p w14:paraId="194B75D3" w14:textId="77777777" w:rsidR="00D975CB" w:rsidRPr="00BC081A" w:rsidRDefault="00D975CB" w:rsidP="00D975CB">
            <w:pPr>
              <w:pStyle w:val="TableContext"/>
              <w:rPr>
                <w:lang w:val="en-CA"/>
              </w:rPr>
            </w:pPr>
            <w:r w:rsidRPr="00BC081A">
              <w:rPr>
                <w:lang w:val="en-CA"/>
              </w:rPr>
              <w:t>0.05</w:t>
            </w:r>
          </w:p>
        </w:tc>
        <w:tc>
          <w:tcPr>
            <w:tcW w:w="850" w:type="dxa"/>
            <w:shd w:val="clear" w:color="auto" w:fill="auto"/>
            <w:noWrap/>
            <w:vAlign w:val="bottom"/>
            <w:hideMark/>
          </w:tcPr>
          <w:p w14:paraId="7EF3E808" w14:textId="77777777" w:rsidR="00D975CB" w:rsidRPr="00BC081A" w:rsidRDefault="00D975CB" w:rsidP="00D975CB">
            <w:pPr>
              <w:pStyle w:val="TableContext"/>
              <w:rPr>
                <w:lang w:val="en-CA"/>
              </w:rPr>
            </w:pPr>
            <w:proofErr w:type="spellStart"/>
            <w:proofErr w:type="gramStart"/>
            <w:r w:rsidRPr="00BC081A">
              <w:rPr>
                <w:lang w:val="en-CA"/>
              </w:rPr>
              <w:t>n</w:t>
            </w:r>
            <w:proofErr w:type="gramEnd"/>
            <w:r w:rsidRPr="00BC081A">
              <w:rPr>
                <w:lang w:val="en-CA"/>
              </w:rPr>
              <w:t>.s</w:t>
            </w:r>
            <w:proofErr w:type="spellEnd"/>
            <w:r w:rsidRPr="00BC081A">
              <w:rPr>
                <w:lang w:val="en-CA"/>
              </w:rPr>
              <w:t>.</w:t>
            </w:r>
          </w:p>
        </w:tc>
      </w:tr>
    </w:tbl>
    <w:p w14:paraId="7FBEC7D7" w14:textId="77777777" w:rsidR="00423731" w:rsidRPr="00BC081A" w:rsidRDefault="00423731" w:rsidP="00AC5B27"/>
    <w:p w14:paraId="7D83B032" w14:textId="77777777" w:rsidR="008C71FB" w:rsidRPr="00BC081A" w:rsidRDefault="00BD572C" w:rsidP="00C92D78">
      <w:pPr>
        <w:pStyle w:val="Caption"/>
        <w:rPr>
          <w:bCs/>
          <w:sz w:val="24"/>
          <w:szCs w:val="24"/>
        </w:rPr>
      </w:pPr>
      <w:r w:rsidRPr="00C92D78">
        <w:t xml:space="preserve">As </w:t>
      </w:r>
      <w:r w:rsidRPr="00C92D78">
        <w:fldChar w:fldCharType="begin"/>
      </w:r>
      <w:r w:rsidRPr="00C92D78">
        <w:instrText xml:space="preserve"> REF _Ref268110159 \h </w:instrText>
      </w:r>
      <w:r w:rsidRPr="00C92D78">
        <w:fldChar w:fldCharType="separate"/>
      </w:r>
      <w:r w:rsidR="008C71FB" w:rsidRPr="00BC081A">
        <w:t xml:space="preserve">Table </w:t>
      </w:r>
      <w:r w:rsidR="008C71FB">
        <w:rPr>
          <w:noProof/>
        </w:rPr>
        <w:t>12</w:t>
      </w:r>
      <w:r w:rsidRPr="00C92D78">
        <w:fldChar w:fldCharType="end"/>
      </w:r>
      <w:r w:rsidRPr="00C92D78">
        <w:t xml:space="preserve"> shows, 12 out of the 42 relationships were significant. </w:t>
      </w:r>
      <w:r w:rsidR="00C82243" w:rsidRPr="00C92D78">
        <w:t>In order to test the effect of control variables on the model, one PLS model was developed for each variable, having relationship</w:t>
      </w:r>
      <w:r w:rsidR="00D43198" w:rsidRPr="00C92D78">
        <w:t>s</w:t>
      </w:r>
      <w:r w:rsidR="00C82243" w:rsidRPr="00C92D78">
        <w:t xml:space="preserve"> with all the latent constructs in the model. To test the variables’ effect, first the level of significance of each relationship of the control variable with other latent constructs was tested. </w:t>
      </w:r>
      <w:r w:rsidR="00A66CBC" w:rsidRPr="00C92D78">
        <w:t xml:space="preserve">In order to further test the predictive power of the control variables, statistical power of their relationships can be measured through their effect sizes </w:t>
      </w:r>
      <w:r w:rsidR="00A66CBC" w:rsidRPr="00C92D78">
        <w:fldChar w:fldCharType="begin" w:fldLock="1"/>
      </w:r>
      <w:r w:rsidR="00AC1F7D" w:rsidRPr="00C92D78">
        <w:instrText>ADDIN CSL_CITATION { "citationItems" : [ { "id" : "ITEM-1", "itemData" : { "author" : [ { "dropping-particle" : "", "family" : "Hair", "given" : "J. F.", "non-dropping-particle" : "", "parse-names" : false, "suffix" : "" }, { "dropping-particle" : "", "family" : "Black", "given" : "W. C.", "non-dropping-particle" : "", "parse-names" : false, "suffix" : "" }, { "dropping-particle" : "", "family" : "Babin", "given" : "B. J.", "non-dropping-particle" : "", "parse-names" : false, "suffix" : "" }, { "dropping-particle" : "", "family" : "Anderson", "given" : "R. E.", "non-dropping-particle" : "", "parse-names" : false, "suffix" : "" } ], "id" : "ITEM-1", "issued" : { "date-parts" : [ [ "2009" ] ] }, "title" : "Multivariate data analysis", "type" : "book" }, "uris" : [ "http://www.mendeley.com/documents/?uuid=bcf38d16-ab35-456d-8d9e-7066442daca2" ] } ], "mendeley" : { "previouslyFormattedCitation" : "(Hair et al., 2009)" }, "properties" : { "noteIndex" : 0 }, "schema" : "https://github.com/citation-style-language/schema/raw/master/csl-citation.json" }</w:instrText>
      </w:r>
      <w:r w:rsidR="00A66CBC" w:rsidRPr="00C92D78">
        <w:fldChar w:fldCharType="separate"/>
      </w:r>
      <w:r w:rsidR="00A66CBC" w:rsidRPr="00C92D78">
        <w:rPr>
          <w:noProof/>
        </w:rPr>
        <w:t>(Hair et al., 2009)</w:t>
      </w:r>
      <w:r w:rsidR="00A66CBC" w:rsidRPr="00C92D78">
        <w:fldChar w:fldCharType="end"/>
      </w:r>
      <w:r w:rsidR="00A66CBC" w:rsidRPr="00C92D78">
        <w:t>. To calculate effect sizes of the significant relationships (with endogenous constructs),</w:t>
      </w:r>
      <w:r w:rsidR="004E740F" w:rsidRPr="00BC081A">
        <w:rPr>
          <w:rFonts w:ascii="Times New Roman" w:eastAsia="Times New Roman" w:hAnsi="Times New Roman" w:cs="Times New Roman"/>
          <w:sz w:val="18"/>
          <w:szCs w:val="20"/>
        </w:rPr>
        <w:fldChar w:fldCharType="begin"/>
      </w:r>
      <w:r w:rsidR="004E740F" w:rsidRPr="00C92D78">
        <w:instrText xml:space="preserve"> REF _Ref267919745 \h </w:instrText>
      </w:r>
      <w:r w:rsidR="004E740F" w:rsidRPr="00BC081A">
        <w:rPr>
          <w:rFonts w:ascii="Times New Roman" w:eastAsia="Times New Roman" w:hAnsi="Times New Roman" w:cs="Times New Roman"/>
          <w:sz w:val="18"/>
          <w:szCs w:val="20"/>
        </w:rPr>
      </w:r>
      <w:r w:rsidR="004E740F" w:rsidRPr="00BC081A">
        <w:rPr>
          <w:rFonts w:ascii="Times New Roman" w:eastAsia="Times New Roman" w:hAnsi="Times New Roman" w:cs="Times New Roman"/>
          <w:sz w:val="18"/>
          <w:szCs w:val="20"/>
        </w:rPr>
        <w:fldChar w:fldCharType="separate"/>
      </w:r>
    </w:p>
    <w:p w14:paraId="75993AD5" w14:textId="729D944F" w:rsidR="000670AD" w:rsidRPr="00C92D78" w:rsidRDefault="008C71FB" w:rsidP="00C92D78">
      <w:pPr>
        <w:rPr>
          <w:bCs/>
        </w:rPr>
      </w:pPr>
      <w:r w:rsidRPr="00BC081A">
        <w:t xml:space="preserve">Equation </w:t>
      </w:r>
      <w:r>
        <w:rPr>
          <w:noProof/>
        </w:rPr>
        <w:t>2</w:t>
      </w:r>
      <w:r w:rsidR="004E740F" w:rsidRPr="00BC081A">
        <w:fldChar w:fldCharType="end"/>
      </w:r>
      <w:r w:rsidR="00DC3C7F" w:rsidRPr="00BC081A">
        <w:t xml:space="preserve"> was used.</w:t>
      </w:r>
      <w:r w:rsidR="00C94A15" w:rsidRPr="00BC081A">
        <w:rPr>
          <w:b/>
          <w:bCs/>
        </w:rPr>
        <w:t xml:space="preserve"> </w:t>
      </w:r>
      <w:proofErr w:type="gramStart"/>
      <w:r w:rsidR="00997023" w:rsidRPr="00BC081A">
        <w:t>The effect size (</w:t>
      </w:r>
      <m:oMath>
        <m:sSup>
          <m:sSupPr>
            <m:ctrlPr>
              <w:rPr>
                <w:rFonts w:ascii="Cambria Math" w:hAnsi="Cambria Math"/>
                <w:b/>
                <w:i/>
              </w:rPr>
            </m:ctrlPr>
          </m:sSupPr>
          <m:e>
            <m:r>
              <w:rPr>
                <w:rFonts w:ascii="Cambria Math" w:hAnsi="Cambria Math"/>
              </w:rPr>
              <m:t>f</m:t>
            </m:r>
          </m:e>
          <m:sup>
            <m:r>
              <w:rPr>
                <w:rFonts w:ascii="Cambria Math" w:hAnsi="Cambria Math"/>
              </w:rPr>
              <m:t>2</m:t>
            </m:r>
          </m:sup>
        </m:sSup>
      </m:oMath>
      <w:r w:rsidR="00997023" w:rsidRPr="00BC081A">
        <w:rPr>
          <w:b/>
        </w:rPr>
        <w:t xml:space="preserve">) </w:t>
      </w:r>
      <w:r w:rsidR="00997023" w:rsidRPr="00BC081A">
        <w:t xml:space="preserve">of </w:t>
      </w:r>
      <w:r w:rsidR="0094709D" w:rsidRPr="00BC081A">
        <w:t>control variables on endogenous constructs that they have significant relationship</w:t>
      </w:r>
      <w:r w:rsidR="00C92D78">
        <w:t>,</w:t>
      </w:r>
      <w:r w:rsidR="0094709D" w:rsidRPr="00BC081A">
        <w:t xml:space="preserve"> </w:t>
      </w:r>
      <w:r w:rsidR="00F81300">
        <w:t>which</w:t>
      </w:r>
      <w:r w:rsidR="00F81300" w:rsidRPr="00BC081A">
        <w:t xml:space="preserve"> </w:t>
      </w:r>
      <w:r w:rsidR="0094709D" w:rsidRPr="00BC081A">
        <w:t xml:space="preserve">can be seen in </w:t>
      </w:r>
      <w:r w:rsidR="0094709D" w:rsidRPr="00BC081A">
        <w:fldChar w:fldCharType="begin"/>
      </w:r>
      <w:r w:rsidR="0094709D" w:rsidRPr="00BC081A">
        <w:instrText xml:space="preserve"> REF _Ref268108466 \h </w:instrText>
      </w:r>
      <w:r w:rsidR="0094709D" w:rsidRPr="00BC081A">
        <w:fldChar w:fldCharType="separate"/>
      </w:r>
      <w:r w:rsidRPr="0060329A">
        <w:t xml:space="preserve">Table </w:t>
      </w:r>
      <w:r>
        <w:rPr>
          <w:noProof/>
        </w:rPr>
        <w:t>13</w:t>
      </w:r>
      <w:r w:rsidR="0094709D" w:rsidRPr="00BC081A">
        <w:fldChar w:fldCharType="end"/>
      </w:r>
      <w:r w:rsidR="0094709D" w:rsidRPr="00BC081A">
        <w:t>.</w:t>
      </w:r>
      <w:proofErr w:type="gramEnd"/>
    </w:p>
    <w:p w14:paraId="540B79DC" w14:textId="0DFF1D17" w:rsidR="0094709D" w:rsidRPr="0060329A" w:rsidRDefault="0094709D" w:rsidP="00C92D78">
      <w:pPr>
        <w:pStyle w:val="Caption"/>
        <w:rPr>
          <w:i/>
        </w:rPr>
      </w:pPr>
      <w:bookmarkStart w:id="104" w:name="_Ref268108466"/>
      <w:bookmarkStart w:id="105" w:name="_Toc275209771"/>
      <w:r w:rsidRPr="0060329A">
        <w:t xml:space="preserve">Table </w:t>
      </w:r>
      <w:r w:rsidR="007804FF">
        <w:fldChar w:fldCharType="begin"/>
      </w:r>
      <w:r w:rsidR="007804FF">
        <w:instrText xml:space="preserve"> SEQ Table \* ARABIC </w:instrText>
      </w:r>
      <w:r w:rsidR="007804FF">
        <w:fldChar w:fldCharType="separate"/>
      </w:r>
      <w:r w:rsidR="008C71FB">
        <w:rPr>
          <w:noProof/>
        </w:rPr>
        <w:t>13</w:t>
      </w:r>
      <w:r w:rsidR="007804FF">
        <w:rPr>
          <w:noProof/>
        </w:rPr>
        <w:fldChar w:fldCharType="end"/>
      </w:r>
      <w:bookmarkEnd w:id="104"/>
      <w:r w:rsidRPr="0060329A">
        <w:t xml:space="preserve"> – Effect Sizes of Control Variables on Endogenous Constructs</w:t>
      </w:r>
      <w:bookmarkEnd w:id="105"/>
      <w:r w:rsidR="0019430F" w:rsidRPr="00C92D78">
        <w:rPr>
          <w:b/>
        </w:rPr>
        <w:t xml:space="preserve"> </w:t>
      </w:r>
      <w:r w:rsidR="0019430F" w:rsidRPr="0060329A">
        <w:rPr>
          <w:i/>
        </w:rPr>
        <w:t xml:space="preserve">(Bold: Small Effect; </w:t>
      </w:r>
      <w:r w:rsidR="0019430F" w:rsidRPr="0060329A">
        <w:rPr>
          <w:i/>
          <w:vertAlign w:val="superscript"/>
        </w:rPr>
        <w:t>*</w:t>
      </w:r>
      <w:r w:rsidR="0019430F" w:rsidRPr="0060329A">
        <w:rPr>
          <w:i/>
        </w:rPr>
        <w:t>: Medium Effect)</w:t>
      </w:r>
    </w:p>
    <w:tbl>
      <w:tblPr>
        <w:tblW w:w="614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919"/>
        <w:gridCol w:w="948"/>
        <w:gridCol w:w="919"/>
        <w:gridCol w:w="919"/>
        <w:gridCol w:w="932"/>
      </w:tblGrid>
      <w:tr w:rsidR="00776F7E" w:rsidRPr="00BC081A" w14:paraId="5B5410C2" w14:textId="77777777" w:rsidTr="008C71FB">
        <w:trPr>
          <w:trHeight w:val="297"/>
          <w:jc w:val="center"/>
        </w:trPr>
        <w:tc>
          <w:tcPr>
            <w:tcW w:w="1504" w:type="dxa"/>
            <w:shd w:val="clear" w:color="auto" w:fill="F2F2F2" w:themeFill="background1" w:themeFillShade="F2"/>
          </w:tcPr>
          <w:p w14:paraId="51904CD7" w14:textId="77777777" w:rsidR="00776F7E" w:rsidRPr="00BC081A" w:rsidRDefault="00776F7E" w:rsidP="00776F7E">
            <w:pPr>
              <w:pStyle w:val="TableContext"/>
              <w:rPr>
                <w:lang w:val="en-CA"/>
              </w:rPr>
            </w:pPr>
          </w:p>
        </w:tc>
        <w:tc>
          <w:tcPr>
            <w:tcW w:w="919" w:type="dxa"/>
            <w:shd w:val="clear" w:color="auto" w:fill="F2F2F2" w:themeFill="background1" w:themeFillShade="F2"/>
            <w:vAlign w:val="center"/>
            <w:hideMark/>
          </w:tcPr>
          <w:p w14:paraId="32DA69BC" w14:textId="77777777" w:rsidR="00776F7E" w:rsidRPr="00BC081A" w:rsidRDefault="00776F7E" w:rsidP="00776F7E">
            <w:pPr>
              <w:pStyle w:val="TableContext"/>
              <w:rPr>
                <w:lang w:val="en-CA"/>
              </w:rPr>
            </w:pPr>
            <w:r w:rsidRPr="00BC081A">
              <w:rPr>
                <w:lang w:val="en-CA"/>
              </w:rPr>
              <w:t>SP</w:t>
            </w:r>
          </w:p>
        </w:tc>
        <w:tc>
          <w:tcPr>
            <w:tcW w:w="948" w:type="dxa"/>
            <w:shd w:val="clear" w:color="auto" w:fill="F2F2F2" w:themeFill="background1" w:themeFillShade="F2"/>
            <w:vAlign w:val="center"/>
            <w:hideMark/>
          </w:tcPr>
          <w:p w14:paraId="001712CA" w14:textId="76801811" w:rsidR="00776F7E" w:rsidRPr="00BC081A" w:rsidRDefault="005624B9" w:rsidP="00776F7E">
            <w:pPr>
              <w:pStyle w:val="TableContext"/>
              <w:rPr>
                <w:lang w:val="en-CA"/>
              </w:rPr>
            </w:pPr>
            <w:proofErr w:type="spellStart"/>
            <w:r w:rsidRPr="00BC081A">
              <w:rPr>
                <w:lang w:val="en-CA"/>
              </w:rPr>
              <w:t>SCompt</w:t>
            </w:r>
            <w:proofErr w:type="spellEnd"/>
          </w:p>
        </w:tc>
        <w:tc>
          <w:tcPr>
            <w:tcW w:w="919" w:type="dxa"/>
            <w:shd w:val="clear" w:color="auto" w:fill="F2F2F2" w:themeFill="background1" w:themeFillShade="F2"/>
            <w:vAlign w:val="center"/>
            <w:hideMark/>
          </w:tcPr>
          <w:p w14:paraId="1038796C" w14:textId="77777777" w:rsidR="00776F7E" w:rsidRPr="00BC081A" w:rsidRDefault="00776F7E" w:rsidP="00776F7E">
            <w:pPr>
              <w:pStyle w:val="TableContext"/>
              <w:rPr>
                <w:lang w:val="en-CA"/>
              </w:rPr>
            </w:pPr>
            <w:r w:rsidRPr="00BC081A">
              <w:rPr>
                <w:lang w:val="en-CA"/>
              </w:rPr>
              <w:t>CH</w:t>
            </w:r>
          </w:p>
        </w:tc>
        <w:tc>
          <w:tcPr>
            <w:tcW w:w="919" w:type="dxa"/>
            <w:shd w:val="clear" w:color="auto" w:fill="F2F2F2" w:themeFill="background1" w:themeFillShade="F2"/>
            <w:vAlign w:val="center"/>
            <w:hideMark/>
          </w:tcPr>
          <w:p w14:paraId="6196D3E3" w14:textId="77777777" w:rsidR="00776F7E" w:rsidRPr="00BC081A" w:rsidRDefault="00776F7E" w:rsidP="00776F7E">
            <w:pPr>
              <w:pStyle w:val="TableContext"/>
              <w:rPr>
                <w:lang w:val="en-CA"/>
              </w:rPr>
            </w:pPr>
            <w:r w:rsidRPr="00BC081A">
              <w:rPr>
                <w:lang w:val="en-CA"/>
              </w:rPr>
              <w:t>AR</w:t>
            </w:r>
          </w:p>
        </w:tc>
        <w:tc>
          <w:tcPr>
            <w:tcW w:w="932" w:type="dxa"/>
            <w:shd w:val="clear" w:color="auto" w:fill="F2F2F2" w:themeFill="background1" w:themeFillShade="F2"/>
            <w:vAlign w:val="center"/>
            <w:hideMark/>
          </w:tcPr>
          <w:p w14:paraId="724BA70A" w14:textId="77777777" w:rsidR="00776F7E" w:rsidRPr="00BC081A" w:rsidRDefault="00776F7E" w:rsidP="00776F7E">
            <w:pPr>
              <w:pStyle w:val="TableContext"/>
              <w:rPr>
                <w:lang w:val="en-CA"/>
              </w:rPr>
            </w:pPr>
            <w:r w:rsidRPr="00BC081A">
              <w:rPr>
                <w:lang w:val="en-CA"/>
              </w:rPr>
              <w:t>Flow</w:t>
            </w:r>
          </w:p>
        </w:tc>
      </w:tr>
      <w:tr w:rsidR="00776F7E" w:rsidRPr="00BC081A" w14:paraId="73D569DF" w14:textId="77777777" w:rsidTr="008C71FB">
        <w:trPr>
          <w:trHeight w:val="297"/>
          <w:jc w:val="center"/>
        </w:trPr>
        <w:tc>
          <w:tcPr>
            <w:tcW w:w="1504" w:type="dxa"/>
            <w:shd w:val="clear" w:color="auto" w:fill="F2F2F2" w:themeFill="background1" w:themeFillShade="F2"/>
          </w:tcPr>
          <w:p w14:paraId="74B6E977" w14:textId="76479BDC" w:rsidR="003D2684" w:rsidRPr="00BC081A" w:rsidRDefault="003D2684" w:rsidP="003D2684">
            <w:pPr>
              <w:pStyle w:val="TableContext"/>
              <w:rPr>
                <w:lang w:val="en-CA"/>
              </w:rPr>
            </w:pPr>
            <w:r w:rsidRPr="00BC081A">
              <w:rPr>
                <w:lang w:val="en-CA"/>
              </w:rPr>
              <w:t>No Control</w:t>
            </w:r>
          </w:p>
        </w:tc>
        <w:tc>
          <w:tcPr>
            <w:tcW w:w="919" w:type="dxa"/>
            <w:shd w:val="clear" w:color="auto" w:fill="F2F2F2" w:themeFill="background1" w:themeFillShade="F2"/>
            <w:vAlign w:val="center"/>
            <w:hideMark/>
          </w:tcPr>
          <w:p w14:paraId="6A7F1AD1" w14:textId="77777777" w:rsidR="00776F7E" w:rsidRPr="00BC081A" w:rsidRDefault="00776F7E" w:rsidP="00776F7E">
            <w:pPr>
              <w:pStyle w:val="TableContext"/>
              <w:rPr>
                <w:lang w:val="en-CA"/>
              </w:rPr>
            </w:pPr>
            <w:r w:rsidRPr="00BC081A">
              <w:rPr>
                <w:lang w:val="en-CA"/>
              </w:rPr>
              <w:t>0.13</w:t>
            </w:r>
          </w:p>
        </w:tc>
        <w:tc>
          <w:tcPr>
            <w:tcW w:w="948" w:type="dxa"/>
            <w:shd w:val="clear" w:color="auto" w:fill="F2F2F2" w:themeFill="background1" w:themeFillShade="F2"/>
            <w:vAlign w:val="center"/>
            <w:hideMark/>
          </w:tcPr>
          <w:p w14:paraId="2934A51C" w14:textId="77777777" w:rsidR="00776F7E" w:rsidRPr="00BC081A" w:rsidRDefault="00776F7E" w:rsidP="00776F7E">
            <w:pPr>
              <w:pStyle w:val="TableContext"/>
              <w:rPr>
                <w:lang w:val="en-CA"/>
              </w:rPr>
            </w:pPr>
            <w:r w:rsidRPr="00BC081A">
              <w:rPr>
                <w:lang w:val="en-CA"/>
              </w:rPr>
              <w:t>0.43</w:t>
            </w:r>
          </w:p>
        </w:tc>
        <w:tc>
          <w:tcPr>
            <w:tcW w:w="919" w:type="dxa"/>
            <w:shd w:val="clear" w:color="auto" w:fill="F2F2F2" w:themeFill="background1" w:themeFillShade="F2"/>
            <w:vAlign w:val="center"/>
            <w:hideMark/>
          </w:tcPr>
          <w:p w14:paraId="63AEED33" w14:textId="77777777" w:rsidR="00776F7E" w:rsidRPr="00BC081A" w:rsidRDefault="00776F7E" w:rsidP="00776F7E">
            <w:pPr>
              <w:pStyle w:val="TableContext"/>
              <w:rPr>
                <w:lang w:val="en-CA"/>
              </w:rPr>
            </w:pPr>
            <w:r w:rsidRPr="00BC081A">
              <w:rPr>
                <w:lang w:val="en-CA"/>
              </w:rPr>
              <w:t>0.21</w:t>
            </w:r>
          </w:p>
        </w:tc>
        <w:tc>
          <w:tcPr>
            <w:tcW w:w="919" w:type="dxa"/>
            <w:shd w:val="clear" w:color="auto" w:fill="F2F2F2" w:themeFill="background1" w:themeFillShade="F2"/>
            <w:vAlign w:val="center"/>
            <w:hideMark/>
          </w:tcPr>
          <w:p w14:paraId="48CEA90D" w14:textId="77777777" w:rsidR="00776F7E" w:rsidRPr="00BC081A" w:rsidRDefault="00776F7E" w:rsidP="00776F7E">
            <w:pPr>
              <w:pStyle w:val="TableContext"/>
              <w:rPr>
                <w:lang w:val="en-CA"/>
              </w:rPr>
            </w:pPr>
            <w:r w:rsidRPr="00BC081A">
              <w:rPr>
                <w:lang w:val="en-CA"/>
              </w:rPr>
              <w:t>0.21</w:t>
            </w:r>
          </w:p>
        </w:tc>
        <w:tc>
          <w:tcPr>
            <w:tcW w:w="932" w:type="dxa"/>
            <w:shd w:val="clear" w:color="auto" w:fill="F2F2F2" w:themeFill="background1" w:themeFillShade="F2"/>
            <w:vAlign w:val="center"/>
            <w:hideMark/>
          </w:tcPr>
          <w:p w14:paraId="3B38244D" w14:textId="77777777" w:rsidR="00776F7E" w:rsidRPr="00BC081A" w:rsidRDefault="00776F7E" w:rsidP="00776F7E">
            <w:pPr>
              <w:pStyle w:val="TableContext"/>
              <w:rPr>
                <w:lang w:val="en-CA"/>
              </w:rPr>
            </w:pPr>
            <w:r w:rsidRPr="00BC081A">
              <w:rPr>
                <w:lang w:val="en-CA"/>
              </w:rPr>
              <w:t>0.47</w:t>
            </w:r>
          </w:p>
        </w:tc>
      </w:tr>
      <w:tr w:rsidR="00776F7E" w:rsidRPr="00BC081A" w14:paraId="574EF7AA" w14:textId="77777777" w:rsidTr="008C71FB">
        <w:trPr>
          <w:trHeight w:val="297"/>
          <w:jc w:val="center"/>
        </w:trPr>
        <w:tc>
          <w:tcPr>
            <w:tcW w:w="1504" w:type="dxa"/>
            <w:shd w:val="clear" w:color="auto" w:fill="F2F2F2" w:themeFill="background1" w:themeFillShade="F2"/>
            <w:vAlign w:val="bottom"/>
          </w:tcPr>
          <w:p w14:paraId="0E799B86" w14:textId="04FCD9D2" w:rsidR="00776F7E" w:rsidRPr="00BC081A" w:rsidRDefault="00776F7E" w:rsidP="00776F7E">
            <w:pPr>
              <w:pStyle w:val="TableContext"/>
              <w:rPr>
                <w:lang w:val="en-CA"/>
              </w:rPr>
            </w:pPr>
            <w:r w:rsidRPr="00BC081A">
              <w:rPr>
                <w:lang w:val="en-CA"/>
              </w:rPr>
              <w:t>Age</w:t>
            </w:r>
          </w:p>
        </w:tc>
        <w:tc>
          <w:tcPr>
            <w:tcW w:w="919" w:type="dxa"/>
            <w:shd w:val="clear" w:color="auto" w:fill="auto"/>
            <w:noWrap/>
            <w:vAlign w:val="bottom"/>
            <w:hideMark/>
          </w:tcPr>
          <w:p w14:paraId="36EB3F86" w14:textId="77777777" w:rsidR="00776F7E" w:rsidRPr="00BC081A" w:rsidRDefault="00776F7E" w:rsidP="00776F7E">
            <w:pPr>
              <w:pStyle w:val="TableContext"/>
              <w:rPr>
                <w:lang w:val="en-CA"/>
              </w:rPr>
            </w:pPr>
          </w:p>
        </w:tc>
        <w:tc>
          <w:tcPr>
            <w:tcW w:w="948" w:type="dxa"/>
            <w:shd w:val="clear" w:color="auto" w:fill="auto"/>
            <w:noWrap/>
            <w:vAlign w:val="bottom"/>
            <w:hideMark/>
          </w:tcPr>
          <w:p w14:paraId="79F0CCF2" w14:textId="77777777" w:rsidR="00776F7E" w:rsidRPr="00BC081A" w:rsidRDefault="00776F7E" w:rsidP="00776F7E">
            <w:pPr>
              <w:pStyle w:val="TableContext"/>
              <w:rPr>
                <w:lang w:val="en-CA"/>
              </w:rPr>
            </w:pPr>
          </w:p>
        </w:tc>
        <w:tc>
          <w:tcPr>
            <w:tcW w:w="919" w:type="dxa"/>
            <w:shd w:val="clear" w:color="auto" w:fill="auto"/>
            <w:noWrap/>
            <w:vAlign w:val="bottom"/>
            <w:hideMark/>
          </w:tcPr>
          <w:p w14:paraId="25F354E1" w14:textId="77777777" w:rsidR="00776F7E" w:rsidRPr="00BC081A" w:rsidRDefault="00776F7E" w:rsidP="00776F7E">
            <w:pPr>
              <w:pStyle w:val="TableContext"/>
              <w:rPr>
                <w:b/>
                <w:lang w:val="en-CA"/>
              </w:rPr>
            </w:pPr>
            <w:r w:rsidRPr="00BC081A">
              <w:rPr>
                <w:b/>
                <w:lang w:val="en-CA"/>
              </w:rPr>
              <w:t>0.021</w:t>
            </w:r>
          </w:p>
        </w:tc>
        <w:tc>
          <w:tcPr>
            <w:tcW w:w="919" w:type="dxa"/>
            <w:shd w:val="clear" w:color="auto" w:fill="auto"/>
            <w:noWrap/>
            <w:vAlign w:val="bottom"/>
            <w:hideMark/>
          </w:tcPr>
          <w:p w14:paraId="030C040C" w14:textId="021EF1D6" w:rsidR="00776F7E" w:rsidRPr="00BC081A" w:rsidRDefault="00776F7E" w:rsidP="00776F7E">
            <w:pPr>
              <w:pStyle w:val="TableContext"/>
              <w:rPr>
                <w:b/>
                <w:lang w:val="en-CA"/>
              </w:rPr>
            </w:pPr>
            <w:r w:rsidRPr="00BC081A">
              <w:rPr>
                <w:b/>
                <w:lang w:val="en-CA"/>
              </w:rPr>
              <w:t>0.213</w:t>
            </w:r>
            <w:r w:rsidR="003D6A8C" w:rsidRPr="00BC081A">
              <w:rPr>
                <w:b/>
                <w:vertAlign w:val="superscript"/>
                <w:lang w:val="en-CA"/>
              </w:rPr>
              <w:t>*</w:t>
            </w:r>
          </w:p>
        </w:tc>
        <w:tc>
          <w:tcPr>
            <w:tcW w:w="932" w:type="dxa"/>
            <w:shd w:val="clear" w:color="auto" w:fill="auto"/>
            <w:noWrap/>
            <w:vAlign w:val="bottom"/>
            <w:hideMark/>
          </w:tcPr>
          <w:p w14:paraId="7F03FEB2" w14:textId="77777777" w:rsidR="00776F7E" w:rsidRPr="00BC081A" w:rsidRDefault="00776F7E" w:rsidP="00776F7E">
            <w:pPr>
              <w:pStyle w:val="TableContext"/>
              <w:rPr>
                <w:lang w:val="en-CA"/>
              </w:rPr>
            </w:pPr>
          </w:p>
        </w:tc>
      </w:tr>
      <w:tr w:rsidR="00776F7E" w:rsidRPr="00BC081A" w14:paraId="3B2A461D" w14:textId="77777777" w:rsidTr="008C71FB">
        <w:trPr>
          <w:trHeight w:val="297"/>
          <w:jc w:val="center"/>
        </w:trPr>
        <w:tc>
          <w:tcPr>
            <w:tcW w:w="1504" w:type="dxa"/>
            <w:shd w:val="clear" w:color="auto" w:fill="F2F2F2" w:themeFill="background1" w:themeFillShade="F2"/>
            <w:vAlign w:val="bottom"/>
          </w:tcPr>
          <w:p w14:paraId="1F3BB832" w14:textId="733CF2E6" w:rsidR="00776F7E" w:rsidRPr="00BC081A" w:rsidRDefault="00776F7E" w:rsidP="00776F7E">
            <w:pPr>
              <w:pStyle w:val="TableContext"/>
              <w:rPr>
                <w:lang w:val="en-CA"/>
              </w:rPr>
            </w:pPr>
            <w:r w:rsidRPr="00BC081A">
              <w:rPr>
                <w:lang w:val="en-CA"/>
              </w:rPr>
              <w:t>Education</w:t>
            </w:r>
          </w:p>
        </w:tc>
        <w:tc>
          <w:tcPr>
            <w:tcW w:w="919" w:type="dxa"/>
            <w:shd w:val="clear" w:color="auto" w:fill="auto"/>
            <w:noWrap/>
            <w:vAlign w:val="bottom"/>
            <w:hideMark/>
          </w:tcPr>
          <w:p w14:paraId="4ACE147A" w14:textId="77777777" w:rsidR="00776F7E" w:rsidRPr="00BC081A" w:rsidRDefault="00776F7E" w:rsidP="00776F7E">
            <w:pPr>
              <w:pStyle w:val="TableContext"/>
              <w:rPr>
                <w:lang w:val="en-CA"/>
              </w:rPr>
            </w:pPr>
          </w:p>
        </w:tc>
        <w:tc>
          <w:tcPr>
            <w:tcW w:w="948" w:type="dxa"/>
            <w:shd w:val="clear" w:color="auto" w:fill="auto"/>
            <w:noWrap/>
            <w:vAlign w:val="bottom"/>
            <w:hideMark/>
          </w:tcPr>
          <w:p w14:paraId="5EF47358" w14:textId="77777777" w:rsidR="00776F7E" w:rsidRPr="00BC081A" w:rsidRDefault="00776F7E" w:rsidP="00776F7E">
            <w:pPr>
              <w:pStyle w:val="TableContext"/>
              <w:rPr>
                <w:lang w:val="en-CA"/>
              </w:rPr>
            </w:pPr>
          </w:p>
        </w:tc>
        <w:tc>
          <w:tcPr>
            <w:tcW w:w="919" w:type="dxa"/>
            <w:shd w:val="clear" w:color="auto" w:fill="auto"/>
            <w:noWrap/>
            <w:vAlign w:val="bottom"/>
            <w:hideMark/>
          </w:tcPr>
          <w:p w14:paraId="62F9EDCE" w14:textId="77777777" w:rsidR="00776F7E" w:rsidRPr="00BC081A" w:rsidRDefault="00776F7E" w:rsidP="00776F7E">
            <w:pPr>
              <w:pStyle w:val="TableContext"/>
              <w:rPr>
                <w:lang w:val="en-CA"/>
              </w:rPr>
            </w:pPr>
            <w:r w:rsidRPr="00BC081A">
              <w:rPr>
                <w:lang w:val="en-CA"/>
              </w:rPr>
              <w:t>0.018</w:t>
            </w:r>
          </w:p>
        </w:tc>
        <w:tc>
          <w:tcPr>
            <w:tcW w:w="919" w:type="dxa"/>
            <w:shd w:val="clear" w:color="auto" w:fill="auto"/>
            <w:noWrap/>
            <w:vAlign w:val="bottom"/>
            <w:hideMark/>
          </w:tcPr>
          <w:p w14:paraId="2924D4D3" w14:textId="783044F4" w:rsidR="00776F7E" w:rsidRPr="00BC081A" w:rsidRDefault="00776F7E" w:rsidP="00776F7E">
            <w:pPr>
              <w:pStyle w:val="TableContext"/>
              <w:rPr>
                <w:b/>
                <w:lang w:val="en-CA"/>
              </w:rPr>
            </w:pPr>
            <w:r w:rsidRPr="00BC081A">
              <w:rPr>
                <w:b/>
                <w:lang w:val="en-CA"/>
              </w:rPr>
              <w:t>0.211</w:t>
            </w:r>
            <w:r w:rsidR="003D6A8C" w:rsidRPr="00BC081A">
              <w:rPr>
                <w:b/>
                <w:vertAlign w:val="superscript"/>
                <w:lang w:val="en-CA"/>
              </w:rPr>
              <w:t>*</w:t>
            </w:r>
          </w:p>
        </w:tc>
        <w:tc>
          <w:tcPr>
            <w:tcW w:w="932" w:type="dxa"/>
            <w:shd w:val="clear" w:color="auto" w:fill="auto"/>
            <w:noWrap/>
            <w:vAlign w:val="bottom"/>
            <w:hideMark/>
          </w:tcPr>
          <w:p w14:paraId="05056617" w14:textId="77777777" w:rsidR="00776F7E" w:rsidRPr="00BC081A" w:rsidRDefault="00776F7E" w:rsidP="00776F7E">
            <w:pPr>
              <w:pStyle w:val="TableContext"/>
              <w:rPr>
                <w:lang w:val="en-CA"/>
              </w:rPr>
            </w:pPr>
            <w:r w:rsidRPr="00BC081A">
              <w:rPr>
                <w:lang w:val="en-CA"/>
              </w:rPr>
              <w:t>0.015</w:t>
            </w:r>
          </w:p>
        </w:tc>
      </w:tr>
      <w:tr w:rsidR="00776F7E" w:rsidRPr="00BC081A" w14:paraId="4CD5FA31" w14:textId="77777777" w:rsidTr="008C71FB">
        <w:trPr>
          <w:trHeight w:val="297"/>
          <w:jc w:val="center"/>
        </w:trPr>
        <w:tc>
          <w:tcPr>
            <w:tcW w:w="1504" w:type="dxa"/>
            <w:shd w:val="clear" w:color="auto" w:fill="F2F2F2" w:themeFill="background1" w:themeFillShade="F2"/>
            <w:vAlign w:val="bottom"/>
          </w:tcPr>
          <w:p w14:paraId="569EFD30" w14:textId="043F68CE" w:rsidR="00776F7E" w:rsidRPr="00BC081A" w:rsidRDefault="00776F7E" w:rsidP="00776F7E">
            <w:pPr>
              <w:pStyle w:val="TableContext"/>
              <w:rPr>
                <w:lang w:val="en-CA"/>
              </w:rPr>
            </w:pPr>
            <w:r w:rsidRPr="00BC081A">
              <w:rPr>
                <w:lang w:val="en-CA"/>
              </w:rPr>
              <w:t>Language</w:t>
            </w:r>
          </w:p>
        </w:tc>
        <w:tc>
          <w:tcPr>
            <w:tcW w:w="919" w:type="dxa"/>
            <w:shd w:val="clear" w:color="auto" w:fill="auto"/>
            <w:noWrap/>
            <w:vAlign w:val="bottom"/>
            <w:hideMark/>
          </w:tcPr>
          <w:p w14:paraId="62436D6F" w14:textId="77777777" w:rsidR="00776F7E" w:rsidRPr="00BC081A" w:rsidRDefault="00776F7E" w:rsidP="00776F7E">
            <w:pPr>
              <w:pStyle w:val="TableContext"/>
              <w:rPr>
                <w:lang w:val="en-CA"/>
              </w:rPr>
            </w:pPr>
          </w:p>
        </w:tc>
        <w:tc>
          <w:tcPr>
            <w:tcW w:w="948" w:type="dxa"/>
            <w:shd w:val="clear" w:color="auto" w:fill="auto"/>
            <w:noWrap/>
            <w:vAlign w:val="bottom"/>
            <w:hideMark/>
          </w:tcPr>
          <w:p w14:paraId="4FCA183C" w14:textId="77777777" w:rsidR="00776F7E" w:rsidRPr="00BC081A" w:rsidRDefault="00776F7E" w:rsidP="00776F7E">
            <w:pPr>
              <w:pStyle w:val="TableContext"/>
              <w:rPr>
                <w:b/>
                <w:lang w:val="en-CA"/>
              </w:rPr>
            </w:pPr>
            <w:r w:rsidRPr="00BC081A">
              <w:rPr>
                <w:b/>
                <w:lang w:val="en-CA"/>
              </w:rPr>
              <w:t>0.023</w:t>
            </w:r>
          </w:p>
        </w:tc>
        <w:tc>
          <w:tcPr>
            <w:tcW w:w="919" w:type="dxa"/>
            <w:shd w:val="clear" w:color="auto" w:fill="auto"/>
            <w:noWrap/>
            <w:vAlign w:val="bottom"/>
            <w:hideMark/>
          </w:tcPr>
          <w:p w14:paraId="171098A1" w14:textId="77777777" w:rsidR="00776F7E" w:rsidRPr="00BC081A" w:rsidRDefault="00776F7E" w:rsidP="00776F7E">
            <w:pPr>
              <w:pStyle w:val="TableContext"/>
              <w:rPr>
                <w:lang w:val="en-CA"/>
              </w:rPr>
            </w:pPr>
          </w:p>
        </w:tc>
        <w:tc>
          <w:tcPr>
            <w:tcW w:w="919" w:type="dxa"/>
            <w:shd w:val="clear" w:color="auto" w:fill="auto"/>
            <w:noWrap/>
            <w:vAlign w:val="bottom"/>
            <w:hideMark/>
          </w:tcPr>
          <w:p w14:paraId="72BC225D" w14:textId="77777777" w:rsidR="00776F7E" w:rsidRPr="00BC081A" w:rsidRDefault="00776F7E" w:rsidP="00776F7E">
            <w:pPr>
              <w:pStyle w:val="TableContext"/>
              <w:rPr>
                <w:lang w:val="en-CA"/>
              </w:rPr>
            </w:pPr>
          </w:p>
        </w:tc>
        <w:tc>
          <w:tcPr>
            <w:tcW w:w="932" w:type="dxa"/>
            <w:shd w:val="clear" w:color="auto" w:fill="auto"/>
            <w:noWrap/>
            <w:vAlign w:val="bottom"/>
            <w:hideMark/>
          </w:tcPr>
          <w:p w14:paraId="367F4DBC" w14:textId="77777777" w:rsidR="00776F7E" w:rsidRPr="00BC081A" w:rsidRDefault="00776F7E" w:rsidP="00776F7E">
            <w:pPr>
              <w:pStyle w:val="TableContext"/>
              <w:rPr>
                <w:b/>
                <w:lang w:val="en-CA"/>
              </w:rPr>
            </w:pPr>
            <w:r w:rsidRPr="00BC081A">
              <w:rPr>
                <w:b/>
                <w:lang w:val="en-CA"/>
              </w:rPr>
              <w:t>0.037</w:t>
            </w:r>
          </w:p>
        </w:tc>
      </w:tr>
      <w:tr w:rsidR="00776F7E" w:rsidRPr="00BC081A" w14:paraId="2BBA934C" w14:textId="77777777" w:rsidTr="008C71FB">
        <w:trPr>
          <w:trHeight w:val="297"/>
          <w:jc w:val="center"/>
        </w:trPr>
        <w:tc>
          <w:tcPr>
            <w:tcW w:w="1504" w:type="dxa"/>
            <w:shd w:val="clear" w:color="auto" w:fill="F2F2F2" w:themeFill="background1" w:themeFillShade="F2"/>
            <w:vAlign w:val="bottom"/>
          </w:tcPr>
          <w:p w14:paraId="0361EEF2" w14:textId="2FB1A2F3" w:rsidR="00776F7E" w:rsidRPr="00BC081A" w:rsidRDefault="00776F7E" w:rsidP="00776F7E">
            <w:pPr>
              <w:pStyle w:val="TableContext"/>
              <w:rPr>
                <w:lang w:val="en-CA"/>
              </w:rPr>
            </w:pPr>
            <w:r w:rsidRPr="00BC081A">
              <w:rPr>
                <w:lang w:val="en-CA"/>
              </w:rPr>
              <w:t>Computer Experience</w:t>
            </w:r>
          </w:p>
        </w:tc>
        <w:tc>
          <w:tcPr>
            <w:tcW w:w="919" w:type="dxa"/>
            <w:shd w:val="clear" w:color="auto" w:fill="auto"/>
            <w:vAlign w:val="bottom"/>
          </w:tcPr>
          <w:p w14:paraId="5F186FB6" w14:textId="77777777" w:rsidR="00776F7E" w:rsidRPr="00BC081A" w:rsidRDefault="00776F7E" w:rsidP="00776F7E">
            <w:pPr>
              <w:pStyle w:val="TableContext"/>
              <w:rPr>
                <w:lang w:val="en-CA"/>
              </w:rPr>
            </w:pPr>
          </w:p>
        </w:tc>
        <w:tc>
          <w:tcPr>
            <w:tcW w:w="948" w:type="dxa"/>
            <w:shd w:val="clear" w:color="auto" w:fill="auto"/>
            <w:noWrap/>
            <w:vAlign w:val="bottom"/>
          </w:tcPr>
          <w:p w14:paraId="47828E7D" w14:textId="77777777" w:rsidR="00776F7E" w:rsidRPr="00BC081A" w:rsidRDefault="00776F7E" w:rsidP="00776F7E">
            <w:pPr>
              <w:pStyle w:val="TableContext"/>
              <w:rPr>
                <w:lang w:val="en-CA"/>
              </w:rPr>
            </w:pPr>
          </w:p>
        </w:tc>
        <w:tc>
          <w:tcPr>
            <w:tcW w:w="919" w:type="dxa"/>
            <w:shd w:val="clear" w:color="auto" w:fill="auto"/>
            <w:noWrap/>
            <w:vAlign w:val="bottom"/>
          </w:tcPr>
          <w:p w14:paraId="76A1252D" w14:textId="77777777" w:rsidR="00776F7E" w:rsidRPr="00BC081A" w:rsidRDefault="00776F7E" w:rsidP="00776F7E">
            <w:pPr>
              <w:pStyle w:val="TableContext"/>
              <w:rPr>
                <w:lang w:val="en-CA"/>
              </w:rPr>
            </w:pPr>
          </w:p>
        </w:tc>
        <w:tc>
          <w:tcPr>
            <w:tcW w:w="919" w:type="dxa"/>
            <w:shd w:val="clear" w:color="auto" w:fill="auto"/>
            <w:noWrap/>
            <w:vAlign w:val="bottom"/>
          </w:tcPr>
          <w:p w14:paraId="1F1C3266" w14:textId="77777777" w:rsidR="00776F7E" w:rsidRPr="00BC081A" w:rsidRDefault="00776F7E" w:rsidP="00776F7E">
            <w:pPr>
              <w:pStyle w:val="TableContext"/>
              <w:rPr>
                <w:lang w:val="en-CA"/>
              </w:rPr>
            </w:pPr>
          </w:p>
        </w:tc>
        <w:tc>
          <w:tcPr>
            <w:tcW w:w="932" w:type="dxa"/>
            <w:shd w:val="clear" w:color="auto" w:fill="auto"/>
            <w:noWrap/>
            <w:vAlign w:val="bottom"/>
          </w:tcPr>
          <w:p w14:paraId="17C6410F" w14:textId="39F205CB" w:rsidR="00776F7E" w:rsidRPr="00BC081A" w:rsidRDefault="00776F7E" w:rsidP="00776F7E">
            <w:pPr>
              <w:pStyle w:val="TableContext"/>
              <w:rPr>
                <w:lang w:val="en-CA"/>
              </w:rPr>
            </w:pPr>
            <w:r w:rsidRPr="00BC081A">
              <w:rPr>
                <w:lang w:val="en-CA"/>
              </w:rPr>
              <w:t>0.018</w:t>
            </w:r>
          </w:p>
        </w:tc>
      </w:tr>
      <w:tr w:rsidR="00776F7E" w:rsidRPr="00BC081A" w14:paraId="2B84CE60" w14:textId="77777777" w:rsidTr="008C71FB">
        <w:trPr>
          <w:trHeight w:val="297"/>
          <w:jc w:val="center"/>
        </w:trPr>
        <w:tc>
          <w:tcPr>
            <w:tcW w:w="1504" w:type="dxa"/>
            <w:shd w:val="clear" w:color="auto" w:fill="F2F2F2" w:themeFill="background1" w:themeFillShade="F2"/>
            <w:vAlign w:val="bottom"/>
          </w:tcPr>
          <w:p w14:paraId="5FA7B762" w14:textId="42044C5B" w:rsidR="00776F7E" w:rsidRPr="00BC081A" w:rsidRDefault="00776F7E" w:rsidP="00776F7E">
            <w:pPr>
              <w:pStyle w:val="TableContext"/>
              <w:rPr>
                <w:lang w:val="en-CA"/>
              </w:rPr>
            </w:pPr>
            <w:r w:rsidRPr="00BC081A">
              <w:rPr>
                <w:lang w:val="en-CA"/>
              </w:rPr>
              <w:t>Internet Experience</w:t>
            </w:r>
          </w:p>
        </w:tc>
        <w:tc>
          <w:tcPr>
            <w:tcW w:w="919" w:type="dxa"/>
            <w:shd w:val="clear" w:color="auto" w:fill="auto"/>
            <w:vAlign w:val="bottom"/>
          </w:tcPr>
          <w:p w14:paraId="03AF535B" w14:textId="1AD2E8AB" w:rsidR="00776F7E" w:rsidRPr="00BC081A" w:rsidRDefault="00776F7E" w:rsidP="00776F7E">
            <w:pPr>
              <w:pStyle w:val="TableContext"/>
              <w:rPr>
                <w:lang w:val="en-CA"/>
              </w:rPr>
            </w:pPr>
          </w:p>
        </w:tc>
        <w:tc>
          <w:tcPr>
            <w:tcW w:w="948" w:type="dxa"/>
            <w:shd w:val="clear" w:color="auto" w:fill="auto"/>
            <w:noWrap/>
            <w:vAlign w:val="bottom"/>
            <w:hideMark/>
          </w:tcPr>
          <w:p w14:paraId="781D82C7" w14:textId="77777777" w:rsidR="00776F7E" w:rsidRPr="00BC081A" w:rsidRDefault="00776F7E" w:rsidP="00776F7E">
            <w:pPr>
              <w:pStyle w:val="TableContext"/>
              <w:rPr>
                <w:lang w:val="en-CA"/>
              </w:rPr>
            </w:pPr>
          </w:p>
        </w:tc>
        <w:tc>
          <w:tcPr>
            <w:tcW w:w="919" w:type="dxa"/>
            <w:shd w:val="clear" w:color="auto" w:fill="auto"/>
            <w:noWrap/>
            <w:vAlign w:val="bottom"/>
            <w:hideMark/>
          </w:tcPr>
          <w:p w14:paraId="1F2EF964" w14:textId="77777777" w:rsidR="00776F7E" w:rsidRPr="00BC081A" w:rsidRDefault="00776F7E" w:rsidP="00776F7E">
            <w:pPr>
              <w:pStyle w:val="TableContext"/>
              <w:rPr>
                <w:lang w:val="en-CA"/>
              </w:rPr>
            </w:pPr>
          </w:p>
        </w:tc>
        <w:tc>
          <w:tcPr>
            <w:tcW w:w="919" w:type="dxa"/>
            <w:shd w:val="clear" w:color="auto" w:fill="auto"/>
            <w:noWrap/>
            <w:vAlign w:val="bottom"/>
            <w:hideMark/>
          </w:tcPr>
          <w:p w14:paraId="682236C9" w14:textId="77777777" w:rsidR="00776F7E" w:rsidRPr="00BC081A" w:rsidRDefault="00776F7E" w:rsidP="00776F7E">
            <w:pPr>
              <w:pStyle w:val="TableContext"/>
              <w:rPr>
                <w:lang w:val="en-CA"/>
              </w:rPr>
            </w:pPr>
          </w:p>
        </w:tc>
        <w:tc>
          <w:tcPr>
            <w:tcW w:w="932" w:type="dxa"/>
            <w:shd w:val="clear" w:color="auto" w:fill="auto"/>
            <w:noWrap/>
            <w:vAlign w:val="bottom"/>
            <w:hideMark/>
          </w:tcPr>
          <w:p w14:paraId="039CA579" w14:textId="77777777" w:rsidR="00776F7E" w:rsidRPr="00BC081A" w:rsidRDefault="00776F7E" w:rsidP="00776F7E">
            <w:pPr>
              <w:pStyle w:val="TableContext"/>
              <w:rPr>
                <w:b/>
                <w:lang w:val="en-CA"/>
              </w:rPr>
            </w:pPr>
            <w:r w:rsidRPr="00BC081A">
              <w:rPr>
                <w:b/>
                <w:lang w:val="en-CA"/>
              </w:rPr>
              <w:t>0.026</w:t>
            </w:r>
          </w:p>
        </w:tc>
      </w:tr>
      <w:tr w:rsidR="00776F7E" w:rsidRPr="00BC081A" w14:paraId="780E4F5B" w14:textId="77777777" w:rsidTr="008C71FB">
        <w:trPr>
          <w:trHeight w:val="297"/>
          <w:jc w:val="center"/>
        </w:trPr>
        <w:tc>
          <w:tcPr>
            <w:tcW w:w="1504" w:type="dxa"/>
            <w:shd w:val="clear" w:color="auto" w:fill="F2F2F2" w:themeFill="background1" w:themeFillShade="F2"/>
            <w:vAlign w:val="bottom"/>
          </w:tcPr>
          <w:p w14:paraId="00E7CD19" w14:textId="3EFB9157" w:rsidR="00776F7E" w:rsidRPr="00BC081A" w:rsidRDefault="00776F7E" w:rsidP="00776F7E">
            <w:pPr>
              <w:pStyle w:val="TableContext"/>
              <w:rPr>
                <w:lang w:val="en-CA"/>
              </w:rPr>
            </w:pPr>
            <w:r w:rsidRPr="00BC081A">
              <w:rPr>
                <w:lang w:val="en-CA"/>
              </w:rPr>
              <w:t>Gaming Experience</w:t>
            </w:r>
          </w:p>
        </w:tc>
        <w:tc>
          <w:tcPr>
            <w:tcW w:w="919" w:type="dxa"/>
            <w:shd w:val="clear" w:color="auto" w:fill="auto"/>
            <w:noWrap/>
            <w:vAlign w:val="bottom"/>
            <w:hideMark/>
          </w:tcPr>
          <w:p w14:paraId="688D256F" w14:textId="77777777" w:rsidR="00776F7E" w:rsidRPr="00BC081A" w:rsidRDefault="00776F7E" w:rsidP="00776F7E">
            <w:pPr>
              <w:pStyle w:val="TableContext"/>
              <w:rPr>
                <w:lang w:val="en-CA"/>
              </w:rPr>
            </w:pPr>
            <w:r w:rsidRPr="00BC081A">
              <w:rPr>
                <w:lang w:val="en-CA"/>
              </w:rPr>
              <w:t>0.010</w:t>
            </w:r>
          </w:p>
        </w:tc>
        <w:tc>
          <w:tcPr>
            <w:tcW w:w="948" w:type="dxa"/>
            <w:shd w:val="clear" w:color="auto" w:fill="auto"/>
            <w:noWrap/>
            <w:vAlign w:val="bottom"/>
            <w:hideMark/>
          </w:tcPr>
          <w:p w14:paraId="09E20944" w14:textId="77777777" w:rsidR="00776F7E" w:rsidRPr="00BC081A" w:rsidRDefault="00776F7E" w:rsidP="00776F7E">
            <w:pPr>
              <w:pStyle w:val="TableContext"/>
              <w:rPr>
                <w:lang w:val="en-CA"/>
              </w:rPr>
            </w:pPr>
          </w:p>
        </w:tc>
        <w:tc>
          <w:tcPr>
            <w:tcW w:w="919" w:type="dxa"/>
            <w:shd w:val="clear" w:color="auto" w:fill="auto"/>
            <w:noWrap/>
            <w:vAlign w:val="bottom"/>
            <w:hideMark/>
          </w:tcPr>
          <w:p w14:paraId="3F8A256F" w14:textId="77777777" w:rsidR="00776F7E" w:rsidRPr="00BC081A" w:rsidRDefault="00776F7E" w:rsidP="00776F7E">
            <w:pPr>
              <w:pStyle w:val="TableContext"/>
              <w:rPr>
                <w:b/>
                <w:lang w:val="en-CA"/>
              </w:rPr>
            </w:pPr>
            <w:r w:rsidRPr="00BC081A">
              <w:rPr>
                <w:b/>
                <w:lang w:val="en-CA"/>
              </w:rPr>
              <w:t>0.021</w:t>
            </w:r>
          </w:p>
        </w:tc>
        <w:tc>
          <w:tcPr>
            <w:tcW w:w="919" w:type="dxa"/>
            <w:shd w:val="clear" w:color="auto" w:fill="auto"/>
            <w:noWrap/>
            <w:vAlign w:val="bottom"/>
            <w:hideMark/>
          </w:tcPr>
          <w:p w14:paraId="31CAE1DA" w14:textId="77777777" w:rsidR="00776F7E" w:rsidRPr="00BC081A" w:rsidRDefault="00776F7E" w:rsidP="00776F7E">
            <w:pPr>
              <w:pStyle w:val="TableContext"/>
              <w:rPr>
                <w:lang w:val="en-CA"/>
              </w:rPr>
            </w:pPr>
          </w:p>
        </w:tc>
        <w:tc>
          <w:tcPr>
            <w:tcW w:w="932" w:type="dxa"/>
            <w:shd w:val="clear" w:color="auto" w:fill="auto"/>
            <w:noWrap/>
            <w:vAlign w:val="bottom"/>
            <w:hideMark/>
          </w:tcPr>
          <w:p w14:paraId="4F472975" w14:textId="77777777" w:rsidR="00776F7E" w:rsidRPr="00BC081A" w:rsidRDefault="00776F7E" w:rsidP="002D53EC">
            <w:pPr>
              <w:pStyle w:val="TableContext"/>
              <w:keepNext/>
              <w:rPr>
                <w:lang w:val="en-CA"/>
              </w:rPr>
            </w:pPr>
            <w:r w:rsidRPr="00BC081A">
              <w:rPr>
                <w:lang w:val="en-CA"/>
              </w:rPr>
              <w:t>-0.002</w:t>
            </w:r>
          </w:p>
        </w:tc>
      </w:tr>
    </w:tbl>
    <w:p w14:paraId="2141CD9A" w14:textId="77777777" w:rsidR="0019430F" w:rsidRDefault="0019430F" w:rsidP="00AC5B27"/>
    <w:p w14:paraId="3AD07191" w14:textId="797FD056" w:rsidR="000670AD" w:rsidRPr="00BC081A" w:rsidRDefault="00BD572C" w:rsidP="00AC5B27">
      <w:r w:rsidRPr="00BC081A">
        <w:lastRenderedPageBreak/>
        <w:t xml:space="preserve">In </w:t>
      </w:r>
      <w:r w:rsidRPr="00BC081A">
        <w:fldChar w:fldCharType="begin"/>
      </w:r>
      <w:r w:rsidRPr="00BC081A">
        <w:instrText xml:space="preserve"> REF _Ref268108466 \h </w:instrText>
      </w:r>
      <w:r w:rsidRPr="00BC081A">
        <w:fldChar w:fldCharType="separate"/>
      </w:r>
      <w:r w:rsidR="008C71FB" w:rsidRPr="0060329A">
        <w:t xml:space="preserve">Table </w:t>
      </w:r>
      <w:r w:rsidR="008C71FB">
        <w:rPr>
          <w:noProof/>
        </w:rPr>
        <w:t>13</w:t>
      </w:r>
      <w:r w:rsidRPr="00BC081A">
        <w:fldChar w:fldCharType="end"/>
      </w:r>
      <w:r w:rsidRPr="00BC081A">
        <w:t xml:space="preserve"> the effect sizes that are considerable (&gt;.02) based on Cohen’s </w:t>
      </w:r>
      <w:r w:rsidRPr="00BC081A">
        <w:fldChar w:fldCharType="begin" w:fldLock="1"/>
      </w:r>
      <w:r w:rsidR="00AC1F7D">
        <w:instrText>ADDIN CSL_CITATION { "citationItems" : [ { "id" : "ITEM-1", "itemData" : { "author" : [ { "dropping-particle" : "", "family" : "Cohen", "given" : "J", "non-dropping-particle" : "", "parse-names" : false, "suffix" : "" } ], "id" : "ITEM-1", "issued" : { "date-parts" : [ [ "1988" ] ] }, "publisher" : "Lawrence Erlbaum", "title" : "Statistical power analysis for the behavioral sciences", "type" : "book" }, "suppress-author" : 1, "uris" : [ "http://www.mendeley.com/documents/?uuid=0a4620e9-e57a-48bd-a84e-e8e15475246c" ] } ], "mendeley" : { "previouslyFormattedCitation" : "(1988)" }, "properties" : { "noteIndex" : 0 }, "schema" : "https://github.com/citation-style-language/schema/raw/master/csl-citation.json" }</w:instrText>
      </w:r>
      <w:r w:rsidRPr="00BC081A">
        <w:fldChar w:fldCharType="separate"/>
      </w:r>
      <w:r w:rsidRPr="00BC081A">
        <w:rPr>
          <w:noProof/>
        </w:rPr>
        <w:t>(1988)</w:t>
      </w:r>
      <w:r w:rsidRPr="00BC081A">
        <w:fldChar w:fldCharType="end"/>
      </w:r>
      <w:r w:rsidRPr="00BC081A">
        <w:t xml:space="preserve"> critical values are marked with bold numbers.</w:t>
      </w:r>
      <w:r w:rsidR="00986866" w:rsidRPr="00BC081A">
        <w:t xml:space="preserve"> Two of the seven considerable effect sizes can be considere</w:t>
      </w:r>
      <w:r w:rsidR="00A4320D" w:rsidRPr="00BC081A">
        <w:t xml:space="preserve">d as having medium size effect (&gt;.15), which </w:t>
      </w:r>
      <w:proofErr w:type="gramStart"/>
      <w:r w:rsidR="00A4320D" w:rsidRPr="00BC081A">
        <w:t>are</w:t>
      </w:r>
      <w:proofErr w:type="gramEnd"/>
      <w:r w:rsidR="00A4320D" w:rsidRPr="00BC081A">
        <w:t xml:space="preserve"> marked with</w:t>
      </w:r>
      <w:r w:rsidR="00004213" w:rsidRPr="00BC081A">
        <w:t xml:space="preserve"> an asterisk</w:t>
      </w:r>
      <w:r w:rsidR="00A4320D" w:rsidRPr="00BC081A">
        <w:t>.</w:t>
      </w:r>
      <w:r w:rsidR="00986866" w:rsidRPr="00BC081A">
        <w:t xml:space="preserve"> </w:t>
      </w:r>
      <w:r w:rsidR="004A69DB" w:rsidRPr="00BC081A">
        <w:t xml:space="preserve">The results show that Age has </w:t>
      </w:r>
      <w:r w:rsidR="00004213" w:rsidRPr="00BC081A">
        <w:t xml:space="preserve">a </w:t>
      </w:r>
      <w:r w:rsidR="004A69DB" w:rsidRPr="00BC081A">
        <w:t xml:space="preserve">significant effect on the level of Challenge and Arousal. That is, older participants reported being more challenged, and more significantly aroused and excited. Education also had a considerable effect on the level of arousal of the participants, which can be correlated with the age of the more educated population. </w:t>
      </w:r>
    </w:p>
    <w:p w14:paraId="0B9FF462" w14:textId="42F9F568" w:rsidR="00983265" w:rsidRPr="00BC081A" w:rsidRDefault="00983265" w:rsidP="00AC5B27">
      <w:r w:rsidRPr="00BC081A">
        <w:t xml:space="preserve">The participants who did not speak English as their first language were more likely to perceive the experiment as competitive. They also reported their level of Flow experience to be higher compared to the participants who spoke English as their first language. </w:t>
      </w:r>
      <w:r w:rsidR="00E759BE" w:rsidRPr="00BC081A">
        <w:t xml:space="preserve">These perceptions could be attributed to cultural differences rather than </w:t>
      </w:r>
      <w:r w:rsidR="007846C2" w:rsidRPr="00BC081A">
        <w:t xml:space="preserve">a </w:t>
      </w:r>
      <w:r w:rsidR="00E759BE" w:rsidRPr="00BC081A">
        <w:t xml:space="preserve">language barrier since no considerable effect on Challenge was observed as a result of language difference. Moreover, higher Internet Experience could affect being in </w:t>
      </w:r>
      <w:r w:rsidR="007846C2" w:rsidRPr="00BC081A">
        <w:t>a</w:t>
      </w:r>
      <w:r w:rsidR="00E759BE" w:rsidRPr="00BC081A">
        <w:t xml:space="preserve"> Flow</w:t>
      </w:r>
      <w:r w:rsidR="007846C2" w:rsidRPr="00BC081A">
        <w:t xml:space="preserve"> state</w:t>
      </w:r>
      <w:r w:rsidR="00E759BE" w:rsidRPr="00BC081A">
        <w:t>.</w:t>
      </w:r>
      <w:r w:rsidR="00C635DA" w:rsidRPr="00BC081A">
        <w:t xml:space="preserve"> This relationship can be a result of having more experience with similar online environment</w:t>
      </w:r>
      <w:r w:rsidR="00F81300">
        <w:t>s</w:t>
      </w:r>
      <w:r w:rsidR="00C635DA" w:rsidRPr="00BC081A">
        <w:t>, and therefore reducing the distracting factors of a new environment, making it easier for the participants with more experience to focus on the game tasks and engage better.</w:t>
      </w:r>
      <w:r w:rsidR="00E759BE" w:rsidRPr="00BC081A">
        <w:t xml:space="preserve"> </w:t>
      </w:r>
      <w:r w:rsidR="002E29A8" w:rsidRPr="00BC081A">
        <w:t>In addition, higher level o</w:t>
      </w:r>
      <w:r w:rsidR="00E730A3" w:rsidRPr="00BC081A">
        <w:t>f Gaming Experience affected participants’ perceptions of challenge</w:t>
      </w:r>
      <w:r w:rsidR="002E29A8" w:rsidRPr="00BC081A">
        <w:t xml:space="preserve">. Video </w:t>
      </w:r>
      <w:proofErr w:type="spellStart"/>
      <w:r w:rsidR="00547B98">
        <w:t>gameplay</w:t>
      </w:r>
      <w:r w:rsidR="002E29A8" w:rsidRPr="00BC081A">
        <w:t>ers</w:t>
      </w:r>
      <w:proofErr w:type="spellEnd"/>
      <w:r w:rsidR="002E29A8" w:rsidRPr="00BC081A">
        <w:t xml:space="preserve"> can be more interested in playing games and more easily get challenged</w:t>
      </w:r>
      <w:r w:rsidR="00E730A3" w:rsidRPr="00BC081A">
        <w:t xml:space="preserve"> and motivated</w:t>
      </w:r>
      <w:r w:rsidR="002E29A8" w:rsidRPr="00BC081A">
        <w:t xml:space="preserve"> to win a video game. </w:t>
      </w:r>
    </w:p>
    <w:p w14:paraId="498FB957" w14:textId="543FA42C" w:rsidR="00F44412" w:rsidRPr="00BC081A" w:rsidRDefault="00F44412" w:rsidP="00F44412">
      <w:pPr>
        <w:pStyle w:val="Heading4"/>
      </w:pPr>
      <w:r w:rsidRPr="00BC081A">
        <w:t xml:space="preserve">Open-ended Questions </w:t>
      </w:r>
      <w:r w:rsidR="000A0021" w:rsidRPr="00BC081A">
        <w:t>Analysis</w:t>
      </w:r>
    </w:p>
    <w:p w14:paraId="794E631F" w14:textId="78A5441D" w:rsidR="00193FBD" w:rsidRPr="00BC081A" w:rsidRDefault="00860F0D" w:rsidP="00193FBD">
      <w:r w:rsidRPr="00BC081A">
        <w:t xml:space="preserve">In addition to the survey questionnaire, two open-ended questions </w:t>
      </w:r>
      <w:r w:rsidR="00E730A3" w:rsidRPr="00BC081A">
        <w:t>were asked of</w:t>
      </w:r>
      <w:r w:rsidRPr="00BC081A">
        <w:t xml:space="preserve"> participants who </w:t>
      </w:r>
      <w:r w:rsidR="00E730A3" w:rsidRPr="00BC081A">
        <w:t xml:space="preserve">participated </w:t>
      </w:r>
      <w:r w:rsidRPr="00BC081A">
        <w:t xml:space="preserve">in competition modes (i.e. competing against friends, non-friend human, and computer) and one open-ended question </w:t>
      </w:r>
      <w:r w:rsidR="007A6921" w:rsidRPr="00BC081A">
        <w:t xml:space="preserve">was asked of </w:t>
      </w:r>
      <w:r w:rsidRPr="00BC081A">
        <w:t xml:space="preserve">the participants in </w:t>
      </w:r>
      <w:r w:rsidR="008335B7">
        <w:t xml:space="preserve">the </w:t>
      </w:r>
      <w:r w:rsidRPr="00BC081A">
        <w:t>non-competition mode.</w:t>
      </w:r>
      <w:r w:rsidR="00096D28" w:rsidRPr="00BC081A">
        <w:t xml:space="preserve"> </w:t>
      </w:r>
      <w:r w:rsidR="0074655C" w:rsidRPr="00BC081A">
        <w:t xml:space="preserve">In the competition modes, one question addressed </w:t>
      </w:r>
      <w:r w:rsidR="0070667A" w:rsidRPr="00BC081A">
        <w:t>opponent</w:t>
      </w:r>
      <w:r w:rsidR="0074655C" w:rsidRPr="00BC081A">
        <w:t xml:space="preserve"> matching of the </w:t>
      </w:r>
      <w:r w:rsidR="0074655C" w:rsidRPr="00BC081A">
        <w:lastRenderedPageBreak/>
        <w:t xml:space="preserve">experiment. </w:t>
      </w:r>
      <w:r w:rsidR="008316AE" w:rsidRPr="00BC081A">
        <w:t xml:space="preserve">The other question was a general question about the design of the survey and the study itself. </w:t>
      </w:r>
      <w:r w:rsidR="00096D28" w:rsidRPr="00BC081A">
        <w:t xml:space="preserve">The two questions for competition mode participants were: </w:t>
      </w:r>
    </w:p>
    <w:p w14:paraId="5CF286F9" w14:textId="30AE393D" w:rsidR="00096D28" w:rsidRPr="00BC081A" w:rsidRDefault="00C6286E" w:rsidP="00536F6A">
      <w:pPr>
        <w:pStyle w:val="ListParagraph"/>
        <w:numPr>
          <w:ilvl w:val="0"/>
          <w:numId w:val="11"/>
        </w:numPr>
      </w:pPr>
      <w:r w:rsidRPr="00BC081A">
        <w:rPr>
          <w:rFonts w:eastAsia="Times New Roman" w:cs="Times New Roman"/>
        </w:rPr>
        <w:t>How did you find your opponent? Do you find the matching fair?</w:t>
      </w:r>
    </w:p>
    <w:p w14:paraId="378E4F8E" w14:textId="3961D097" w:rsidR="00C6286E" w:rsidRPr="00BC081A" w:rsidRDefault="00C6286E" w:rsidP="00536F6A">
      <w:pPr>
        <w:pStyle w:val="ListParagraph"/>
        <w:numPr>
          <w:ilvl w:val="0"/>
          <w:numId w:val="11"/>
        </w:numPr>
      </w:pPr>
      <w:r w:rsidRPr="00BC081A">
        <w:rPr>
          <w:rFonts w:eastAsia="Times New Roman" w:cs="Times New Roman"/>
        </w:rPr>
        <w:t xml:space="preserve">If you have any comments about this study or the surveys </w:t>
      </w:r>
      <w:r w:rsidR="008316AE" w:rsidRPr="00BC081A">
        <w:rPr>
          <w:rFonts w:eastAsia="Times New Roman" w:cs="Times New Roman"/>
        </w:rPr>
        <w:t>please write your comments here.</w:t>
      </w:r>
    </w:p>
    <w:p w14:paraId="06F90365" w14:textId="4F627B7F" w:rsidR="002C00EC" w:rsidRPr="00BC081A" w:rsidRDefault="0070667A" w:rsidP="008316AE">
      <w:r w:rsidRPr="00BC081A">
        <w:t>T</w:t>
      </w:r>
      <w:r w:rsidR="00C6286E" w:rsidRPr="00BC081A">
        <w:t>he open-ended question for the no-competition mode participants was</w:t>
      </w:r>
      <w:r w:rsidR="008316AE" w:rsidRPr="00BC081A">
        <w:t xml:space="preserve"> the same as the second question in the competition mode. </w:t>
      </w:r>
      <w:r w:rsidR="002C00EC" w:rsidRPr="00BC081A">
        <w:t xml:space="preserve">These questions provide some qualitative and exploratory </w:t>
      </w:r>
      <w:proofErr w:type="gramStart"/>
      <w:r w:rsidR="002C00EC" w:rsidRPr="00BC081A">
        <w:t>insight</w:t>
      </w:r>
      <w:proofErr w:type="gramEnd"/>
      <w:r w:rsidR="002C00EC" w:rsidRPr="00BC081A">
        <w:t xml:space="preserve"> into this research that can be interpreted for future research and </w:t>
      </w:r>
      <w:r w:rsidR="006551D2" w:rsidRPr="00BC081A">
        <w:t xml:space="preserve">provide insights into </w:t>
      </w:r>
      <w:r w:rsidR="002C00EC" w:rsidRPr="00BC081A">
        <w:t xml:space="preserve">the findings of this study’s experiments. </w:t>
      </w:r>
    </w:p>
    <w:p w14:paraId="70F34C01" w14:textId="49F01D15" w:rsidR="003436AF" w:rsidRPr="00BC081A" w:rsidRDefault="003436AF" w:rsidP="008316AE">
      <w:r w:rsidRPr="00BC081A">
        <w:t>Regarding the fairness of the matching for competitive experiments, a great number of the participants (87 out of 92) answered the first question</w:t>
      </w:r>
      <w:r w:rsidR="006551D2" w:rsidRPr="00BC081A">
        <w:t>,</w:t>
      </w:r>
      <w:r w:rsidRPr="00BC081A">
        <w:t xml:space="preserve"> despite </w:t>
      </w:r>
      <w:r w:rsidR="006551D2" w:rsidRPr="00BC081A">
        <w:t xml:space="preserve">it </w:t>
      </w:r>
      <w:r w:rsidRPr="00BC081A">
        <w:t>being optional. From 87 answers, 59 of the answers indicated that their matching was fair and only 28 said they did not find the competition to be fair. This is despite the fact that participants were randomly assigned to the experiments, except for the participants who</w:t>
      </w:r>
      <w:r w:rsidR="003F2995" w:rsidRPr="00BC081A">
        <w:t xml:space="preserve"> competed against their friends. </w:t>
      </w:r>
      <w:r w:rsidR="00E467AF">
        <w:t>The setting of a completely randomized setup, which would require knowing the friend network of all the potential participants, would be overly complicated</w:t>
      </w:r>
      <w:r w:rsidR="009F6C99">
        <w:t xml:space="preserve"> and, as</w:t>
      </w:r>
      <w:r w:rsidR="00EE35C0" w:rsidRPr="00BC081A">
        <w:t xml:space="preserve"> </w:t>
      </w:r>
      <w:r w:rsidR="006551D2" w:rsidRPr="00BC081A">
        <w:t xml:space="preserve">the </w:t>
      </w:r>
      <w:r w:rsidR="00EE35C0" w:rsidRPr="00BC081A">
        <w:t>McMaster</w:t>
      </w:r>
      <w:r w:rsidRPr="00BC081A">
        <w:t xml:space="preserve"> </w:t>
      </w:r>
      <w:r w:rsidR="00F72844" w:rsidRPr="00BC081A">
        <w:t>Research E</w:t>
      </w:r>
      <w:r w:rsidRPr="00BC081A">
        <w:t xml:space="preserve">thics </w:t>
      </w:r>
      <w:r w:rsidR="00F72844" w:rsidRPr="00BC081A">
        <w:t>B</w:t>
      </w:r>
      <w:r w:rsidR="00EE35C0" w:rsidRPr="00BC081A">
        <w:t xml:space="preserve">oard </w:t>
      </w:r>
      <w:r w:rsidR="009F6C99">
        <w:t xml:space="preserve">pointed out, would be unethical. Therefore, </w:t>
      </w:r>
      <w:r w:rsidR="00EE35C0" w:rsidRPr="00BC081A">
        <w:t xml:space="preserve">participants </w:t>
      </w:r>
      <w:r w:rsidR="009F6C99">
        <w:t xml:space="preserve">had </w:t>
      </w:r>
      <w:r w:rsidR="00EE35C0" w:rsidRPr="00BC081A">
        <w:t>to self-register for that mode of competition</w:t>
      </w:r>
      <w:r w:rsidR="00F72844" w:rsidRPr="00BC081A">
        <w:t xml:space="preserve"> </w:t>
      </w:r>
      <w:r w:rsidR="009F6C99">
        <w:t>(competing against their friends)</w:t>
      </w:r>
      <w:r w:rsidR="00EE35C0" w:rsidRPr="00BC081A">
        <w:t>.</w:t>
      </w:r>
      <w:r w:rsidR="009E53C7" w:rsidRPr="00BC081A">
        <w:t xml:space="preserve"> </w:t>
      </w:r>
      <w:r w:rsidR="00A679E1" w:rsidRPr="00BC081A">
        <w:t xml:space="preserve">Despite this randomization </w:t>
      </w:r>
      <w:r w:rsidR="009F6C99">
        <w:t>limitation</w:t>
      </w:r>
      <w:r w:rsidR="00A679E1" w:rsidRPr="00BC081A">
        <w:t xml:space="preserve">, no evidence exists that would show </w:t>
      </w:r>
      <w:r w:rsidR="00DC0116">
        <w:t xml:space="preserve">that </w:t>
      </w:r>
      <w:r w:rsidR="00A679E1" w:rsidRPr="00BC081A">
        <w:t xml:space="preserve">participants who registered with one of their friends had chosen the friend to participate with based on </w:t>
      </w:r>
      <w:r w:rsidR="00DC0116">
        <w:t>her/his</w:t>
      </w:r>
      <w:r w:rsidR="00DC0116" w:rsidRPr="00BC081A">
        <w:t xml:space="preserve"> </w:t>
      </w:r>
      <w:r w:rsidR="00A679E1" w:rsidRPr="00BC081A">
        <w:t xml:space="preserve">level of typing skills. </w:t>
      </w:r>
      <w:r w:rsidR="00891927" w:rsidRPr="00BC081A">
        <w:t>In fact, one of the participants who indicated that matching was not fair was competing with his/her friend. This participant indicated:</w:t>
      </w:r>
    </w:p>
    <w:p w14:paraId="33F29240" w14:textId="5DF94EC0" w:rsidR="00891927" w:rsidRPr="00BC081A" w:rsidRDefault="007976B2" w:rsidP="00891927">
      <w:pPr>
        <w:pStyle w:val="Quote"/>
      </w:pPr>
      <w:r w:rsidRPr="00BC081A">
        <w:lastRenderedPageBreak/>
        <w:t>“</w:t>
      </w:r>
      <w:r w:rsidR="00891927" w:rsidRPr="00BC081A">
        <w:t>My opponent is too weak for me. The matching was not fair. Maybe rather than compete with our friend, we should compete with someone we do not know, and with similar skills.</w:t>
      </w:r>
      <w:r w:rsidRPr="00BC081A">
        <w:t>”</w:t>
      </w:r>
    </w:p>
    <w:p w14:paraId="2BAB9C6F" w14:textId="44DFC15A" w:rsidR="00891927" w:rsidRPr="00BC081A" w:rsidRDefault="00A73BCC" w:rsidP="008316AE">
      <w:r w:rsidRPr="00BC081A">
        <w:t>Overall, the participants were satisfied with the matching and it cannot be said that losing the game affected their perception towards the fairness of the game.</w:t>
      </w:r>
      <w:r w:rsidR="00847C2E" w:rsidRPr="00BC081A">
        <w:t xml:space="preserve"> </w:t>
      </w:r>
      <w:r w:rsidR="009E6A35" w:rsidRPr="00BC081A">
        <w:t xml:space="preserve">Even though some people lost the competition, some were positive about the matching. </w:t>
      </w:r>
      <w:r w:rsidR="00847C2E" w:rsidRPr="00BC081A">
        <w:t>One of the participants stated:</w:t>
      </w:r>
    </w:p>
    <w:p w14:paraId="4F0BA576" w14:textId="3EC75390" w:rsidR="00847C2E" w:rsidRPr="00BC081A" w:rsidRDefault="007976B2" w:rsidP="00847C2E">
      <w:pPr>
        <w:pStyle w:val="Quote"/>
      </w:pPr>
      <w:r w:rsidRPr="00BC081A">
        <w:t>“</w:t>
      </w:r>
      <w:proofErr w:type="gramStart"/>
      <w:r w:rsidR="00847C2E" w:rsidRPr="00BC081A">
        <w:t>They</w:t>
      </w:r>
      <w:proofErr w:type="gramEnd"/>
      <w:r w:rsidR="00847C2E" w:rsidRPr="00BC081A">
        <w:t xml:space="preserve"> were </w:t>
      </w:r>
      <w:proofErr w:type="gramStart"/>
      <w:r w:rsidR="00847C2E" w:rsidRPr="00BC081A">
        <w:t xml:space="preserve">a faster typing opponent </w:t>
      </w:r>
      <w:r w:rsidR="00DC0116" w:rsidRPr="00BC081A">
        <w:t>th</w:t>
      </w:r>
      <w:r w:rsidR="00DC0116">
        <w:t>a</w:t>
      </w:r>
      <w:r w:rsidR="00DC0116" w:rsidRPr="00BC081A">
        <w:t xml:space="preserve">n </w:t>
      </w:r>
      <w:r w:rsidR="00847C2E" w:rsidRPr="00BC081A">
        <w:t>myself, still fair considering I don’t know the person</w:t>
      </w:r>
      <w:proofErr w:type="gramEnd"/>
      <w:r w:rsidR="00847C2E" w:rsidRPr="00BC081A">
        <w:t>.</w:t>
      </w:r>
      <w:r w:rsidRPr="00BC081A">
        <w:t>”</w:t>
      </w:r>
    </w:p>
    <w:p w14:paraId="2878B2E2" w14:textId="7C580144" w:rsidR="007976B2" w:rsidRPr="00BC081A" w:rsidRDefault="007976B2" w:rsidP="00847C2E">
      <w:r w:rsidRPr="00BC081A">
        <w:t xml:space="preserve">One key finding from this open-ended question was related to </w:t>
      </w:r>
      <w:r w:rsidR="0052437A" w:rsidRPr="00BC081A">
        <w:t xml:space="preserve">the </w:t>
      </w:r>
      <w:r w:rsidRPr="00BC081A">
        <w:t xml:space="preserve">adaptability of </w:t>
      </w:r>
      <w:r w:rsidR="0052437A" w:rsidRPr="00BC081A">
        <w:t xml:space="preserve">the </w:t>
      </w:r>
      <w:r w:rsidRPr="00BC081A">
        <w:t xml:space="preserve">computer mode. </w:t>
      </w:r>
      <w:r w:rsidR="0052437A" w:rsidRPr="00BC081A">
        <w:t xml:space="preserve">When the </w:t>
      </w:r>
      <w:r w:rsidRPr="00BC081A">
        <w:t xml:space="preserve">computer would change its speed to adapt to the speed of </w:t>
      </w:r>
      <w:r w:rsidR="00DC0116">
        <w:t xml:space="preserve">its </w:t>
      </w:r>
      <w:r w:rsidRPr="00BC081A">
        <w:t>opponent, participant</w:t>
      </w:r>
      <w:r w:rsidR="00DC0116">
        <w:t>s</w:t>
      </w:r>
      <w:r w:rsidRPr="00BC081A">
        <w:t xml:space="preserve"> would find the task more challenging and engaging. </w:t>
      </w:r>
      <w:r w:rsidR="00A42D42" w:rsidRPr="00BC081A">
        <w:t xml:space="preserve">Unlike human opponents, </w:t>
      </w:r>
      <w:r w:rsidR="00DC0116">
        <w:t xml:space="preserve">the </w:t>
      </w:r>
      <w:r w:rsidR="00A42D42" w:rsidRPr="00BC081A">
        <w:t xml:space="preserve">computer opponent is capable of changing its skill to adjust based on </w:t>
      </w:r>
      <w:r w:rsidR="00DC0116">
        <w:t xml:space="preserve">the </w:t>
      </w:r>
      <w:r w:rsidR="00A42D42" w:rsidRPr="00BC081A">
        <w:t xml:space="preserve">player’s skill level, making sure the challenge and skill of the video game stay in par, resulting in higher levels of Flow. </w:t>
      </w:r>
      <w:r w:rsidRPr="00BC081A">
        <w:t>One of the participants mentioned:</w:t>
      </w:r>
    </w:p>
    <w:p w14:paraId="1E8243C9" w14:textId="0E471847" w:rsidR="007976B2" w:rsidRPr="00BC081A" w:rsidRDefault="007976B2" w:rsidP="007976B2">
      <w:pPr>
        <w:pStyle w:val="Quote"/>
      </w:pPr>
      <w:r w:rsidRPr="00BC081A">
        <w:t>“It adjusted the AI very well to my skill, ramping up WPM as it went along.”</w:t>
      </w:r>
    </w:p>
    <w:p w14:paraId="498CED09" w14:textId="0B05F263" w:rsidR="0074655C" w:rsidRPr="00BC081A" w:rsidRDefault="009E23B9" w:rsidP="002C00EC">
      <w:r w:rsidRPr="00BC081A">
        <w:t xml:space="preserve">Moreover, one of the participants added that competition of two </w:t>
      </w:r>
      <w:r w:rsidR="004105FD" w:rsidRPr="00BC081A">
        <w:t>opposite genders could create more challenge and motivate the player to try harder to win the game, making the game more competitive and engaging.</w:t>
      </w:r>
      <w:r w:rsidR="00087960" w:rsidRPr="00BC081A">
        <w:t xml:space="preserve"> Even though t</w:t>
      </w:r>
      <w:r w:rsidR="004105FD" w:rsidRPr="00BC081A">
        <w:t>he gender gap between men and women vid</w:t>
      </w:r>
      <w:r w:rsidR="00087960" w:rsidRPr="00BC081A">
        <w:t xml:space="preserve">eo </w:t>
      </w:r>
      <w:proofErr w:type="spellStart"/>
      <w:r w:rsidR="00547B98">
        <w:t>gameplay</w:t>
      </w:r>
      <w:r w:rsidR="00087960" w:rsidRPr="00BC081A">
        <w:t>ers</w:t>
      </w:r>
      <w:proofErr w:type="spellEnd"/>
      <w:r w:rsidR="00087960" w:rsidRPr="00BC081A">
        <w:t xml:space="preserve"> is disappearing </w:t>
      </w:r>
      <w:r w:rsidR="00087960" w:rsidRPr="00BC081A">
        <w:fldChar w:fldCharType="begin" w:fldLock="1"/>
      </w:r>
      <w:r w:rsidR="00AC1F7D">
        <w:instrText>ADDIN CSL_CITATION { "citationItems" : [ { "id" : "ITEM-1", "itemData" : { "author" : [ { "dropping-particle" : "", "family" : "Entertainment Software Association", "given" : "", "non-dropping-particle" : "", "parse-names" : false, "suffix" : "" } ], "id" : "ITEM-1", "issued" : { "date-parts" : [ [ "2010" ] ] }, "title" : "Essential Facts About the Computer and Video Game Industry: 2010 Sales, Demographic and Usage Data.", "type" : "report" }, "uris" : [ "http://www.mendeley.com/documents/?uuid=1141e673-c60e-4fe6-a22f-c389738a7e99" ] } ], "mendeley" : { "previouslyFormattedCitation" : "(Entertainment Software Association, 2010)" }, "properties" : { "noteIndex" : 0 }, "schema" : "https://github.com/citation-style-language/schema/raw/master/csl-citation.json" }</w:instrText>
      </w:r>
      <w:r w:rsidR="00087960" w:rsidRPr="00BC081A">
        <w:fldChar w:fldCharType="separate"/>
      </w:r>
      <w:r w:rsidR="00087960" w:rsidRPr="00BC081A">
        <w:rPr>
          <w:noProof/>
        </w:rPr>
        <w:t>(Entertainment Software Association, 2010)</w:t>
      </w:r>
      <w:r w:rsidR="00087960" w:rsidRPr="00BC081A">
        <w:fldChar w:fldCharType="end"/>
      </w:r>
      <w:r w:rsidR="00087960" w:rsidRPr="00BC081A">
        <w:t>,</w:t>
      </w:r>
      <w:r w:rsidR="004105FD" w:rsidRPr="00BC081A">
        <w:t xml:space="preserve"> </w:t>
      </w:r>
      <w:r w:rsidR="00087960" w:rsidRPr="00BC081A">
        <w:t>h</w:t>
      </w:r>
      <w:r w:rsidR="004105FD" w:rsidRPr="00BC081A">
        <w:t>owever, men and women tend to play different types of games. As such, in particular for a male player, playing against a female player proposed a new set of challenges as opposed to playing against a male player. For instance, below is the response from a male participant:</w:t>
      </w:r>
    </w:p>
    <w:p w14:paraId="06258A98" w14:textId="310ED77A" w:rsidR="004105FD" w:rsidRPr="00BC081A" w:rsidRDefault="004105FD" w:rsidP="004105FD">
      <w:pPr>
        <w:pStyle w:val="Quote"/>
      </w:pPr>
      <w:r w:rsidRPr="00BC081A">
        <w:lastRenderedPageBreak/>
        <w:t>“I found out that my opponent was a female. I think that further enhanced my competitive spirit. The matching was ideal.”</w:t>
      </w:r>
    </w:p>
    <w:p w14:paraId="0BDB8CBE" w14:textId="24AC92E9" w:rsidR="004105FD" w:rsidRPr="00BC081A" w:rsidRDefault="009810C0" w:rsidP="002C00EC">
      <w:r w:rsidRPr="00BC081A">
        <w:t xml:space="preserve">Through the second open-ended question, participants mostly expressed their overall satisfaction with the study. In particular, the use of a video game for </w:t>
      </w:r>
      <w:r w:rsidR="00A66CBC">
        <w:t xml:space="preserve">the </w:t>
      </w:r>
      <w:r w:rsidRPr="00BC081A">
        <w:t xml:space="preserve">experiment made it much more exciting than a typical lab experiment for students, who perhaps have participated in other lab experiments in university. </w:t>
      </w:r>
      <w:r w:rsidR="00CE6711" w:rsidRPr="00BC081A">
        <w:t>Below are some of the positive responses:</w:t>
      </w:r>
    </w:p>
    <w:p w14:paraId="7FBAA4D0" w14:textId="51F87746" w:rsidR="00CE6711" w:rsidRPr="00BC081A" w:rsidRDefault="00CE6711" w:rsidP="00CE6711">
      <w:pPr>
        <w:pStyle w:val="Quote"/>
      </w:pPr>
      <w:r w:rsidRPr="00BC081A">
        <w:t>“I felt very relaxed and comfortable during the surveys and the game was fun to play.”</w:t>
      </w:r>
    </w:p>
    <w:p w14:paraId="4404A42D" w14:textId="3843C326" w:rsidR="00CE6711" w:rsidRPr="00BC081A" w:rsidRDefault="00CE6711" w:rsidP="00CE6711">
      <w:pPr>
        <w:pStyle w:val="Quote"/>
      </w:pPr>
      <w:r w:rsidRPr="00BC081A">
        <w:t>“This was a lot of fun!”</w:t>
      </w:r>
    </w:p>
    <w:p w14:paraId="1AA25F93" w14:textId="7B14FE0D" w:rsidR="00CE6711" w:rsidRPr="00BC081A" w:rsidRDefault="00CE6711" w:rsidP="00CE6711">
      <w:pPr>
        <w:pStyle w:val="Quote"/>
      </w:pPr>
      <w:r w:rsidRPr="00BC081A">
        <w:t>“Good job</w:t>
      </w:r>
      <w:proofErr w:type="gramStart"/>
      <w:r w:rsidRPr="00BC081A">
        <w:t>!(</w:t>
      </w:r>
      <w:proofErr w:type="gramEnd"/>
      <w:r w:rsidRPr="00BC081A">
        <w:t>have too much to say....)”</w:t>
      </w:r>
    </w:p>
    <w:p w14:paraId="6F634536" w14:textId="35153A7E" w:rsidR="00CE6711" w:rsidRPr="00BC081A" w:rsidRDefault="00CE6711" w:rsidP="00CE6711">
      <w:pPr>
        <w:pStyle w:val="Quote"/>
      </w:pPr>
      <w:r w:rsidRPr="00BC081A">
        <w:t>“It is a good test of my abilities under pressure.”</w:t>
      </w:r>
    </w:p>
    <w:p w14:paraId="0A71CAD8" w14:textId="75FF615D" w:rsidR="00CE6711" w:rsidRPr="00BC081A" w:rsidRDefault="00CE6711" w:rsidP="00CE6711">
      <w:pPr>
        <w:pStyle w:val="Quote"/>
      </w:pPr>
      <w:r w:rsidRPr="00BC081A">
        <w:t xml:space="preserve">“It sounds like a really interesting study, and I'm glad </w:t>
      </w:r>
      <w:proofErr w:type="spellStart"/>
      <w:r w:rsidRPr="00BC081A">
        <w:t>i</w:t>
      </w:r>
      <w:proofErr w:type="spellEnd"/>
      <w:r w:rsidRPr="00BC081A">
        <w:t xml:space="preserve"> was offered the chance to participate.”</w:t>
      </w:r>
    </w:p>
    <w:p w14:paraId="614711F0" w14:textId="0B473CDB" w:rsidR="00CE6711" w:rsidRPr="00BC081A" w:rsidRDefault="00CE6711" w:rsidP="00CE6711">
      <w:pPr>
        <w:pStyle w:val="Quote"/>
      </w:pPr>
      <w:r w:rsidRPr="00BC081A">
        <w:t>“Study bring in a lot excitement, feels like I am playing a video game like I normally would.”</w:t>
      </w:r>
    </w:p>
    <w:p w14:paraId="46F647D1" w14:textId="6F8ACB48" w:rsidR="00CE6711" w:rsidRPr="00BC081A" w:rsidRDefault="00CE6711" w:rsidP="00CE6711">
      <w:pPr>
        <w:pStyle w:val="Quote"/>
      </w:pPr>
      <w:r w:rsidRPr="00BC081A">
        <w:t>“The typewriter game was interesting and fun to play.”</w:t>
      </w:r>
    </w:p>
    <w:p w14:paraId="162C3D8C" w14:textId="794DF7B3" w:rsidR="00CE6711" w:rsidRPr="00BC081A" w:rsidRDefault="00CE6711" w:rsidP="00CE6711">
      <w:r w:rsidRPr="00BC081A">
        <w:t xml:space="preserve">Even the participants who participated in </w:t>
      </w:r>
      <w:r w:rsidR="00540445" w:rsidRPr="00BC081A">
        <w:t xml:space="preserve">the </w:t>
      </w:r>
      <w:r w:rsidRPr="00BC081A">
        <w:t>non-competitive group (playing by themselves) enjoyed the experiment. One participant said:</w:t>
      </w:r>
    </w:p>
    <w:p w14:paraId="3AA576A1" w14:textId="5F48FCA8" w:rsidR="00CE6711" w:rsidRPr="00BC081A" w:rsidRDefault="00CE6711" w:rsidP="00CE6711">
      <w:pPr>
        <w:pStyle w:val="Quote"/>
      </w:pPr>
      <w:r w:rsidRPr="00BC081A">
        <w:t xml:space="preserve">“It was fun, and I would do it again to improve my typing skills. I experienced flow so much, I repeatedly almost forgot to click my sensor!” </w:t>
      </w:r>
    </w:p>
    <w:p w14:paraId="0E119A4B" w14:textId="2A9621CB" w:rsidR="00CE6711" w:rsidRPr="00BC081A" w:rsidRDefault="009C5C06" w:rsidP="00CE6711">
      <w:r w:rsidRPr="00BC081A">
        <w:t xml:space="preserve">However, some participants expressed some concerns about the design of the study. Two of the participants indicated that they preferred typing with their own keyboard as the keyboard that was provided during the experiment was different from their own, in particular if they were </w:t>
      </w:r>
      <w:r w:rsidRPr="00BC081A">
        <w:lastRenderedPageBreak/>
        <w:t>using a different type of computer (i.e. MacBook). More specifically, the comments were as follow:</w:t>
      </w:r>
    </w:p>
    <w:p w14:paraId="54A0742F" w14:textId="7A3A939E" w:rsidR="009C5C06" w:rsidRPr="00BC081A" w:rsidRDefault="009C5C06" w:rsidP="009C5C06">
      <w:pPr>
        <w:pStyle w:val="Quote"/>
      </w:pPr>
      <w:r w:rsidRPr="00BC081A">
        <w:t>“I am not sure to what extent is past typing experience being considered. For example, I use a MacBook. If the competition was held in an Apple computer keyboard, I think I might have done better. This is just my perception.”</w:t>
      </w:r>
    </w:p>
    <w:p w14:paraId="343E1CC5" w14:textId="6D02B3F1" w:rsidR="009C5C06" w:rsidRPr="00BC081A" w:rsidRDefault="009C5C06" w:rsidP="009C5C06">
      <w:pPr>
        <w:pStyle w:val="Quote"/>
      </w:pPr>
      <w:r w:rsidRPr="00BC081A">
        <w:t>“Different people are more comfortable with other keyboards. The option should be given, whether it is a laptop keyboard or a typical keyboard.”</w:t>
      </w:r>
    </w:p>
    <w:p w14:paraId="1BBE1313" w14:textId="64E2646E" w:rsidR="009C5C06" w:rsidRPr="00BC081A" w:rsidRDefault="009C5C06" w:rsidP="009C5C06">
      <w:pPr>
        <w:pStyle w:val="Quote"/>
      </w:pPr>
      <w:r w:rsidRPr="00BC081A">
        <w:t>“In studies or surveys that require the use of a keyboard and mouse, I would suggest allowing participants the choice of hardware that better matches the hardware they use most often in their everyday lives. In this way, they are more familiar with the environment, and may provide more accurate results regarding their computer use.”</w:t>
      </w:r>
    </w:p>
    <w:p w14:paraId="5C33AFDE" w14:textId="0B8CAB32" w:rsidR="009C5C06" w:rsidRPr="00BC081A" w:rsidRDefault="009C5C06" w:rsidP="009C5C06">
      <w:r w:rsidRPr="00BC081A">
        <w:t>One other concern that was raised by a participant was regarding the duration of experience and feeling</w:t>
      </w:r>
      <w:r w:rsidR="00465916">
        <w:t>s</w:t>
      </w:r>
      <w:r w:rsidRPr="00BC081A">
        <w:t xml:space="preserve"> </w:t>
      </w:r>
      <w:r w:rsidR="00EA2307">
        <w:t xml:space="preserve">of </w:t>
      </w:r>
      <w:r w:rsidRPr="00BC081A">
        <w:t>Flow. This participant mentioned that the duration of experiment is perhaps not long enough for a person to understand if they have felt Flow or not. The participant said:</w:t>
      </w:r>
    </w:p>
    <w:p w14:paraId="619901F8" w14:textId="122D3A3B" w:rsidR="000F4BBC" w:rsidRPr="00BC081A" w:rsidRDefault="009C5C06" w:rsidP="000F4BBC">
      <w:pPr>
        <w:pStyle w:val="Quote"/>
      </w:pPr>
      <w:r w:rsidRPr="00BC081A">
        <w:t>“Perhaps longer typing tests- Hard to note "flow" without having a longer time period to experience it in.”</w:t>
      </w:r>
      <w:r w:rsidR="000F4BBC" w:rsidRPr="00BC081A">
        <w:br w:type="page"/>
      </w:r>
    </w:p>
    <w:p w14:paraId="7A8D0C54" w14:textId="77777777" w:rsidR="00597EDC" w:rsidRDefault="00597EDC" w:rsidP="00597EDC">
      <w:pPr>
        <w:pStyle w:val="Heading1"/>
        <w:widowControl w:val="0"/>
        <w:spacing w:before="0"/>
        <w:ind w:left="714" w:hanging="357"/>
        <w:jc w:val="both"/>
      </w:pPr>
      <w:bookmarkStart w:id="106" w:name="_Toc275209839"/>
      <w:r>
        <w:lastRenderedPageBreak/>
        <w:t>Discussion and Conclusion</w:t>
      </w:r>
      <w:bookmarkEnd w:id="106"/>
    </w:p>
    <w:p w14:paraId="101EFA37" w14:textId="23F55AC6" w:rsidR="00597EDC" w:rsidRPr="00C32B1D" w:rsidRDefault="00597EDC" w:rsidP="00597EDC">
      <w:r>
        <w:t>This chapter discusses and answers the research questions posed in chapter 1, based on results of</w:t>
      </w:r>
      <w:r w:rsidR="000C0A75">
        <w:t xml:space="preserve"> the experiments</w:t>
      </w:r>
      <w:r w:rsidR="00E400F5" w:rsidRPr="000C0A75">
        <w:t xml:space="preserve"> </w:t>
      </w:r>
      <w:r w:rsidRPr="000C0A75">
        <w:t>outlined in chapters 4 and 5</w:t>
      </w:r>
      <w:r>
        <w:t xml:space="preserve">. Contributions to both practice and academia are presented and an agenda for future research and conclusions of this doctoral dissertation are outlined.  </w:t>
      </w:r>
    </w:p>
    <w:p w14:paraId="0F71CD33" w14:textId="77777777" w:rsidR="00597EDC" w:rsidRDefault="00597EDC" w:rsidP="00597EDC">
      <w:pPr>
        <w:pStyle w:val="Heading2"/>
      </w:pPr>
      <w:bookmarkStart w:id="107" w:name="_Toc275209840"/>
      <w:r>
        <w:t>Research Findings</w:t>
      </w:r>
      <w:bookmarkEnd w:id="107"/>
    </w:p>
    <w:p w14:paraId="1BD9E05E" w14:textId="63654F80" w:rsidR="00597EDC" w:rsidRDefault="00597EDC" w:rsidP="00597EDC">
      <w:r>
        <w:t>Recall from section 1.1</w:t>
      </w:r>
      <w:r w:rsidR="00CF028F">
        <w:t xml:space="preserve"> that</w:t>
      </w:r>
      <w:r>
        <w:t xml:space="preserve">, the overall objective of this research was to understand the role of competition in engaging video </w:t>
      </w:r>
      <w:proofErr w:type="spellStart"/>
      <w:r w:rsidR="00547B98">
        <w:t>gameplay</w:t>
      </w:r>
      <w:r>
        <w:t>ers</w:t>
      </w:r>
      <w:proofErr w:type="spellEnd"/>
      <w:r>
        <w:t xml:space="preserve"> and, specifically:</w:t>
      </w:r>
    </w:p>
    <w:p w14:paraId="0B0D5B75" w14:textId="2E9059A2" w:rsidR="00566B5F" w:rsidRPr="00BC081A" w:rsidRDefault="00566B5F" w:rsidP="00566B5F">
      <w:pPr>
        <w:pStyle w:val="ListParagraph"/>
        <w:numPr>
          <w:ilvl w:val="0"/>
          <w:numId w:val="36"/>
        </w:numPr>
      </w:pPr>
      <w:r w:rsidRPr="00BC081A">
        <w:t xml:space="preserve">To investigate how situational competitiveness of video games impacts antecedents </w:t>
      </w:r>
      <w:r w:rsidR="00CF028F">
        <w:t>of</w:t>
      </w:r>
      <w:r w:rsidR="00CF028F" w:rsidRPr="00BC081A">
        <w:t xml:space="preserve"> </w:t>
      </w:r>
      <w:r w:rsidRPr="00BC081A">
        <w:t>Flow</w:t>
      </w:r>
      <w:r w:rsidR="00F61EA9">
        <w:t xml:space="preserve"> and satisfaction</w:t>
      </w:r>
      <w:r w:rsidRPr="00BC081A">
        <w:t xml:space="preserve">; </w:t>
      </w:r>
    </w:p>
    <w:p w14:paraId="1A7A522D" w14:textId="77777777" w:rsidR="00566B5F" w:rsidRPr="00BC081A" w:rsidRDefault="00566B5F" w:rsidP="00566B5F">
      <w:pPr>
        <w:pStyle w:val="ListParagraph"/>
      </w:pPr>
      <w:r w:rsidRPr="00BC081A">
        <w:t xml:space="preserve">To study how different modes of competition affect players’ perception of competitiveness and social presence in video games; and </w:t>
      </w:r>
    </w:p>
    <w:p w14:paraId="61AF4470" w14:textId="5381663E" w:rsidR="00566B5F" w:rsidRPr="00BC081A" w:rsidRDefault="00566B5F" w:rsidP="00566B5F">
      <w:pPr>
        <w:pStyle w:val="ListParagraph"/>
      </w:pPr>
      <w:r w:rsidRPr="00BC081A">
        <w:t xml:space="preserve">To explore the effect of the personality traits of </w:t>
      </w:r>
      <w:proofErr w:type="spellStart"/>
      <w:r w:rsidR="00547B98">
        <w:t>gameplay</w:t>
      </w:r>
      <w:r w:rsidRPr="00BC081A">
        <w:t>ers</w:t>
      </w:r>
      <w:proofErr w:type="spellEnd"/>
      <w:r w:rsidRPr="00BC081A">
        <w:t xml:space="preserve"> on their perception of competitiveness of video games. </w:t>
      </w:r>
    </w:p>
    <w:p w14:paraId="07ABCE29" w14:textId="771BA5D9" w:rsidR="00597EDC" w:rsidRDefault="00597EDC" w:rsidP="00597EDC">
      <w:pPr>
        <w:pStyle w:val="Heading3"/>
      </w:pPr>
      <w:bookmarkStart w:id="108" w:name="_Toc275209841"/>
      <w:r>
        <w:t xml:space="preserve">Research Objective 1: The Effect of </w:t>
      </w:r>
      <w:r w:rsidR="00566B5F">
        <w:t>Situational</w:t>
      </w:r>
      <w:r>
        <w:t xml:space="preserve"> Competitiveness on Flow</w:t>
      </w:r>
      <w:bookmarkEnd w:id="108"/>
      <w:r>
        <w:t xml:space="preserve"> </w:t>
      </w:r>
    </w:p>
    <w:p w14:paraId="6510C2C0" w14:textId="58FE89B2" w:rsidR="00597EDC" w:rsidRDefault="00597EDC" w:rsidP="00597EDC">
      <w:r>
        <w:t xml:space="preserve">The data analysis of this investigation’s research model showed that </w:t>
      </w:r>
      <w:r w:rsidR="00014857">
        <w:t>Situational</w:t>
      </w:r>
      <w:r>
        <w:t xml:space="preserve"> </w:t>
      </w:r>
      <w:r w:rsidR="00014857">
        <w:t>C</w:t>
      </w:r>
      <w:r>
        <w:t xml:space="preserve">ompetitiveness had a significant indirect effect on Flow experience and Satisfaction of video games. Flow had a high positive effect on Satisfaction, which in turn was predicted by the Arousal level of players. </w:t>
      </w:r>
      <w:r w:rsidR="00014857">
        <w:t>Situational</w:t>
      </w:r>
      <w:r>
        <w:t xml:space="preserve"> Competitiveness and Challenge, in turn, were determined to predict Arousal.  </w:t>
      </w:r>
    </w:p>
    <w:p w14:paraId="4F0C2C82" w14:textId="5BBDE9DD" w:rsidR="00597EDC" w:rsidRDefault="00597EDC" w:rsidP="00597EDC">
      <w:r>
        <w:t xml:space="preserve">The results supported the expectation confirmation theory in this context regarding the role of satisfaction of video </w:t>
      </w:r>
      <w:proofErr w:type="spellStart"/>
      <w:r w:rsidR="00547B98">
        <w:t>gameplay</w:t>
      </w:r>
      <w:r>
        <w:t>ers</w:t>
      </w:r>
      <w:proofErr w:type="spellEnd"/>
      <w:r>
        <w:t xml:space="preserve"> (H1, Flow </w:t>
      </w:r>
      <w:r>
        <w:sym w:font="Wingdings" w:char="F0E0"/>
      </w:r>
      <w:r>
        <w:t xml:space="preserve"> Satisfactio</w:t>
      </w:r>
      <w:r w:rsidR="007769B7">
        <w:t xml:space="preserve">n with a t-statistic value of </w:t>
      </w:r>
      <w:r w:rsidR="007769B7">
        <w:lastRenderedPageBreak/>
        <w:t>9</w:t>
      </w:r>
      <w:r>
        <w:t>.</w:t>
      </w:r>
      <w:r w:rsidR="007769B7">
        <w:t>93</w:t>
      </w:r>
      <w:r>
        <w:t xml:space="preserve">, significant at </w:t>
      </w:r>
      <w:r>
        <w:rPr>
          <w:i/>
        </w:rPr>
        <w:t>p</w:t>
      </w:r>
      <w:r>
        <w:t>&lt;</w:t>
      </w:r>
      <w:proofErr w:type="gramStart"/>
      <w:r>
        <w:t>.001</w:t>
      </w:r>
      <w:proofErr w:type="gramEnd"/>
      <w:r>
        <w:t>). That is, experiencing Flow confirms or positively disconfirms players’ expectations and creates a sense of satisfaction from playing the video game. In the validated research model, Flow was the only antecedent modelled to impact Satisfaction and accounted for 43% of the explained variance of this endogenous variable. Individuals who experience</w:t>
      </w:r>
      <w:r w:rsidR="0034220C">
        <w:t>d</w:t>
      </w:r>
      <w:r>
        <w:t xml:space="preserve"> Flow state more often, reported being more satisfied with the system than participants who did not experience Flow. </w:t>
      </w:r>
      <w:r w:rsidR="00707292">
        <w:t>Thus, Flow was found to be a st</w:t>
      </w:r>
      <w:r w:rsidR="00A66CBC">
        <w:t>rong predictor of Satisfaction.</w:t>
      </w:r>
      <w:r w:rsidR="00707292">
        <w:t xml:space="preserve"> </w:t>
      </w:r>
      <w:r>
        <w:t xml:space="preserve">This finding </w:t>
      </w:r>
      <w:r w:rsidR="00707292">
        <w:t xml:space="preserve">is </w:t>
      </w:r>
      <w:r>
        <w:t xml:space="preserve">in line with extant literature on Flow, which have reported Flow to have a significant effect on Satisfaction </w:t>
      </w:r>
      <w:r>
        <w:fldChar w:fldCharType="begin" w:fldLock="1"/>
      </w:r>
      <w:r w:rsidR="00AC1F7D">
        <w:instrText>ADDIN CSL_CITATION { "citationItems" : [ { "id" : "ITEM-1", "itemData" : { "DOI" : "10.1016/j.tele.2012.10.006", "ISSN" : "07365853", "author" : [ { "dropping-particle" : "", "family" : "Chang", "given" : "Chiao-Chen", "non-dropping-particle" : "", "parse-names" : false, "suffix" : "" } ], "container-title" : "Telematics and Informatics", "id" : "ITEM-1", "issue" : "4", "issued" : { "date-parts" : [ [ "2013", "11" ] ] }, "page" : "311-321", "publisher" : "Elsevier Ltd", "title" : "Examining users\u2032 intention to continue using social network games: A flow experience perspective", "type" : "article-journal", "volume" : "30" }, "uris" : [ "http://www.mendeley.com/documents/?uuid=dfff6517-ab79-4eb3-84a9-d6c734b69e03" ] }, { "id" : "ITEM-2", "itemData" : { "DOI" : "10.4018/jthi.2010040104", "ISBN" : "2010040104", "ISSN" : "1548-3908", "author" : [ { "dropping-particle" : "", "family" : "Hsu", "given" : "Chin-Lung", "non-dropping-particle" : "", "parse-names" : false, "suffix" : "" } ], "container-title" : "International Journal of Technology and Human Interaction", "id" : "ITEM-2", "issue" : "2", "issued" : { "date-parts" : [ [ "2010", "1" ] ] }, "page" : "47-64", "title" : "Exploring the Player Flow Experience in E-Game Playing", "type" : "article-journal", "volume" : "6" }, "uris" : [ "http://www.mendeley.com/documents/?uuid=2c59f4e3-4c45-415f-b12f-9f74dabd7e72" ] }, { "id" : "ITEM-3", "itemData" : { "DOI" : "10.1111/j.1467-8535.2006.00641.x", "ISSN" : "00071013", "author" : [ { "dropping-particle" : "", "family" : "Shin", "given" : "Namin", "non-dropping-particle" : "", "parse-names" : false, "suffix" : "" } ], "container-title" : "British Journal of Educational Technology", "id" : "ITEM-3", "issue" : "5", "issued" : { "date-parts" : [ [ "2006", "9" ] ] }, "page" : "705-720", "title" : "Online learner\u2019s \u2018flow\u2019 experience: an empirical study", "type" : "article-journal", "volume" : "37" }, "uris" : [ "http://www.mendeley.com/documents/?uuid=12fba3aa-24a0-446d-bd7b-b671851e2d51" ] } ], "mendeley" : { "manualFormatting" : "(e.g. C.-C. Chang, 2013; Chin-Lung Hsu, 2010; Shin, 2006)", "previouslyFormattedCitation" : "(C.-C. Chang, 2013; Chin-Lung Hsu, 2010; Shin, 2006)" }, "properties" : { "noteIndex" : 0 }, "schema" : "https://github.com/citation-style-language/schema/raw/master/csl-citation.json" }</w:instrText>
      </w:r>
      <w:r>
        <w:fldChar w:fldCharType="separate"/>
      </w:r>
      <w:r w:rsidR="004453A1" w:rsidRPr="004453A1">
        <w:rPr>
          <w:noProof/>
        </w:rPr>
        <w:t>(</w:t>
      </w:r>
      <w:r w:rsidR="00707292">
        <w:rPr>
          <w:noProof/>
        </w:rPr>
        <w:t xml:space="preserve">e.g. </w:t>
      </w:r>
      <w:r w:rsidR="004453A1" w:rsidRPr="004453A1">
        <w:rPr>
          <w:noProof/>
        </w:rPr>
        <w:t>C.-C. Chang, 2013; Chin-Lung Hsu, 2010; Shin, 2006)</w:t>
      </w:r>
      <w:r>
        <w:fldChar w:fldCharType="end"/>
      </w:r>
      <w:r>
        <w:t xml:space="preserve">. </w:t>
      </w:r>
    </w:p>
    <w:p w14:paraId="211456D6" w14:textId="3F347445" w:rsidR="00597EDC" w:rsidRDefault="00597EDC" w:rsidP="00597EDC">
      <w:r>
        <w:t xml:space="preserve">Flow </w:t>
      </w:r>
      <w:proofErr w:type="gramStart"/>
      <w:r>
        <w:t>was proposed to be impacted</w:t>
      </w:r>
      <w:proofErr w:type="gramEnd"/>
      <w:r>
        <w:t xml:space="preserve"> by Situational Competitiveness via the mediating variables of Challenge and Arousal. Flow theory explains that the state of optimal experience can be achieved through any task that enables the person to practice their skills by challenging them to the extent that they have the required skills for performing well in the activity. That is, the balance of skill and challenge in a task makes it more engaging, creating the state of Flow. It was expected that this study’s experiment would create this balance of challenge and skill for players by increasing challenge of an activity (i.e. learning to type faster) that is not inherently challenging. However, </w:t>
      </w:r>
      <w:r w:rsidR="009C0EC9">
        <w:t xml:space="preserve">it was </w:t>
      </w:r>
      <w:r>
        <w:t xml:space="preserve">found that Challenge did not have a significant effect on Flow (H2, Challenge </w:t>
      </w:r>
      <w:r>
        <w:sym w:font="Wingdings" w:char="F0E0"/>
      </w:r>
      <w:r>
        <w:t xml:space="preserve"> Flow </w:t>
      </w:r>
      <w:r w:rsidR="007769B7">
        <w:t>with a t-statistic value of 1.23</w:t>
      </w:r>
      <w:r>
        <w:t>).</w:t>
      </w:r>
    </w:p>
    <w:p w14:paraId="245420E4" w14:textId="4B65022E" w:rsidR="00597EDC" w:rsidRDefault="00597EDC" w:rsidP="00597EDC">
      <w:r>
        <w:t xml:space="preserve">There are two possible explanations for the lack of significance in the relationship between Challenge and Flow in results. The first could be attributed to the mediating role of Arousal in the context of video </w:t>
      </w:r>
      <w:r w:rsidR="00547B98">
        <w:t>gameplay</w:t>
      </w:r>
      <w:r>
        <w:t xml:space="preserve">ing. A review of extant literature showed that no other study has tested Arousal, Challenge, and Flow in one structural model. As mentioned in Chapter 3, </w:t>
      </w:r>
      <w:r w:rsidRPr="00610A93">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"manualFormatting" : "Tauer &amp; Harackiewicz (1999)", "previouslyFormattedCitation" : "(Tauer &amp; Harackiewicz, 1999)" }, "properties" : { "noteIndex" : 0 }, "schema" : "https://github.com/citation-style-language/schema/raw/master/csl-citation.json" }</w:instrText>
      </w:r>
      <w:r w:rsidRPr="00610A93">
        <w:fldChar w:fldCharType="separate"/>
      </w:r>
      <w:r w:rsidRPr="00610A93">
        <w:rPr>
          <w:noProof/>
        </w:rPr>
        <w:t>Tauer &amp; Harackiewicz (1999)</w:t>
      </w:r>
      <w:r w:rsidRPr="00610A93">
        <w:fldChar w:fldCharType="end"/>
      </w:r>
      <w:r>
        <w:t xml:space="preserve"> showed that Arousal mediates the relationship between </w:t>
      </w:r>
      <w:r>
        <w:lastRenderedPageBreak/>
        <w:t>competition and some of the dimensions of Flow, but, these authors did not included the construct of Challenge in their model. Thus, it is possible that Arousal fully mediated the relationship between Challenge and Flow. That is, when players are challenged, they experienc</w:t>
      </w:r>
      <w:r w:rsidR="0034220C">
        <w:t>e Arousal, which, in turn, helped</w:t>
      </w:r>
      <w:r>
        <w:t xml:space="preserve"> them enjoy the game more and become involved more deeply. </w:t>
      </w:r>
      <w:r w:rsidR="004B719F">
        <w:t xml:space="preserve">The results of </w:t>
      </w:r>
      <w:r w:rsidR="003D40C4">
        <w:t xml:space="preserve">the </w:t>
      </w:r>
      <w:r w:rsidR="004B719F">
        <w:t xml:space="preserve">mediation test further supported this claim, showing that Challenge does not have a direct effect on Flow in the model, but its effect through Arousal on Flow is highly significant. </w:t>
      </w:r>
    </w:p>
    <w:p w14:paraId="4A7E99CD" w14:textId="7A549358" w:rsidR="00597EDC" w:rsidRDefault="00597EDC" w:rsidP="00597EDC">
      <w:r>
        <w:t>Another potential explanation for the lack of significance in the relationship between perception of Challenge and experiencing Flow could be attributed to the fact that the participants of the main experiment were not skilful enough at the game task</w:t>
      </w:r>
      <w:r w:rsidR="00D8374F">
        <w:t xml:space="preserve">. This could arise from the heavy reliance on autocorrect when typing for younger individuals, which </w:t>
      </w:r>
      <w:r w:rsidR="005A46E2">
        <w:t>slowed advancement</w:t>
      </w:r>
      <w:r w:rsidR="00D8374F">
        <w:t xml:space="preserve"> in the game due to making </w:t>
      </w:r>
      <w:r w:rsidR="005A46E2">
        <w:t xml:space="preserve">typing </w:t>
      </w:r>
      <w:r w:rsidR="00D8374F">
        <w:t xml:space="preserve">mistakes and not fixing them. </w:t>
      </w:r>
      <w:r>
        <w:t xml:space="preserve">As such, they would lose their balance of Challenge and Skill. This would create anxiety that results in the lack of enjoyment, immersion, and Flow. However, Challenge had significant (medium size) effect on all the dimensions of Flow (i.e. Focused Immersion, Temporal Dissociation, and Heightened Enjoyment) as well as the second order construct of Flow itself. </w:t>
      </w:r>
      <w:r w:rsidR="003A1818">
        <w:t xml:space="preserve">Therefore, it is unlikely that the lack of skills in the experiment’s typing game was the result of having a non-significant path between Challenge and Flow. </w:t>
      </w:r>
      <w:r>
        <w:t>These results show that in the absence of Arousal, Challenge would be a significant predictor of Flow as the theory of Flow explains.</w:t>
      </w:r>
      <w:r w:rsidR="003A1818">
        <w:t xml:space="preserve">  </w:t>
      </w:r>
    </w:p>
    <w:p w14:paraId="75DF388B" w14:textId="358E5206" w:rsidR="00597EDC" w:rsidRDefault="00597EDC" w:rsidP="00597EDC">
      <w:r>
        <w:t xml:space="preserve">As expected, Arousal appeared to be an important mediator for the relationship between </w:t>
      </w:r>
      <w:r w:rsidR="00014857">
        <w:t>Situational</w:t>
      </w:r>
      <w:r>
        <w:t xml:space="preserve"> Competitiveness and Flow (H3, Arousal </w:t>
      </w:r>
      <w:r>
        <w:sym w:font="Wingdings" w:char="F0E0"/>
      </w:r>
      <w:r>
        <w:t xml:space="preserve"> Flow </w:t>
      </w:r>
      <w:r w:rsidR="007769B7">
        <w:t>with a t-statistic value of 6.66</w:t>
      </w:r>
      <w:r>
        <w:t xml:space="preserve">, significant at </w:t>
      </w:r>
      <w:r>
        <w:rPr>
          <w:i/>
        </w:rPr>
        <w:t>p</w:t>
      </w:r>
      <w:r>
        <w:t>&lt;</w:t>
      </w:r>
      <w:proofErr w:type="gramStart"/>
      <w:r>
        <w:t>.001</w:t>
      </w:r>
      <w:proofErr w:type="gramEnd"/>
      <w:r>
        <w:t xml:space="preserve">). Emotional </w:t>
      </w:r>
      <w:r w:rsidR="0034220C">
        <w:t>A</w:t>
      </w:r>
      <w:r>
        <w:t xml:space="preserve">rousal influences how much individuals pay attention to an activity, making them more engaged and experience </w:t>
      </w:r>
      <w:proofErr w:type="gramStart"/>
      <w:r>
        <w:t>Flow</w:t>
      </w:r>
      <w:proofErr w:type="gramEnd"/>
      <w:r>
        <w:t xml:space="preserve"> during that activity. Even though </w:t>
      </w:r>
      <w:r>
        <w:lastRenderedPageBreak/>
        <w:t xml:space="preserve">extant literature mainly supports the effect of Arousal on the attention dimension of Flow state, the correlation values of the main study showed that in addition to the Focused Immersion dimension, Arousal significantly affects Temporal Dissociation and Heightened Enjoyment. In fact, the effect of Arousal on these two dimensions was stronger than its effect on Focused Immersion. These results show that being emotionally aroused – as a result of increased challenge during gameplay – makes the video game more enjoyable for participants, who also lose track of time. Overall, the results strongly supported the hypothesis that Arousal predicts Flow and mediates the relationships of Challenge and </w:t>
      </w:r>
      <w:r w:rsidR="00014857">
        <w:t>Situational</w:t>
      </w:r>
      <w:r>
        <w:t xml:space="preserve"> Competitiveness with Flow.</w:t>
      </w:r>
    </w:p>
    <w:p w14:paraId="0F891BFE" w14:textId="76DC4E9C" w:rsidR="00597EDC" w:rsidRPr="00474AED" w:rsidRDefault="00597EDC" w:rsidP="00597EDC">
      <w:r>
        <w:t>As hypothesized, Arousal was predicted by the level of Perceived Challenge (H</w:t>
      </w:r>
      <w:r w:rsidR="007769B7">
        <w:t>4 with t-statistic value of 2.69</w:t>
      </w:r>
      <w:r>
        <w:t xml:space="preserve">, significant at </w:t>
      </w:r>
      <w:r>
        <w:rPr>
          <w:i/>
        </w:rPr>
        <w:t>p</w:t>
      </w:r>
      <w:r>
        <w:t>&lt;</w:t>
      </w:r>
      <w:proofErr w:type="gramStart"/>
      <w:r>
        <w:t>.01</w:t>
      </w:r>
      <w:proofErr w:type="gramEnd"/>
      <w:r>
        <w:t xml:space="preserve">). As Flow theory explains, being emotionally excited and aroused is a positive consequence of having balance between the level of Challenge and skill </w:t>
      </w:r>
      <w:r w:rsidRPr="009452AF">
        <w:fldChar w:fldCharType="begin" w:fldLock="1"/>
      </w:r>
      <w:r w:rsidR="00AC1F7D">
        <w:instrText>ADDIN CSL_CITATION { "citationItems" : [ { "id" : "ITEM-1", "itemData" : { "author" : [ { "dropping-particle" : "", "family" : "Csikszentmihalyi", "given" : "M", "non-dropping-particle" : "", "parse-names" : false, "suffix" : "" } ], "id" : "ITEM-1", "issued" : { "date-parts" : [ [ "1997" ] ] }, "publisher" : "Basic Books", "title" : "Finding flow: The psychology of engagement with everyday life", "type" : "book" }, "uris" : [ "http://www.mendeley.com/documents/?uuid=294e388b-5672-4078-9925-ceecb8292ef7" ] } ], "mendeley" : { "previouslyFormattedCitation" : "(Csikszentmihalyi, 1997)" }, "properties" : { "noteIndex" : 0 }, "schema" : "https://github.com/citation-style-language/schema/raw/master/csl-citation.json" }</w:instrText>
      </w:r>
      <w:r w:rsidRPr="009452AF">
        <w:fldChar w:fldCharType="separate"/>
      </w:r>
      <w:r w:rsidRPr="009452AF">
        <w:rPr>
          <w:noProof/>
        </w:rPr>
        <w:t>(Csikszentmihalyi, 1997)</w:t>
      </w:r>
      <w:r w:rsidRPr="009452AF">
        <w:fldChar w:fldCharType="end"/>
      </w:r>
      <w:r>
        <w:t>. In fact, in the context of educational video gameplaying, in which participants lack challenge to be engaged in the learning process, increasing the level of Challenge as perceived by the learners results in the balance of Challenge and skill that is required for being engaged in the task and experiencing the state of Flow. As expected</w:t>
      </w:r>
      <w:r w:rsidR="003A1818">
        <w:t>,</w:t>
      </w:r>
      <w:r>
        <w:t xml:space="preserve"> Arousal was a very good candidate for mediating this relationship, explaining the emotional process through which individuals experience Flow as a result of the increase in Challenge. The physiological reactions to new challenges, which were also perceived by participants with subjective reports of Arousal, explains why they would be able to be more engaged in a challenging activity, in particular a video game, compared to the situation that the participant is not challenged to perform better in that activity. </w:t>
      </w:r>
    </w:p>
    <w:p w14:paraId="1A039D8B" w14:textId="09E04879" w:rsidR="00597EDC" w:rsidRPr="00810530" w:rsidRDefault="00597EDC" w:rsidP="00597EDC">
      <w:r>
        <w:t xml:space="preserve">The main hypotheses to address the first research objective were regarding the effect of </w:t>
      </w:r>
      <w:r w:rsidR="00014857">
        <w:t>Situational</w:t>
      </w:r>
      <w:r>
        <w:t xml:space="preserve"> Competitiveness on Challenge and Arousal. These two hypotheses (H5: </w:t>
      </w:r>
      <w:r w:rsidR="00014857">
        <w:t>Situational</w:t>
      </w:r>
      <w:r>
        <w:t xml:space="preserve"> </w:t>
      </w:r>
      <w:r>
        <w:lastRenderedPageBreak/>
        <w:t xml:space="preserve">Competitiveness </w:t>
      </w:r>
      <w:r>
        <w:sym w:font="Wingdings" w:char="F0E0"/>
      </w:r>
      <w:r>
        <w:t xml:space="preserve"> Arousal; and H6: </w:t>
      </w:r>
      <w:r w:rsidR="00014857">
        <w:t>Situational</w:t>
      </w:r>
      <w:r>
        <w:t xml:space="preserve"> Competitiveness </w:t>
      </w:r>
      <w:r>
        <w:sym w:font="Wingdings" w:char="F0E0"/>
      </w:r>
      <w:r>
        <w:t xml:space="preserve"> Challenge) were both supported (with t-statistic value of 2.44, significant at </w:t>
      </w:r>
      <w:r>
        <w:rPr>
          <w:i/>
        </w:rPr>
        <w:t>p</w:t>
      </w:r>
      <w:r>
        <w:t>&lt;</w:t>
      </w:r>
      <w:proofErr w:type="gramStart"/>
      <w:r>
        <w:t>.01</w:t>
      </w:r>
      <w:proofErr w:type="gramEnd"/>
      <w:r>
        <w:t xml:space="preserve"> for H5 and t-statistic value of 6.</w:t>
      </w:r>
      <w:r w:rsidR="00542BB8">
        <w:t>71</w:t>
      </w:r>
      <w:r>
        <w:t xml:space="preserve">, significant at </w:t>
      </w:r>
      <w:r>
        <w:rPr>
          <w:i/>
        </w:rPr>
        <w:t>p</w:t>
      </w:r>
      <w:r>
        <w:t xml:space="preserve">&lt;.001 for H6). Participants who perceived the video games to be more competitive were more excited about the game and reported their emotional Arousal level to be higher. Based on SDT, intrinsic rewards create motivation by making a task more exciting for a person. It is speculated that video </w:t>
      </w:r>
      <w:proofErr w:type="spellStart"/>
      <w:r w:rsidR="00547B98">
        <w:t>gameplay</w:t>
      </w:r>
      <w:r>
        <w:t>ers</w:t>
      </w:r>
      <w:proofErr w:type="spellEnd"/>
      <w:r>
        <w:t xml:space="preserve"> of more competitive modes were directed towards the goal of receiving rewards from winning the gam</w:t>
      </w:r>
      <w:r w:rsidR="00F61EA9">
        <w:t>e</w:t>
      </w:r>
      <w:r>
        <w:t xml:space="preserve">. This reward was implicit in achieving higher ego-based satisfaction due to the feeling of having performed better than someone else. </w:t>
      </w:r>
      <w:r w:rsidR="003A1818">
        <w:t>This kind of goal</w:t>
      </w:r>
      <w:r>
        <w:t xml:space="preserve"> can increase the sense of competence that is at the center of SDT.  This sense of competence makes the game more exciting and, as a result, participants report higher levels of Arousal. In addition, more competitive situations challenge players to perform better in order to achieve the goal of winning and receiving self-directed rewards in an intrinsically motivating environment. In more competitive situations, players wish to avoid the negative feelings associated with losing and reach positive </w:t>
      </w:r>
      <w:r w:rsidR="00F61EA9">
        <w:t>e</w:t>
      </w:r>
      <w:r>
        <w:t>ffects that are linked to winning the game.</w:t>
      </w:r>
    </w:p>
    <w:p w14:paraId="17BF8ECD" w14:textId="681FDF40" w:rsidR="00597EDC" w:rsidRDefault="00597EDC" w:rsidP="00597EDC">
      <w:pPr>
        <w:pStyle w:val="Heading3"/>
      </w:pPr>
      <w:bookmarkStart w:id="109" w:name="_Toc275209842"/>
      <w:r>
        <w:t xml:space="preserve">Research Objective 2: The Role of Competition Mode on the Level of </w:t>
      </w:r>
      <w:r w:rsidR="00014857">
        <w:t>Situational</w:t>
      </w:r>
      <w:r>
        <w:t xml:space="preserve"> Competitiveness and Social Presence</w:t>
      </w:r>
      <w:bookmarkEnd w:id="109"/>
    </w:p>
    <w:p w14:paraId="53A0CAA6" w14:textId="0883D2A6" w:rsidR="00740B44" w:rsidRDefault="00597EDC" w:rsidP="00597EDC">
      <w:r>
        <w:t xml:space="preserve">Perception of Social Presence was hypothesized to have an important role in the relationship between the mode of competition and the extent to which players perceive the video game to be competitive. </w:t>
      </w:r>
      <w:r w:rsidR="00113FFE">
        <w:t>This</w:t>
      </w:r>
      <w:r w:rsidR="00A66CBC">
        <w:t xml:space="preserve"> </w:t>
      </w:r>
      <w:r>
        <w:t xml:space="preserve">was supported in empirical findings </w:t>
      </w:r>
      <w:r w:rsidR="009C0EC9">
        <w:t xml:space="preserve">of this research, </w:t>
      </w:r>
      <w:r>
        <w:t xml:space="preserve">where the relationships between Social Presence and </w:t>
      </w:r>
      <w:r w:rsidR="00014857">
        <w:t>Situational</w:t>
      </w:r>
      <w:r>
        <w:t xml:space="preserve"> Competitiveness (H7) and Competition Mode and Social Presence (H8) were highly significant (with t-statistic value of 3.3</w:t>
      </w:r>
      <w:r w:rsidR="00542BB8">
        <w:t>0</w:t>
      </w:r>
      <w:r>
        <w:t xml:space="preserve"> for H7 and with t-statistic value of </w:t>
      </w:r>
      <w:r w:rsidR="00542BB8">
        <w:t>4.06</w:t>
      </w:r>
      <w:r>
        <w:t xml:space="preserve"> for H8, both significant at </w:t>
      </w:r>
      <w:r>
        <w:rPr>
          <w:i/>
        </w:rPr>
        <w:t>p</w:t>
      </w:r>
      <w:r>
        <w:t>&lt;</w:t>
      </w:r>
      <w:proofErr w:type="gramStart"/>
      <w:r>
        <w:t>.001</w:t>
      </w:r>
      <w:proofErr w:type="gramEnd"/>
      <w:r>
        <w:t xml:space="preserve">).  The perception of other individual’s presence triggers the motivation to compete and the feeling that the environment </w:t>
      </w:r>
      <w:r>
        <w:lastRenderedPageBreak/>
        <w:t>engenders competition. People tend to compare themselves to one another, which is more noticeable when they are in the presence of other people, even through an IT medium such as a video game. Moreover, the mode of competition in a video game has a defining role in the reported level of Social Presence. Playing against a person who is familiar to the player creates the highest level of Social Presence. This mode of the game can provide the feeling of having a richer communication medium, thus, experiencing higher Social Presence compared to the situation in which one plays ag</w:t>
      </w:r>
      <w:r w:rsidR="009F25A8">
        <w:t>ainst a stranger or a computer.</w:t>
      </w:r>
      <w:r>
        <w:t xml:space="preserve"> As predicted, competing against a computer resulted in the lowest levels of Social Presence. </w:t>
      </w:r>
      <w:r w:rsidR="00740B44">
        <w:t xml:space="preserve">In line with extant literature </w:t>
      </w:r>
      <w:r w:rsidR="00740B44">
        <w:fldChar w:fldCharType="begin" w:fldLock="1"/>
      </w:r>
      <w:r w:rsidR="00AC1F7D">
        <w:instrText>ADDIN CSL_CITATION { "citationItems" : [ { "id" : "ITEM-1", "itemData" : { "DOI" : "10.1016/j.chb.2007.11.002", "ISSN" : "07475632", "author" : [ { "dropping-particle" : "", "family" : "Weibel", "given" : "David", "non-dropping-particle" : "", "parse-names" : false, "suffix" : "" }, { "dropping-particle" : "", "family" : "Wissmath", "given" : "Bartholom\u00e4us", "non-dropping-particle" : "", "parse-names" : false, "suffix" : "" }, { "dropping-particle" : "", "family" : "Habegger", "given" : "Stephan", "non-dropping-particle" : "", "parse-names" : false, "suffix" : "" }, { "dropping-particle" : "", "family" : "Steiner", "given" : "Yves", "non-dropping-particle" : "", "parse-names" : false, "suffix" : "" }, { "dropping-particle" : "", "family" : "Groner", "given" : "Rudolf", "non-dropping-particle" : "", "parse-names" : false, "suffix" : "" } ], "container-title" : "Computers in Human Behavior", "id" : "ITEM-1", "issue" : "5", "issued" : { "date-parts" : [ [ "2008", "9" ] ] }, "page" : "2274-2291", "title" : "Playing online games against computer- vs. human-controlled opponents: Effects on presence, flow, and enjoyment", "type" : "article-journal", "volume" : "24" }, "uris" : [ "http://www.mendeley.com/documents/?uuid=52281d3f-74cc-4c72-84c0-7e06eec2fe20" ] }, { "id" : "ITEM-2", "itemData" : { "DOI" : "10.1162/pres.15.4.381", "ISSN" : "1054-7460", "author" : [ { "dropping-particle" : "", "family" : "Ravaja", "given" : "Niklas", "non-dropping-particle" : "", "parse-names" : false, "suffix" : "" }, { "dropping-particle" : "", "family" : "Saari", "given" : "Timo", "non-dropping-particle" : "", "parse-names" : false, "suffix" : "" }, { "dropping-particle" : "", "family" : "Turpeinen", "given" : "Marko", "non-dropping-particle" : "", "parse-names" : false, "suffix" : "" }, { "dropping-particle" : "", "family" : "Laarni", "given" : "Jari", "non-dropping-particle" : "", "parse-names" : false, "suffix" : "" }, { "dropping-particle" : "", "family" : "Salminen", "given" : "Mikko", "non-dropping-particle" : "", "parse-names" : false, "suffix" : "" }, { "dropping-particle" : "", "family" : "Kivikangas", "given" : "Matias", "non-dropping-particle" : "", "parse-names" : false, "suffix" : "" } ], "container-title" : "Presence: Teleoperators and Virtual Environments", "id" : "ITEM-2", "issue" : "4", "issued" : { "date-parts" : [ [ "2006", "8" ] ] }, "page" : "381-392", "title" : "Spatial Presence and Emotions during Video Game Playing: Does It Matter with Whom You Play?", "type" : "article-journal", "volume" : "15" }, "uris" : [ "http://www.mendeley.com/documents/?uuid=2f31f848-2c6e-4c66-982b-31f77631bcbb" ] } ], "mendeley" : { "previouslyFormattedCitation" : "(Ravaja et al., 2006; David Weibel et al., 2008)" }, "properties" : { "noteIndex" : 0 }, "schema" : "https://github.com/citation-style-language/schema/raw/master/csl-citation.json" }</w:instrText>
      </w:r>
      <w:r w:rsidR="00740B44">
        <w:fldChar w:fldCharType="separate"/>
      </w:r>
      <w:r w:rsidR="00740B44" w:rsidRPr="00740B44">
        <w:rPr>
          <w:noProof/>
        </w:rPr>
        <w:t>(Ravaja et al., 2006; David Weibel et al., 2008)</w:t>
      </w:r>
      <w:r w:rsidR="00740B44">
        <w:fldChar w:fldCharType="end"/>
      </w:r>
      <w:r w:rsidR="00740B44">
        <w:t xml:space="preserve">, playing against a stranger, playing against computer, and no competition modes had </w:t>
      </w:r>
      <w:r w:rsidR="005A46E2">
        <w:t xml:space="preserve">progressively </w:t>
      </w:r>
      <w:r w:rsidR="00740B44">
        <w:t>lower effect on the level of Social Presence.</w:t>
      </w:r>
    </w:p>
    <w:p w14:paraId="7212368C" w14:textId="7778178B" w:rsidR="00597EDC" w:rsidRPr="000D697F" w:rsidRDefault="00597EDC" w:rsidP="00597EDC">
      <w:r>
        <w:t xml:space="preserve">Different modes of competition were also shown to have a significant direct effect on the level of </w:t>
      </w:r>
      <w:r w:rsidR="00014857">
        <w:t>Situational</w:t>
      </w:r>
      <w:r>
        <w:t xml:space="preserve"> Competitiveness during video gameplaying (H9, Mode </w:t>
      </w:r>
      <w:r>
        <w:sym w:font="Wingdings" w:char="F0E0"/>
      </w:r>
      <w:r>
        <w:t xml:space="preserve"> </w:t>
      </w:r>
      <w:r w:rsidR="00014857">
        <w:t>Situational</w:t>
      </w:r>
      <w:r>
        <w:t xml:space="preserve"> Competiveness with t-statistic of </w:t>
      </w:r>
      <w:r w:rsidR="00542BB8">
        <w:t>5.55</w:t>
      </w:r>
      <w:r>
        <w:t xml:space="preserve">, significant at </w:t>
      </w:r>
      <w:r>
        <w:rPr>
          <w:i/>
        </w:rPr>
        <w:t>p</w:t>
      </w:r>
      <w:r>
        <w:t>&lt;</w:t>
      </w:r>
      <w:proofErr w:type="gramStart"/>
      <w:r>
        <w:t>.001</w:t>
      </w:r>
      <w:proofErr w:type="gramEnd"/>
      <w:r>
        <w:t xml:space="preserve">). As hypothesized, the mode of competition in a video game is a situational variable that can be manipulated to influence the perception of competition among video </w:t>
      </w:r>
      <w:proofErr w:type="spellStart"/>
      <w:r w:rsidR="00547B98">
        <w:t>gameplay</w:t>
      </w:r>
      <w:r>
        <w:t>ers</w:t>
      </w:r>
      <w:proofErr w:type="spellEnd"/>
      <w:r>
        <w:t xml:space="preserve">. As </w:t>
      </w:r>
      <w:r w:rsidRPr="00810122">
        <w:t xml:space="preserve">Social Comparison Theory </w:t>
      </w:r>
      <w:r w:rsidRPr="00810122">
        <w:rPr>
          <w:noProof/>
        </w:rPr>
        <w:fldChar w:fldCharType="begin" w:fldLock="1"/>
      </w:r>
      <w:r w:rsidR="00AC1F7D">
        <w:rPr>
          <w:noProof/>
        </w:rPr>
        <w:instrText>ADDIN CSL_CITATION { "citationItems" : [ { "id" : "ITEM-1", "itemData" : { "author" : [ { "dropping-particle" : "", "family" : "Festinger", "given" : "Leon", "non-dropping-particle" : "", "parse-names" : false, "suffix" : "" } ], "container-title" : "Human relations", "id" : "ITEM-1", "issue" : "2", "issued" : { "date-parts" : [ [ "1954" ] ] }, "page" : "117-140", "publisher" : "Bobbs-Merrill", "title" : "A theory of social comparison processes", "type" : "article-journal", "volume" : "7" }, "uris" : [ "http://www.mendeley.com/documents/?uuid=ca4fef55-77b2-4d55-85ca-ef9635357392" ] } ], "mendeley" : { "previouslyFormattedCitation" : "(Festinger, 1954)" }, "properties" : { "noteIndex" : 0 }, "schema" : "https://github.com/citation-style-language/schema/raw/master/csl-citation.json" }</w:instrText>
      </w:r>
      <w:r w:rsidRPr="00810122">
        <w:rPr>
          <w:noProof/>
        </w:rPr>
        <w:fldChar w:fldCharType="separate"/>
      </w:r>
      <w:r w:rsidRPr="00810122">
        <w:rPr>
          <w:noProof/>
        </w:rPr>
        <w:t>(Festinger, 1954)</w:t>
      </w:r>
      <w:r w:rsidRPr="00810122">
        <w:rPr>
          <w:noProof/>
        </w:rPr>
        <w:fldChar w:fldCharType="end"/>
      </w:r>
      <w:r>
        <w:rPr>
          <w:noProof/>
        </w:rPr>
        <w:t xml:space="preserve"> explains, comparison is a strong contextual criterion, which the results of this research have shown to be influenced by the conditions of the competition (i.e. playing against a human being or computer). Playing against a friend has an increased effect on this comparison by furthering the perception of competitiveness. </w:t>
      </w:r>
    </w:p>
    <w:p w14:paraId="3FC38295" w14:textId="4B250595" w:rsidR="00597EDC" w:rsidRDefault="00597EDC" w:rsidP="00597EDC">
      <w:pPr>
        <w:pStyle w:val="Heading3"/>
      </w:pPr>
      <w:bookmarkStart w:id="110" w:name="_Toc275209843"/>
      <w:r>
        <w:t xml:space="preserve">Research Objective 3: The Effect of Personality Traits on </w:t>
      </w:r>
      <w:r w:rsidR="00014857">
        <w:t>Situational</w:t>
      </w:r>
      <w:r>
        <w:t xml:space="preserve"> Competitiveness</w:t>
      </w:r>
      <w:bookmarkEnd w:id="110"/>
    </w:p>
    <w:p w14:paraId="4A75735B" w14:textId="4493450B" w:rsidR="00597EDC" w:rsidRDefault="00597EDC" w:rsidP="00597EDC">
      <w:r>
        <w:t xml:space="preserve">The last tested hypothesis in the proposed model addressed the other type of competition that can be associated with individual personality traits. </w:t>
      </w:r>
      <w:r w:rsidR="009C0EC9">
        <w:t>This study’s</w:t>
      </w:r>
      <w:r>
        <w:t xml:space="preserve"> findings show that </w:t>
      </w:r>
      <w:r w:rsidR="00014857">
        <w:lastRenderedPageBreak/>
        <w:t>Dispositional</w:t>
      </w:r>
      <w:r>
        <w:t xml:space="preserve"> Competitiveness has a significant effect on </w:t>
      </w:r>
      <w:r w:rsidR="00014857">
        <w:t>Situational</w:t>
      </w:r>
      <w:r>
        <w:t xml:space="preserve"> Competitiveness (H1</w:t>
      </w:r>
      <w:r w:rsidR="00542BB8">
        <w:t>0 with t-statistic value of 3.63</w:t>
      </w:r>
      <w:r>
        <w:t xml:space="preserve">, significant a </w:t>
      </w:r>
      <w:r>
        <w:rPr>
          <w:i/>
        </w:rPr>
        <w:t>p</w:t>
      </w:r>
      <w:r>
        <w:t>&lt;</w:t>
      </w:r>
      <w:proofErr w:type="gramStart"/>
      <w:r>
        <w:t>.001</w:t>
      </w:r>
      <w:proofErr w:type="gramEnd"/>
      <w:r>
        <w:t xml:space="preserve">). This indicates that the </w:t>
      </w:r>
      <w:r w:rsidR="002B4C6F">
        <w:t xml:space="preserve">reactions of video </w:t>
      </w:r>
      <w:proofErr w:type="spellStart"/>
      <w:r w:rsidR="002B4C6F">
        <w:t>gameplayers</w:t>
      </w:r>
      <w:proofErr w:type="spellEnd"/>
      <w:r w:rsidR="002B4C6F">
        <w:t xml:space="preserve"> are</w:t>
      </w:r>
      <w:r>
        <w:t xml:space="preserve"> a function of both situational factors (offering of various competition modes) as well as individual personality (the innate competitiveness of the individual)</w:t>
      </w:r>
      <w:r w:rsidR="005C586D">
        <w:t>.</w:t>
      </w:r>
      <w:r>
        <w:t xml:space="preserve"> Participants who reported higher levels of </w:t>
      </w:r>
      <w:r w:rsidR="00014857">
        <w:t>Dispositional</w:t>
      </w:r>
      <w:r>
        <w:t xml:space="preserve"> Competitiveness – for example they indicated that they enjoy working in situations involving competition or it is important for them to perform better than others – perceived the game to be more competitive compared to the individuals who had low </w:t>
      </w:r>
      <w:r w:rsidR="00014857">
        <w:t>Dispositional</w:t>
      </w:r>
      <w:r>
        <w:t xml:space="preserve"> Competitiveness. </w:t>
      </w:r>
      <w:r w:rsidR="004C250B">
        <w:t xml:space="preserve">In alignment with extant literature </w:t>
      </w:r>
      <w:r w:rsidR="004C250B">
        <w:fldChar w:fldCharType="begin" w:fldLock="1"/>
      </w:r>
      <w:r w:rsidR="00AC1F7D">
        <w:instrText>ADDIN CSL_CITATION { "citationItems" : [ { "id" : "ITEM-1", "itemData" : { "ISSN" : "0022-3514", "PMID" : "9418284", "abstract" : "The performance of individuals within groups, and of groups as units, is the product of immediate goal structures and personality differences pertinent to those goals among group members. A level-of-analysis approach linked the dimension of agreeableness to situated competitiveness and task performance in group settings. Hypotheses were (a) individual differences in self-rated and other-rated competitiveness are related (inversely) to the Big Five dimension of agreeableness, (b) immediately situated promotive and contrient goal structures influence self-ratings of competitiveness, (c) immediate goal structures differentially activate competitiveness to affect task performance in groups, and (d) agreeableness effects on task performance are partially mediated by competitiveness. Structural equation modeling corroborated hypotheses about the links among agreeableness, competitiveness, and task performance.", "author" : [ { "dropping-particle" : "", "family" : "Graziano", "given" : "William G", "non-dropping-particle" : "", "parse-names" : false, "suffix" : "" }, { "dropping-particle" : "", "family" : "Hair", "given" : "Elizabeth C", "non-dropping-particle" : "", "parse-names" : false, "suffix" : "" }, { "dropping-particle" : "", "family" : "Finch", "given" : "John F", "non-dropping-particle" : "", "parse-names" : false, "suffix" : "" } ], "container-title" : "Journal of Personality and Social Psychology", "id" : "ITEM-1", "issue" : "6", "issued" : { "date-parts" : [ [ "1997", "12" ] ] }, "page" : "1394-1408", "title" : "Competitiveness Mediates the Link Between Personality and Group Performance", "type" : "article-journal", "volume" : "73" }, "uris" : [ "http://www.mendeley.com/documents/?uuid=49f4b737-da09-418c-9500-20e1b4cb54a4" ] }, { "id" : "ITEM-2", "itemData" : { "DOI" : "10.1037/h0029849", "ISSN" : "0022-3514", "author" : [ { "dropping-particle" : "", "family" : "Kelley", "given" : "Harold H.", "non-dropping-particle" : "", "parse-names" : false, "suffix" : "" }, { "dropping-particle" : "", "family" : "Stahelski", "given" : "Anthony J.", "non-dropping-particle" : "", "parse-names" : false, "suffix" : "" } ], "container-title" : "Journal of Personality and Social Psychology", "id" : "ITEM-2", "issue" : "1", "issued" : { "date-parts" : [ [ "1970" ] ] }, "page" : "66-91", "title" : "Social interaction basis of cooperators' and competitors' beliefs about others.", "type" : "article-journal", "volume" : "16" }, "uris" : [ "http://www.mendeley.com/documents/?uuid=260c01aa-e475-4d85-98d9-a4cf07a149a4" ] }, { "id" : "ITEM-3",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"ITEM-3",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"(Graziano et al., 1997; Kelley &amp; Stahelski, 1970; Tauer &amp; Harackiewicz, 1999)" }, "properties" : { "noteIndex" : 0 }, "schema" : "https://github.com/citation-style-language/schema/raw/master/csl-citation.json" }</w:instrText>
      </w:r>
      <w:r w:rsidR="004C250B">
        <w:fldChar w:fldCharType="separate"/>
      </w:r>
      <w:r w:rsidR="00AC1F7D" w:rsidRPr="00AC1F7D">
        <w:rPr>
          <w:noProof/>
        </w:rPr>
        <w:t>(Graziano et al., 1997; Kelley &amp; Stahelski, 1970; Tauer &amp; Harackiewicz, 1999)</w:t>
      </w:r>
      <w:r w:rsidR="004C250B">
        <w:fldChar w:fldCharType="end"/>
      </w:r>
      <w:r w:rsidR="004C250B">
        <w:t>, t</w:t>
      </w:r>
      <w:r>
        <w:t xml:space="preserve">he higher </w:t>
      </w:r>
      <w:r w:rsidR="00014857">
        <w:t>Dispositional</w:t>
      </w:r>
      <w:r>
        <w:t xml:space="preserve">ly competitive persons showed to be more intrinsically motivated during the video gameplay — regardless of the mode of the game — </w:t>
      </w:r>
      <w:r w:rsidR="004C250B">
        <w:t xml:space="preserve">and </w:t>
      </w:r>
      <w:r>
        <w:t>perceived the video game to be more competitive.</w:t>
      </w:r>
    </w:p>
    <w:p w14:paraId="2244A927" w14:textId="3F499F01" w:rsidR="00D6589D" w:rsidRPr="00D75FF2" w:rsidRDefault="00D6589D" w:rsidP="00597EDC">
      <w:r>
        <w:t xml:space="preserve">In addition, other control variables </w:t>
      </w:r>
      <w:r w:rsidR="009F7B9D">
        <w:t xml:space="preserve">related </w:t>
      </w:r>
      <w:r w:rsidR="005469B2">
        <w:t xml:space="preserve">to </w:t>
      </w:r>
      <w:r w:rsidR="009F7B9D">
        <w:t xml:space="preserve">participants’ demographics </w:t>
      </w:r>
      <w:r>
        <w:t>– namely Age, Gender, Education, Ethnicity, Language, Computer Experience, Internet Experience, and Gaming Experience – were included in the model.</w:t>
      </w:r>
      <w:r w:rsidR="009F7B9D">
        <w:t xml:space="preserve"> Age and Education were the only variables that had a medium effect on Arousal. That is, older people (who had higher education due to having a </w:t>
      </w:r>
      <w:r w:rsidR="005469B2">
        <w:t xml:space="preserve">university </w:t>
      </w:r>
      <w:r w:rsidR="009F7B9D">
        <w:t>sample)</w:t>
      </w:r>
      <w:r>
        <w:t xml:space="preserve"> </w:t>
      </w:r>
      <w:r w:rsidR="009F7B9D">
        <w:t xml:space="preserve">reported higher levels of Arousal compared to the younger participants. </w:t>
      </w:r>
      <w:r w:rsidR="00405867">
        <w:t xml:space="preserve">Age also had a small effect on the perception of Challenge. Speaking English as the first language showed to have a small effect on Situational Competitiveness and the experience of Flow in this research, showing that language can be a barrier to designing games for the purpose of learning and training. If the game is focused on an aspect of language, such as </w:t>
      </w:r>
      <w:proofErr w:type="spellStart"/>
      <w:r w:rsidR="00405867">
        <w:t>TypeRacer</w:t>
      </w:r>
      <w:proofErr w:type="spellEnd"/>
      <w:r w:rsidR="00405867">
        <w:t xml:space="preserve"> that require</w:t>
      </w:r>
      <w:r w:rsidR="005469B2">
        <w:t>s</w:t>
      </w:r>
      <w:r w:rsidR="00405867">
        <w:t xml:space="preserve"> reading and typing English text, people who speak English as </w:t>
      </w:r>
      <w:r w:rsidR="005469B2">
        <w:t xml:space="preserve">a </w:t>
      </w:r>
      <w:r w:rsidR="00405867">
        <w:t xml:space="preserve">second language tend to experience less Flow and perceive the environment to be less competitive. </w:t>
      </w:r>
      <w:r w:rsidR="00162A71">
        <w:t xml:space="preserve">Moreover, higher Internet Experience had a small effect on experiencing Flow and higher </w:t>
      </w:r>
      <w:r w:rsidR="00162A71">
        <w:lastRenderedPageBreak/>
        <w:t xml:space="preserve">Gaming Experience </w:t>
      </w:r>
      <w:r w:rsidR="005469B2">
        <w:t xml:space="preserve">had a </w:t>
      </w:r>
      <w:r w:rsidR="00162A71">
        <w:t xml:space="preserve">small effect on Challenge, showing the effect of previous experiences on current experience of video games. </w:t>
      </w:r>
    </w:p>
    <w:p w14:paraId="4A69A244" w14:textId="77777777" w:rsidR="00597EDC" w:rsidRPr="00F303AE" w:rsidRDefault="00597EDC" w:rsidP="00597EDC">
      <w:pPr>
        <w:pStyle w:val="Heading2"/>
      </w:pPr>
      <w:bookmarkStart w:id="111" w:name="_Toc275209844"/>
      <w:r w:rsidRPr="00F303AE">
        <w:t>Contributions</w:t>
      </w:r>
      <w:bookmarkEnd w:id="111"/>
      <w:r w:rsidRPr="00F303AE">
        <w:t xml:space="preserve"> </w:t>
      </w:r>
    </w:p>
    <w:p w14:paraId="6C863BC7" w14:textId="63F62531" w:rsidR="00C94C40" w:rsidRDefault="00C94C40" w:rsidP="00C94C40">
      <w:pPr>
        <w:pStyle w:val="Heading3"/>
      </w:pPr>
      <w:bookmarkStart w:id="112" w:name="_Toc275209845"/>
      <w:r>
        <w:t>Contributions to Theory</w:t>
      </w:r>
      <w:bookmarkEnd w:id="112"/>
    </w:p>
    <w:p w14:paraId="5182D841" w14:textId="247B014F" w:rsidR="00597EDC" w:rsidRDefault="00597EDC" w:rsidP="00597EDC">
      <w:r w:rsidRPr="00911E62">
        <w:t xml:space="preserve">This research contributes to both theory and practice. From a theoretical perspective, this research contributes to the IS body of literature by incorporating various theoretical lenses from different disciplines such as psychology, marketing, and education. </w:t>
      </w:r>
      <w:r w:rsidR="00C714CC">
        <w:t xml:space="preserve">This research provides a framework for integrating two well-known theories of motivation (i.e. SDT and Flow Theory) together. Various studies have utilized the explanatory power of these theories </w:t>
      </w:r>
      <w:r w:rsidR="00B04714">
        <w:t>separately within the</w:t>
      </w:r>
      <w:r w:rsidR="00C714CC">
        <w:t xml:space="preserve"> video game engagement context. This integration opens the door for researchers to achieve greater synergies by bringing together the findings of studies that are based on these two theories </w:t>
      </w:r>
      <w:r w:rsidR="00B04714">
        <w:t xml:space="preserve">in </w:t>
      </w:r>
      <w:r w:rsidR="00C714CC">
        <w:t xml:space="preserve">answering new research questions. </w:t>
      </w:r>
      <w:r w:rsidRPr="00911E62">
        <w:t xml:space="preserve">Additionally, this research furthers our understanding of the impact that </w:t>
      </w:r>
      <w:r>
        <w:t xml:space="preserve">a particular </w:t>
      </w:r>
      <w:r w:rsidRPr="00911E62">
        <w:t>social context</w:t>
      </w:r>
      <w:r>
        <w:t xml:space="preserve"> </w:t>
      </w:r>
      <w:r w:rsidRPr="00911E62">
        <w:t>ha</w:t>
      </w:r>
      <w:r>
        <w:t>s</w:t>
      </w:r>
      <w:r w:rsidRPr="00911E62">
        <w:t xml:space="preserve"> on experiences</w:t>
      </w:r>
      <w:r w:rsidR="005F76BD">
        <w:t xml:space="preserve"> of users</w:t>
      </w:r>
      <w:r w:rsidRPr="00911E62">
        <w:t xml:space="preserve">. </w:t>
      </w:r>
      <w:r>
        <w:t>As such</w:t>
      </w:r>
      <w:r w:rsidRPr="00911E62">
        <w:t>, competition modes that vary in social context</w:t>
      </w:r>
      <w:r>
        <w:t xml:space="preserve"> — </w:t>
      </w:r>
      <w:r w:rsidRPr="00911E62">
        <w:t>playing alone, against a stranger or against a friend</w:t>
      </w:r>
      <w:r>
        <w:t xml:space="preserve"> — </w:t>
      </w:r>
      <w:r w:rsidRPr="00911E62">
        <w:t>have a direct impact on players’ perceptions of competition, which, in turn, impact</w:t>
      </w:r>
      <w:r>
        <w:t>s their sense of Flow and o</w:t>
      </w:r>
      <w:r w:rsidRPr="00911E62">
        <w:t xml:space="preserve">verall satisfaction. </w:t>
      </w:r>
    </w:p>
    <w:p w14:paraId="098B399D" w14:textId="5945B7E4" w:rsidR="00C8003B" w:rsidRDefault="00C8003B" w:rsidP="00597EDC">
      <w:r>
        <w:t xml:space="preserve">Recent studies have touched on the role of competition in video games </w:t>
      </w:r>
      <w:r>
        <w:fldChar w:fldCharType="begin" w:fldLock="1"/>
      </w:r>
      <w:r w:rsidR="00AC1F7D">
        <w:instrText>ADDIN CSL_CITATION { "citationItems" : [ { "id" : "ITEM-1", "itemData" : { "DOI" : "10.1016/j.chb.2013.01.042", "ISSN" : "07475632", "author" : [ { "dropping-particle" : "", "family" : "Song", "given" : "Hayeon", "non-dropping-particle" : "", "parse-names" : false, "suffix" : "" }, { "dropping-particle" : "", "family" : "Kim", "given" : "Jihyun", "non-dropping-particle" : "", "parse-names" : false, "suffix" : "" }, { "dropping-particle" : "", "family" : "Tenzek", "given" : "Kelly E.", "non-dropping-particle" : "", "parse-names" : false, "suffix" : "" }, { "dropping-particle" : "", "family" : "Lee", "given" : "Kwan Min", "non-dropping-particle" : "", "parse-names" : false, "suffix" : "" } ], "container-title" : "Computers in Human Behavior", "id" : "ITEM-1", "issue" : "4", "issued" : { "date-parts" : [ [ "2013", "7" ] ] }, "page" : "1702-1708", "publisher" : "Elsevier Ltd", "title" : "The effects of competition and competitiveness upon intrinsic motivation in exergames", "type" : "article-journal", "volume" : "29" }, "uris" : [ "http://www.mendeley.com/documents/?uuid=4890c7d6-b13b-4070-9d06-bb705eaeb276" ] }, { "id" : "ITEM-2", "itemData" : { "author" : [ { "dropping-particle" : "", "family" : "Liu", "given" : "D", "non-dropping-particle" : "", "parse-names" : false, "suffix" : "" }, { "dropping-particle" : "", "family" : "Li", "given" : "X", "non-dropping-particle" : "", "parse-names" : false, "suffix" : "" }, { "dropping-particle" : "", "family" : "Santhanam", "given" : "R", "non-dropping-particle" : "", "parse-names" : false, "suffix" : "" } ], "container-title" : "MIS Quarterly", "id" : "ITEM-2", "issued" : { "date-parts" : [ [ "2013" ] ] }, "title" : "Digital games and beyond: what happens when players compete", "type" : "article-journal" }, "uris" : [ "http://www.mendeley.com/documents/?uuid=a82c807e-3748-4837-9fd8-10a6d0b7b463" ] } ], "mendeley" : { "previouslyFormattedCitation" : "(Liu et al., 2013; Song, Kim, Tenzek, &amp; Lee, 2013)" }, "properties" : { "noteIndex" : 0 }, "schema" : "https://github.com/citation-style-language/schema/raw/master/csl-citation.json" }</w:instrText>
      </w:r>
      <w:r>
        <w:fldChar w:fldCharType="separate"/>
      </w:r>
      <w:r w:rsidRPr="00C8003B">
        <w:rPr>
          <w:noProof/>
        </w:rPr>
        <w:t>(Liu et al., 2013; Song, Kim, Tenzek, &amp; Lee, 2013)</w:t>
      </w:r>
      <w:r>
        <w:fldChar w:fldCharType="end"/>
      </w:r>
      <w:r w:rsidR="009C0EC9">
        <w:t>. However, to the best of my</w:t>
      </w:r>
      <w:r>
        <w:t xml:space="preserve"> knowledge, </w:t>
      </w:r>
      <w:r w:rsidR="00B04714">
        <w:t>the current investigation</w:t>
      </w:r>
      <w:r>
        <w:t xml:space="preserve"> provides the first theoretical model for explaining how Situational and Dispositional Competitiveness can contribute to the experience of Flow and Satisfaction of video games.</w:t>
      </w:r>
      <w:r w:rsidR="005F76BD">
        <w:t xml:space="preserve"> As </w:t>
      </w:r>
      <w:proofErr w:type="spellStart"/>
      <w:r w:rsidR="00FD4E29">
        <w:t>Graziano</w:t>
      </w:r>
      <w:proofErr w:type="spellEnd"/>
      <w:r w:rsidR="00FD4E29">
        <w:t xml:space="preserve"> et al. (1997) </w:t>
      </w:r>
      <w:r w:rsidR="007D42D6">
        <w:t>discussed, competitiveness should be analyzed based on various levels of personality</w:t>
      </w:r>
      <w:r w:rsidR="00B04714">
        <w:t>, perception</w:t>
      </w:r>
      <w:r w:rsidR="007D42D6">
        <w:t xml:space="preserve"> and behaviour. This research enabled this analysis by </w:t>
      </w:r>
      <w:r w:rsidR="007D42D6">
        <w:lastRenderedPageBreak/>
        <w:t>showing the relation of the two aspects of competitiveness that have not been investigated</w:t>
      </w:r>
      <w:r w:rsidR="00B04714">
        <w:t xml:space="preserve"> together</w:t>
      </w:r>
      <w:r w:rsidR="007D42D6">
        <w:t xml:space="preserve"> in the context of video gaming before.</w:t>
      </w:r>
      <w:r w:rsidR="0094611C">
        <w:t xml:space="preserve"> </w:t>
      </w:r>
    </w:p>
    <w:p w14:paraId="23AF0F61" w14:textId="5EABDB40" w:rsidR="00597EDC" w:rsidRDefault="00597EDC" w:rsidP="00597EDC">
      <w:r w:rsidRPr="00EE5DC5">
        <w:t xml:space="preserve">By employing the emotional construct of Arousal, and by investigating the connection between </w:t>
      </w:r>
      <w:r w:rsidR="00014857">
        <w:t>Situational</w:t>
      </w:r>
      <w:r w:rsidRPr="00EE5DC5">
        <w:t xml:space="preserve"> </w:t>
      </w:r>
      <w:r w:rsidR="00014857">
        <w:t>C</w:t>
      </w:r>
      <w:r w:rsidRPr="00EE5DC5">
        <w:t xml:space="preserve">ompetitiveness and Flow, </w:t>
      </w:r>
      <w:r w:rsidR="007F18EE">
        <w:t>this</w:t>
      </w:r>
      <w:r w:rsidRPr="00EE5DC5">
        <w:t xml:space="preserve"> research illustrates some processes </w:t>
      </w:r>
      <w:r>
        <w:t>through which competition</w:t>
      </w:r>
      <w:r w:rsidRPr="00EE5DC5">
        <w:t xml:space="preserve"> impact</w:t>
      </w:r>
      <w:r>
        <w:t>s</w:t>
      </w:r>
      <w:r w:rsidRPr="00EE5DC5">
        <w:t xml:space="preserve"> the use of competitive video games.</w:t>
      </w:r>
      <w:r>
        <w:t xml:space="preserve"> This contributes to the IS literature in the area of usability, adoption, and HCI by incorporating the constructs of </w:t>
      </w:r>
      <w:r w:rsidR="00014857">
        <w:t>Situational</w:t>
      </w:r>
      <w:r>
        <w:t xml:space="preserve"> Competitiveness and Arousal into</w:t>
      </w:r>
      <w:r w:rsidR="00A2512D">
        <w:t xml:space="preserve"> the</w:t>
      </w:r>
      <w:r>
        <w:t xml:space="preserve"> IS literature. The findings of this research help advance the knowledge of continuing usage of hedonic systems. Moreover, the usage of video games for learning and working has not been extensively investigated. This dissertation introduces new areas that IS researchers can probe into in future studies. As </w:t>
      </w:r>
      <w:r w:rsidR="009C0EC9">
        <w:t xml:space="preserve">this study’s </w:t>
      </w:r>
      <w:r>
        <w:t xml:space="preserve">results show, the Competitive Video Gaming Model provides a strong power in predicting Satisfaction of users of hedonic systems, specifically that of video games. As such, this research also helps </w:t>
      </w:r>
      <w:r w:rsidR="00091CA7">
        <w:t xml:space="preserve">to support the </w:t>
      </w:r>
      <w:r>
        <w:t xml:space="preserve">usability literature </w:t>
      </w:r>
      <w:r w:rsidR="00091CA7">
        <w:t xml:space="preserve">through a better </w:t>
      </w:r>
      <w:r>
        <w:t xml:space="preserve">understanding </w:t>
      </w:r>
      <w:r w:rsidR="00091CA7">
        <w:t xml:space="preserve">of the </w:t>
      </w:r>
      <w:r>
        <w:t xml:space="preserve">ways that people experience satisfaction and deep engagement through usage of information system. </w:t>
      </w:r>
    </w:p>
    <w:p w14:paraId="26960CFC" w14:textId="6C7BE61D" w:rsidR="003A1818" w:rsidRPr="00E07504" w:rsidRDefault="003A1818" w:rsidP="007F1D1E">
      <w:r>
        <w:t xml:space="preserve">In addition to the core objectives of the main study mentioned earlier, this research examined how the construct of Flow could be modeled as a second-order reflective construct. As earlier research suggests, Flow is a second order construct and should be modeled as a reflective construct </w:t>
      </w:r>
      <w:r w:rsidR="002012F3">
        <w:t>that</w:t>
      </w:r>
      <w:r>
        <w:t xml:space="preserve"> </w:t>
      </w:r>
      <w:r w:rsidR="002012F3">
        <w:t>includes</w:t>
      </w:r>
      <w:r>
        <w:t xml:space="preserve"> a subset of </w:t>
      </w:r>
      <w:r w:rsidR="002012F3">
        <w:t xml:space="preserve">original Flow theory dimensions, which </w:t>
      </w:r>
      <w:r>
        <w:t xml:space="preserve">are relevant to the context </w:t>
      </w:r>
      <w:r w:rsidR="002012F3">
        <w:t xml:space="preserve">that it is being used in </w:t>
      </w:r>
      <w:r>
        <w:fldChar w:fldCharType="begin" w:fldLock="1"/>
      </w:r>
      <w:r w:rsidR="00AC1F7D">
        <w:instrText>ADDIN CSL_CITATION { "citationItems" : [ { "id" : "ITEM-1", "itemData" : { "author" : [ { "dropping-particle" : "", "family" : "Sepehr", "given" : "Sepandar", "non-dropping-particle" : "", "parse-names" : false, "suffix" : "" }, { "dropping-particle" : "", "family" : "Head", "given" : "Milena", "non-dropping-particle" : "", "parse-names" : false, "suffix" : "" } ], "container-title" : "Administrative Sciences Association of Canada (ASAC)", "id" : "ITEM-1", "issued" : { "date-parts" : [ [ "2012" ] ] }, "publisher-place" : "Halifax", "title" : "A Meta-Analysis of The Effect of Flow on Attitude and Intention to Use of IT Systems", "type" : "paper-conference" }, "uris" : [ "http://www.mendeley.com/documents/?uuid=8c34b12e-f528-47a8-8c03-588f00b9a211" ] } ], "mendeley" : { "previouslyFormattedCitation" : "(Sepehr &amp; Head, 2012a)" }, "properties" : { "noteIndex" : 0 }, "schema" : "https://github.com/citation-style-language/schema/raw/master/csl-citation.json" }</w:instrText>
      </w:r>
      <w:r>
        <w:fldChar w:fldCharType="separate"/>
      </w:r>
      <w:r w:rsidRPr="001453F2">
        <w:rPr>
          <w:noProof/>
        </w:rPr>
        <w:t>(Sepehr &amp; Head, 2012a)</w:t>
      </w:r>
      <w:r>
        <w:fldChar w:fldCharType="end"/>
      </w:r>
      <w:r>
        <w:t xml:space="preserve">. Based on the findings of the first study and the extant literature, the three dimensions of Focused Immersion, Temporal Dissociation, and Heightened Enjoyment were considered as the most relevant dimensions in the context of video gaming. The result of </w:t>
      </w:r>
      <w:r w:rsidR="007F18EE">
        <w:t xml:space="preserve">the </w:t>
      </w:r>
      <w:r>
        <w:t xml:space="preserve">main study supported this selection as the Flow construct shared a high variance with all three dimensions in the model. The SEM analysis also provided </w:t>
      </w:r>
      <w:r>
        <w:lastRenderedPageBreak/>
        <w:t xml:space="preserve">nomological validity for the operationalization of Flow as described since all except one of the supported hypotheses regarding the antecedents and consequences of Flow were supported through the main study’s experiment. </w:t>
      </w:r>
      <w:r w:rsidR="007F1D1E">
        <w:t xml:space="preserve">These findings provide </w:t>
      </w:r>
      <w:r w:rsidR="007F1D1E" w:rsidRPr="007F1D1E">
        <w:t>researchers further guidance on how to opera</w:t>
      </w:r>
      <w:r w:rsidR="007F1D1E">
        <w:t>tionalize this complex concept.</w:t>
      </w:r>
    </w:p>
    <w:p w14:paraId="0DEDC6F2" w14:textId="4CAB57D7" w:rsidR="00597EDC" w:rsidRDefault="003A1818" w:rsidP="003A1818">
      <w:pPr>
        <w:pStyle w:val="Heading3"/>
      </w:pPr>
      <w:bookmarkStart w:id="113" w:name="_Toc275209846"/>
      <w:r>
        <w:t>Contributions to Practice</w:t>
      </w:r>
      <w:bookmarkEnd w:id="113"/>
    </w:p>
    <w:p w14:paraId="42F4AE48" w14:textId="6F91A331" w:rsidR="008C079D" w:rsidRDefault="00597EDC" w:rsidP="00597EDC">
      <w:r w:rsidRPr="00911E62">
        <w:t>From a practitioner’s perspective, designers of educational video games for organizations and schools can benefit by obtaining a richer understanding of the factors that can lead t</w:t>
      </w:r>
      <w:r>
        <w:t xml:space="preserve">o deep involvement of learners or employees. </w:t>
      </w:r>
      <w:r w:rsidR="008C079D">
        <w:t>Previously scholars have noted that a</w:t>
      </w:r>
      <w:r w:rsidR="008C079D" w:rsidRPr="008C079D">
        <w:t xml:space="preserve">n ideal learning atmosphere should have an appropriate level of competition alongside a cooperative environment </w:t>
      </w:r>
      <w:r w:rsidR="008C079D">
        <w:fldChar w:fldCharType="begin" w:fldLock="1"/>
      </w:r>
      <w:r w:rsidR="00AC1F7D">
        <w:instrText>ADDIN CSL_CITATION { "citationItems" : [ { "id" : "ITEM-1", "itemData" : { "author" : [ { "dropping-particle" : "", "family" : "Johnson", "given" : "David", "non-dropping-particle" : "", "parse-names" : false, "suffix" : "" }, { "dropping-particle" : "", "family" : "Johnson", "given" : "R T", "non-dropping-particle" : "", "parse-names" : false, "suffix" : "" } ], "edition" : "3", "id" : "ITEM-1", "issued" : { "date-parts" : [ [ "1991" ] ] }, "publisher" : "Prentice-Hall, Inc", "title" : "Learning together and alone: Cooperative, competitive, and individualistic learning .", "type" : "book" }, "uris" : [ "http://www.mendeley.com/documents/?uuid=3ae11d0c-31b7-4326-a3aa-7fa050de6fdc" ] } ], "mendeley" : { "previouslyFormattedCitation" : "(Johnson &amp; Johnson, 1991)" }, "properties" : { "noteIndex" : 0 }, "schema" : "https://github.com/citation-style-language/schema/raw/master/csl-citation.json" }</w:instrText>
      </w:r>
      <w:r w:rsidR="008C079D">
        <w:fldChar w:fldCharType="separate"/>
      </w:r>
      <w:r w:rsidR="008C079D" w:rsidRPr="008C079D">
        <w:rPr>
          <w:noProof/>
        </w:rPr>
        <w:t>(Johnson &amp; Johnson, 1991)</w:t>
      </w:r>
      <w:r w:rsidR="008C079D">
        <w:fldChar w:fldCharType="end"/>
      </w:r>
      <w:r w:rsidR="008C079D" w:rsidRPr="008C079D">
        <w:t>.</w:t>
      </w:r>
      <w:r w:rsidR="008C079D">
        <w:t xml:space="preserve"> This research showed that competition </w:t>
      </w:r>
      <w:proofErr w:type="gramStart"/>
      <w:r w:rsidR="008C079D">
        <w:t>can</w:t>
      </w:r>
      <w:proofErr w:type="gramEnd"/>
      <w:r w:rsidR="008C079D">
        <w:t xml:space="preserve"> enhance existing systems and create the Flow experience for learners. As the </w:t>
      </w:r>
      <w:r w:rsidR="003D40C4">
        <w:t>preliminary studies (Appendix 2)</w:t>
      </w:r>
      <w:r w:rsidR="008C079D">
        <w:t xml:space="preserve"> showed, in classes </w:t>
      </w:r>
      <w:r w:rsidR="00C86B06">
        <w:t xml:space="preserve">where </w:t>
      </w:r>
      <w:r w:rsidR="008C079D">
        <w:t xml:space="preserve">students participate in a competitive task, in particular in a group for reaching a shared goal, the level of attention and enjoyment is highly significant. It is important for the designers of such systems to limit the effect of extrinsic rewards in order to avoid </w:t>
      </w:r>
      <w:r w:rsidR="007F18EE">
        <w:t xml:space="preserve">the </w:t>
      </w:r>
      <w:r w:rsidR="008C079D">
        <w:t xml:space="preserve">creation of </w:t>
      </w:r>
      <w:r w:rsidR="007F18EE">
        <w:t xml:space="preserve">excessive </w:t>
      </w:r>
      <w:r w:rsidR="008C079D">
        <w:t xml:space="preserve">extrinsic motivation </w:t>
      </w:r>
      <w:r w:rsidR="007F18EE">
        <w:t xml:space="preserve">thus </w:t>
      </w:r>
      <w:r w:rsidR="008C079D">
        <w:t>limiting the intrinsic interest of students and employees to succeed in the competitive activity</w:t>
      </w:r>
      <w:r w:rsidR="00DB21D9">
        <w:t>. As earlier research has shown, if the effect of extrinsic rewards, such as financial or promotional incentives increases, the intrinsic value of video games that creates Flow and Satisfaction would decrease</w:t>
      </w:r>
      <w:r w:rsidR="002A2266">
        <w:t xml:space="preserve"> (</w:t>
      </w:r>
      <w:proofErr w:type="spellStart"/>
      <w:r w:rsidR="002A2266">
        <w:t>Deci</w:t>
      </w:r>
      <w:proofErr w:type="spellEnd"/>
      <w:r w:rsidR="002A2266">
        <w:t xml:space="preserve"> et al., 1981)</w:t>
      </w:r>
      <w:r w:rsidR="008C079D">
        <w:t>.</w:t>
      </w:r>
    </w:p>
    <w:p w14:paraId="411F843B" w14:textId="42E4CD46" w:rsidR="00094A65" w:rsidRDefault="00094A65" w:rsidP="00597EDC">
      <w:r>
        <w:t xml:space="preserve">Moreover, by investigating various manipulation modes, this research showed that by manipulating the mode of competition in educational video games and </w:t>
      </w:r>
      <w:proofErr w:type="spellStart"/>
      <w:r>
        <w:t>Gamified</w:t>
      </w:r>
      <w:proofErr w:type="spellEnd"/>
      <w:r>
        <w:t xml:space="preserve"> work-related systems, practitioners can create more Situational Competitiveness, excitement, and ultimately more Flow experience and Satisfaction.</w:t>
      </w:r>
      <w:r w:rsidR="008314EA">
        <w:t xml:space="preserve"> The findings of this research showed that the element of competition </w:t>
      </w:r>
      <w:proofErr w:type="gramStart"/>
      <w:r w:rsidR="008314EA">
        <w:t>can</w:t>
      </w:r>
      <w:proofErr w:type="gramEnd"/>
      <w:r w:rsidR="008314EA">
        <w:t xml:space="preserve"> be more effective if the mode of competition is designed in such a way that </w:t>
      </w:r>
      <w:r w:rsidR="008314EA">
        <w:lastRenderedPageBreak/>
        <w:t xml:space="preserve">players can compare their performance to their friends and colleagues, and therefore, compete with them. Alternatively, competing with strangers can provide high excitement compared to a non-competitive situation or when players have to compete against just the computer. Moreover, the open-ended questions revealed that even though playing against </w:t>
      </w:r>
      <w:r w:rsidR="00C86B06">
        <w:t xml:space="preserve">a </w:t>
      </w:r>
      <w:r w:rsidR="008314EA">
        <w:t xml:space="preserve">computer </w:t>
      </w:r>
      <w:r w:rsidR="00C9383A">
        <w:t xml:space="preserve">does not create the same level of excitement and Flow as competing against a human, it can create an adaptive system that increases the Challenge as the player develops new sets of skills. </w:t>
      </w:r>
      <w:r w:rsidR="00C86B06">
        <w:t>In conjunction with</w:t>
      </w:r>
      <w:r w:rsidR="00C9383A">
        <w:t xml:space="preserve"> human-operated opponents, these adaptive systems can be used for training and practicing, which can be used prior to matching players to compete with one another.</w:t>
      </w:r>
    </w:p>
    <w:p w14:paraId="75FAD8A9" w14:textId="6091F521" w:rsidR="00597EDC" w:rsidRPr="00911E62" w:rsidRDefault="00597EDC" w:rsidP="00597EDC">
      <w:r w:rsidRPr="00911E62">
        <w:t>These findings may also be of relevance to developers of other hedonic systems (e.g. electronic training systems or Internet websites</w:t>
      </w:r>
      <w:r w:rsidR="0091631C">
        <w:t xml:space="preserve"> that are</w:t>
      </w:r>
      <w:r w:rsidR="0010250C">
        <w:t xml:space="preserve"> designed for the purpose of enjoyment</w:t>
      </w:r>
      <w:r w:rsidR="0091631C">
        <w:t xml:space="preserve"> and entertainment</w:t>
      </w:r>
      <w:r w:rsidRPr="00911E62">
        <w:t>) where various forms of competition may enhance the experience with the system.</w:t>
      </w:r>
      <w:r>
        <w:t xml:space="preserve"> Similarly, these systems can follow the guidelines outlined for educational video game designers to increase the effectiveness of their hedonic systems through engagement of users. These guidelines could result in higher adoption and continuing usage of hedonic systems. </w:t>
      </w:r>
    </w:p>
    <w:p w14:paraId="3356C11C" w14:textId="77777777" w:rsidR="00597EDC" w:rsidRDefault="00597EDC" w:rsidP="00597EDC">
      <w:pPr>
        <w:pStyle w:val="Heading2"/>
      </w:pPr>
      <w:bookmarkStart w:id="114" w:name="_Toc275209847"/>
      <w:r>
        <w:t>Research Limitations</w:t>
      </w:r>
      <w:bookmarkEnd w:id="114"/>
    </w:p>
    <w:p w14:paraId="223B1070" w14:textId="42A7A30C" w:rsidR="00597EDC" w:rsidRDefault="00597EDC" w:rsidP="00597EDC">
      <w:r w:rsidRPr="002101BD">
        <w:t xml:space="preserve">As with most empirical studies, </w:t>
      </w:r>
      <w:r w:rsidR="007F18EE">
        <w:t>some</w:t>
      </w:r>
      <w:r w:rsidR="007F18EE" w:rsidRPr="002101BD">
        <w:t xml:space="preserve"> </w:t>
      </w:r>
      <w:r w:rsidRPr="002101BD">
        <w:t xml:space="preserve">limitations </w:t>
      </w:r>
      <w:r w:rsidR="007F18EE">
        <w:t xml:space="preserve">for </w:t>
      </w:r>
      <w:r w:rsidRPr="002101BD">
        <w:t>this</w:t>
      </w:r>
      <w:r w:rsidR="00A66CBC">
        <w:t xml:space="preserve"> </w:t>
      </w:r>
      <w:r w:rsidR="007F18EE">
        <w:t>research</w:t>
      </w:r>
      <w:r w:rsidR="009C0EC9">
        <w:t xml:space="preserve"> are </w:t>
      </w:r>
      <w:r w:rsidR="009C0EC9" w:rsidRPr="002101BD">
        <w:t>acknowledge</w:t>
      </w:r>
      <w:r w:rsidR="009C0EC9">
        <w:t>d</w:t>
      </w:r>
      <w:r w:rsidRPr="002101BD">
        <w:t>.</w:t>
      </w:r>
      <w:r>
        <w:t xml:space="preserve"> First, the data collection of both studies used self-reported surveys for testing the hypotheses and structural model. Common method variance test was conducted to eliminate the potentiality of any bias as a result of the cross-sectional design of the research. Even though the results of the common method variance analysis indicated that there was no likely potential bias, it is advisable to use alternative and complementary approaches to measure the constructs and triangulate with the self-reported data. For example, Arousal can also be measured through physiological measures</w:t>
      </w:r>
      <w:r w:rsidR="002E4168">
        <w:t xml:space="preserve"> such as EEG (</w:t>
      </w:r>
      <w:r w:rsidR="002E4168" w:rsidRPr="002E4168">
        <w:t>Electroencephalogram</w:t>
      </w:r>
      <w:r w:rsidR="002E4168">
        <w:t xml:space="preserve">), GSR (Galvanic Skin Response), or measuring </w:t>
      </w:r>
      <w:r w:rsidR="002E4168">
        <w:lastRenderedPageBreak/>
        <w:t xml:space="preserve">heart rate. </w:t>
      </w:r>
      <w:r w:rsidR="004453A1">
        <w:t xml:space="preserve">Challenge </w:t>
      </w:r>
      <w:r w:rsidR="002E4168">
        <w:t xml:space="preserve">could also be </w:t>
      </w:r>
      <w:r w:rsidR="004453A1">
        <w:t xml:space="preserve">manipulated by researchers </w:t>
      </w:r>
      <w:r>
        <w:t xml:space="preserve">rather than using </w:t>
      </w:r>
      <w:r w:rsidR="004453A1">
        <w:t xml:space="preserve">a self-report measure, similar to </w:t>
      </w:r>
      <w:r w:rsidR="004453A1" w:rsidRPr="004453A1">
        <w:rPr>
          <w:noProof/>
        </w:rPr>
        <w:t xml:space="preserve">Abuhamdeh </w:t>
      </w:r>
      <w:r w:rsidR="004453A1">
        <w:rPr>
          <w:noProof/>
        </w:rPr>
        <w:t>and</w:t>
      </w:r>
      <w:r w:rsidR="004453A1" w:rsidRPr="004453A1">
        <w:rPr>
          <w:noProof/>
        </w:rPr>
        <w:t xml:space="preserve"> Csikszentmihalyi</w:t>
      </w:r>
      <w:r w:rsidR="004453A1">
        <w:rPr>
          <w:noProof/>
        </w:rPr>
        <w:t>’s</w:t>
      </w:r>
      <w:r w:rsidR="004453A1">
        <w:t xml:space="preserve"> </w:t>
      </w:r>
      <w:r w:rsidR="004453A1">
        <w:fldChar w:fldCharType="begin" w:fldLock="1"/>
      </w:r>
      <w:r w:rsidR="00AC1F7D">
        <w:instrText>ADDIN CSL_CITATION { "citationItems" : [ { "id" : "ITEM-1", "itemData" : { "DOI" : "10.1177/0146167211427147", "ISSN" : "1552-7433", "PMID" : "22067510", "abstract" : "Although early interview-based analyses of the enjoyment of intrinsically motivated, goal-directed activities (e.g., chess, rock climbing, art making) suggested the importance of relatively difficult, \"optimal\" challenges, subsequent findings derived from a wider range of activities have not provided consistent support for this proposition. Two studies were conducted to clarify the relation between challenge and enjoyment. Study 1 focused on a single activity-Internet chess. The importance of challenge was evident at the subjective level (perceived challenge strongly predicted enjoyment) as well as the objective level (games against superior opponents were more enjoyable than games against inferior opponents, and close games were more enjoyable than blowouts). In Study 2, the experience sampling method was used to examine the enjoyment of challenge across a wide range of everyday activities. Activity motivation (intrinsically motivated, non-intrinsically motivated) and activity type (goal directed, non-goal directed) moderated the relation. Implications for theories of intrinsic motivation are discussed.", "author" : [ { "dropping-particle" : "", "family" : "Abuhamdeh", "given" : "Sami", "non-dropping-particle" : "", "parse-names" : false, "suffix" : "" }, { "dropping-particle" : "", "family" : "Csikszentmihalyi", "given" : "Mihaly", "non-dropping-particle" : "", "parse-names" : false, "suffix" : "" } ], "container-title" : "Personality &amp; social psychology bulletin", "id" : "ITEM-1", "issue" : "3", "issued" : { "date-parts" : [ [ "2012", "3" ] ] }, "page" : "317-30", "title" : "The importance of challenge for the enjoyment of intrinsically motivated, goal-directed activities.", "type" : "article-journal", "volume" : "38" }, "suppress-author" : 1, "uris" : [ "http://www.mendeley.com/documents/?uuid=c625d06e-4acb-4c08-a42b-0d0332a3ecb9" ] } ], "mendeley" : { "previouslyFormattedCitation" : "(2012)" }, "properties" : { "noteIndex" : 0 }, "schema" : "https://github.com/citation-style-language/schema/raw/master/csl-citation.json" }</w:instrText>
      </w:r>
      <w:r w:rsidR="004453A1">
        <w:fldChar w:fldCharType="separate"/>
      </w:r>
      <w:r w:rsidR="004453A1" w:rsidRPr="004453A1">
        <w:rPr>
          <w:noProof/>
        </w:rPr>
        <w:t>(2012)</w:t>
      </w:r>
      <w:r w:rsidR="004453A1">
        <w:fldChar w:fldCharType="end"/>
      </w:r>
      <w:r w:rsidR="004453A1">
        <w:t xml:space="preserve"> research design</w:t>
      </w:r>
      <w:r>
        <w:t xml:space="preserve">. Engagement can be measured in a longitudinal study where the continuing usage of players is observed throughout a period of time. </w:t>
      </w:r>
    </w:p>
    <w:p w14:paraId="4EF2542E" w14:textId="44F8F2FB" w:rsidR="00597EDC" w:rsidRDefault="00597EDC" w:rsidP="00597EDC">
      <w:r>
        <w:t xml:space="preserve">Second, </w:t>
      </w:r>
      <w:r w:rsidRPr="002101BD">
        <w:t>the study was conducted among North American students, which limits the generalizability of the results to other countries</w:t>
      </w:r>
      <w:r>
        <w:t xml:space="preserve">. The majority of the participants were undergraduate students aged between 17 and 23. Despite the fact that students represent an appropriate sample for this context since they represent </w:t>
      </w:r>
      <w:proofErr w:type="spellStart"/>
      <w:r>
        <w:t>Millenials</w:t>
      </w:r>
      <w:proofErr w:type="spellEnd"/>
      <w:r>
        <w:t xml:space="preserve"> (who are the focus of using video games for learning and working), in order to generalize the findings of </w:t>
      </w:r>
      <w:r w:rsidR="009C0EC9">
        <w:t xml:space="preserve">this study’s </w:t>
      </w:r>
      <w:r>
        <w:t xml:space="preserve">results, non-Canadians, non-students and diverse age groups should be investigated. </w:t>
      </w:r>
    </w:p>
    <w:p w14:paraId="41944B18" w14:textId="49C83990" w:rsidR="00597EDC" w:rsidRDefault="00597EDC" w:rsidP="00597EDC">
      <w:r>
        <w:t>Third</w:t>
      </w:r>
      <w:r w:rsidRPr="002101BD">
        <w:t xml:space="preserve">, a direct measurement of learning outcomes was not </w:t>
      </w:r>
      <w:r w:rsidRPr="00316012">
        <w:t>assessed</w:t>
      </w:r>
      <w:r w:rsidRPr="002101BD">
        <w:t xml:space="preserve"> in this study. As such, inferences from the video game context to the learning context will have to be based on the outcomes of satisfaction, rather than </w:t>
      </w:r>
      <w:r>
        <w:t xml:space="preserve">on </w:t>
      </w:r>
      <w:r w:rsidRPr="002101BD">
        <w:t>more direct learning outcomes such as performance. However, there is strong evidence in the ex</w:t>
      </w:r>
      <w:r>
        <w:t>tant</w:t>
      </w:r>
      <w:r w:rsidRPr="002101BD">
        <w:t xml:space="preserve"> literature to suggest that emotions such as satisfaction can result in positive learning outcomes, such as</w:t>
      </w:r>
      <w:r>
        <w:t xml:space="preserve"> improved learning performance </w:t>
      </w:r>
      <w:r>
        <w:rPr>
          <w:noProof/>
        </w:rPr>
        <w:fldChar w:fldCharType="begin" w:fldLock="1"/>
      </w:r>
      <w:r w:rsidR="00AC1F7D">
        <w:rPr>
          <w:noProof/>
        </w:rPr>
        <w:instrText>ADDIN CSL_CITATION { "citationItems" : [ { "id" : "ITEM-1", "itemData" : { "ISBN" : "9780138167516", "author" : [ { "dropping-particle" : "", "family" : "Bandura", "given" : "A", "non-dropping-particle" : "", "parse-names" : false, "suffix" : "" } ], "collection-title" : "Prentice-Hall series in social learning theory", "id" : "ITEM-1", "issued" : { "date-parts" : [ [ "1977" ] ] }, "publisher" : "Prentice Hall", "title" : "Social learning theory", "type" : "book" }, "uris" : [ "http://www.mendeley.com/documents/?uuid=5d5013cb-e52c-43b5-bb4d-5b04c1ea0a5f" ] }, { "id" : "ITEM-2", "itemData" : { "DOI" : "10.1016/j.compedu.2010.12.009", "ISSN" : "03601315", "author" : [ { "dropping-particle" : "", "family" : "Oncu", "given" : "Semiral", "non-dropping-particle" : "", "parse-names" : false, "suffix" : "" }, { "dropping-particle" : "", "family" : "Cakir", "given" : "Hasan", "non-dropping-particle" : "", "parse-names" : false, "suffix" : "" } ], "container-title" : "Computers &amp; Education", "id" : "ITEM-2", "issue" : "1", "issued" : { "date-parts" : [ [ "2011", "8" ] ] }, "page" : "1098-1108", "title" : "Research in online learning environments: Priorities and methodologies", "type" : "article-journal", "volume" : "57" }, "uris" : [ "http://www.mendeley.com/documents/?uuid=19198239-bbf7-40cf-9d03-3c1da9af7df7" ] }, { "id" : "ITEM-3", "itemData" : { "DOI" : "10.1111/j.1467-8535.2006.00641.x", "ISSN" : "00071013", "author" : [ { "dropping-particle" : "", "family" : "Shin", "given" : "Namin", "non-dropping-particle" : "", "parse-names" : false, "suffix" : "" } ], "container-title" : "British Journal of Educational Technology", "id" : "ITEM-3", "issue" : "5", "issued" : { "date-parts" : [ [ "2006", "9" ] ] }, "page" : "705-720", "title" : "Online learner\u2019s \u2018flow\u2019 experience: an empirical study", "type" : "article-journal", "volume" : "37" }, "uris" : [ "http://www.mendeley.com/documents/?uuid=12fba3aa-24a0-446d-bd7b-b671851e2d51" ] } ], "mendeley" : { "manualFormatting" : "(e.g. Bandura, 1977; Oncu &amp; Cakir, 2011; Shin, 2006)", "previouslyFormattedCitation" : "(Bandura, 1977; Oncu &amp; Cakir, 2011; Shin, 2006)" }, "properties" : { "noteIndex" : 0 }, "schema" : "https://github.com/citation-style-language/schema/raw/master/csl-citation.json" }</w:instrText>
      </w:r>
      <w:r>
        <w:rPr>
          <w:noProof/>
        </w:rPr>
        <w:fldChar w:fldCharType="separate"/>
      </w:r>
      <w:r w:rsidRPr="00E56C9F">
        <w:rPr>
          <w:noProof/>
        </w:rPr>
        <w:t>(</w:t>
      </w:r>
      <w:r w:rsidR="00066AF7">
        <w:rPr>
          <w:noProof/>
        </w:rPr>
        <w:t xml:space="preserve">e.g. </w:t>
      </w:r>
      <w:r w:rsidRPr="00E56C9F">
        <w:rPr>
          <w:noProof/>
        </w:rPr>
        <w:t>Bandura, 1977; Oncu &amp; Cakir, 2011; Shin, 2006)</w:t>
      </w:r>
      <w:r>
        <w:rPr>
          <w:noProof/>
        </w:rPr>
        <w:fldChar w:fldCharType="end"/>
      </w:r>
      <w:r>
        <w:t>.</w:t>
      </w:r>
    </w:p>
    <w:p w14:paraId="71119E26" w14:textId="6298A550" w:rsidR="00597EDC" w:rsidRDefault="00597EDC" w:rsidP="00597EDC">
      <w:r>
        <w:t>Fourth, know</w:t>
      </w:r>
      <w:r w:rsidR="00BD4FD5">
        <w:t>ing</w:t>
      </w:r>
      <w:r>
        <w:t xml:space="preserve"> and identify</w:t>
      </w:r>
      <w:r w:rsidR="00BD4FD5">
        <w:t>ing</w:t>
      </w:r>
      <w:r>
        <w:t xml:space="preserve"> possible networks of friends among students</w:t>
      </w:r>
      <w:r w:rsidR="00BD4FD5">
        <w:t xml:space="preserve"> in the experiment design would not be ethically acceptable</w:t>
      </w:r>
      <w:r>
        <w:t xml:space="preserve">. Therefore, randomization of participants was dependent on participants choosing the mode of the game. It was not possible to control which participant chose to participate in the experiment with their friend. Nevertheless, participants were not familiar with the exact procedure of the experiment beforehand. The participants only had the option of choosing a time from available timeslots to attend either by himself or herself or with a friend. In order to eliminate self-selection bias regarding the mode of </w:t>
      </w:r>
      <w:r>
        <w:lastRenderedPageBreak/>
        <w:t xml:space="preserve">the game, more timeslots were provided for individuals who could bring a friend in order to encourage them to </w:t>
      </w:r>
      <w:r w:rsidR="00066AF7">
        <w:t xml:space="preserve">sign up </w:t>
      </w:r>
      <w:r>
        <w:t xml:space="preserve">with a friend </w:t>
      </w:r>
      <w:r w:rsidR="00066AF7">
        <w:t xml:space="preserve">from </w:t>
      </w:r>
      <w:r>
        <w:t xml:space="preserve">the beginning. However, this resulted in having more participants in the competition against friend mode than other modes. This could endanger the findings with bias towards certain modes. Nevertheless, as discussed in Chapter 5, no evidence was identified that </w:t>
      </w:r>
      <w:r w:rsidR="00066AF7">
        <w:t xml:space="preserve">support the </w:t>
      </w:r>
      <w:r>
        <w:t xml:space="preserve">claim </w:t>
      </w:r>
      <w:r w:rsidR="00066AF7">
        <w:t xml:space="preserve">that </w:t>
      </w:r>
      <w:r>
        <w:t xml:space="preserve">participants had chosen their friends based on their skill levels or any bias existed in this regard. </w:t>
      </w:r>
    </w:p>
    <w:p w14:paraId="4BED0E1E" w14:textId="77777777" w:rsidR="00597EDC" w:rsidRPr="00A8707F" w:rsidRDefault="00597EDC" w:rsidP="00597EDC">
      <w:r>
        <w:t xml:space="preserve">Last, a minor issue that became evident in open-ended questions was the use of a non-familiar keyboard. Two of the participants mentioned that they were not familiar with the keyboard that was used in the main study’s experiment. The keyboard that was used for the experiment was a Windows keyboard and it can be possible that participants who are Mac users would not be as comfortable with the keyboard. One of the participants mentioned that he or she would be more skilled if he or she had his or her keyboard rather than the generic keyboard. However, allowing the participants to use their own system would not be an option due to setup requirement of the experiment with the lab’s computer. </w:t>
      </w:r>
    </w:p>
    <w:p w14:paraId="6043678B" w14:textId="77777777" w:rsidR="00597EDC" w:rsidRDefault="00597EDC" w:rsidP="00597EDC">
      <w:pPr>
        <w:pStyle w:val="Heading2"/>
      </w:pPr>
      <w:bookmarkStart w:id="115" w:name="_Toc275209848"/>
      <w:r>
        <w:t>Future Research Agenda</w:t>
      </w:r>
      <w:bookmarkEnd w:id="115"/>
      <w:r>
        <w:t xml:space="preserve"> </w:t>
      </w:r>
    </w:p>
    <w:p w14:paraId="14E826C0" w14:textId="04179E52" w:rsidR="00597EDC" w:rsidRDefault="00597EDC" w:rsidP="00597EDC">
      <w:pPr>
        <w:rPr>
          <w:lang w:val="en-US"/>
        </w:rPr>
      </w:pPr>
      <w:r>
        <w:t xml:space="preserve">Throughout the studies conducted in this work, several interesting research questions emerged that could be further pursued in future research within the domain of video game engagement. Some of these potential research areas were discovered through the analysis of open-ended questions. A number of participants identified that they lacked time in order to experience Flow. These participants mentioned that in order to properly experience Flow throughout an activity, one has to have ongoing interaction with the technology and report their involvement over a longer period of time. As such, future studies can deploy longitudinal survey designs, in particular Experience Sampling Method (ESM) that was originally proposed by </w:t>
      </w:r>
      <w:proofErr w:type="spellStart"/>
      <w:r>
        <w:lastRenderedPageBreak/>
        <w:t>Csikszentmihalyi</w:t>
      </w:r>
      <w:proofErr w:type="spellEnd"/>
      <w:r>
        <w:t xml:space="preserve"> and Larson </w:t>
      </w:r>
      <w:r>
        <w:fldChar w:fldCharType="begin" w:fldLock="1"/>
      </w:r>
      <w:r w:rsidR="00AC1F7D">
        <w:instrText>ADDIN CSL_CITATION { "citationItems" : [ { "id" : "ITEM-1", "itemData" : { "ISSN" : "0022-3018", "PMID" : "3655778", "abstract" : "To understand the dynamics of mental health, it is essential to develop measures for the frequency and the patterning of mental processes in every-day-life situations. The Experience-Sampling Method (ESM) is an attempt to provide a valid instrument to describe variations in self-reports of mental processes. It can be used to obtain empirical data on the following types of variables: a) frequency and patterning of daily activity, social interaction, and changes in location; b) frequency, intensity, and patterning of psychological states, i.e., emotional, cognitive, and conative dimensions of experience; c) frequency and patterning of thoughts, including quality and intensity of thought disturbance. The article reviews practical and methodological issues of the ESM and presents evidence for its short- and long-term reliability when used as an instrument for assessing the variables outlined above. It also presents evidence for validity by showing correlation between ESM measures on the one hand and physiological measures, one-time psychological tests, and behavioral indices on the other. A number of studies with normal and clinical populations that have used the ESM are reviewed to demonstrate the range of issues to which the technique can be usefully applied.", "author" : [ { "dropping-particle" : "", "family" : "Csikszentmihalyi", "given" : "M", "non-dropping-particle" : "", "parse-names" : false, "suffix" : "" }, { "dropping-particle" : "", "family" : "Larson", "given" : "R", "non-dropping-particle" : "", "parse-names" : false, "suffix" : "" } ], "container-title" : "The Journal of nervous and mental disease", "id" : "ITEM-1", "issue" : "9", "issued" : { "date-parts" : [ [ "1987", "9" ] ] }, "page" : "526-36", "title" : "Validity and reliability of the Experience-Sampling Method.", "type" : "article-journal", "volume" : "175" }, "suppress-author" : 1, "uris" : [ "http://www.mendeley.com/documents/?uuid=10fe238a-1a63-4f7b-898b-ee4c4ba98edd" ] } ], "mendeley" : { "previouslyFormattedCitation" : "(1987)" }, "properties" : { "noteIndex" : 0 }, "schema" : "https://github.com/citation-style-language/schema/raw/master/csl-citation.json" }</w:instrText>
      </w:r>
      <w:r>
        <w:fldChar w:fldCharType="separate"/>
      </w:r>
      <w:r w:rsidRPr="004F0997">
        <w:rPr>
          <w:noProof/>
        </w:rPr>
        <w:t>(1987)</w:t>
      </w:r>
      <w:r>
        <w:fldChar w:fldCharType="end"/>
      </w:r>
      <w:r>
        <w:t xml:space="preserve">. ESM is a technique that is suitable for studies that aim to investigate frequency, pattern, and intensity of variables throughout daily activities, such as </w:t>
      </w:r>
      <w:r w:rsidRPr="004F0997">
        <w:rPr>
          <w:lang w:val="en-US"/>
        </w:rPr>
        <w:t>emotional, cognitive, and conative dimensions of experience</w:t>
      </w:r>
      <w:r>
        <w:rPr>
          <w:lang w:val="en-US"/>
        </w:rPr>
        <w:t xml:space="preserve">. By using ESM for measuring Flow, scholars will be able to examine “the </w:t>
      </w:r>
      <w:r w:rsidRPr="00943C32">
        <w:rPr>
          <w:lang w:val="en-US"/>
        </w:rPr>
        <w:t>magnitude, duration, and sequences of states, as well as an investigation of correlations between t</w:t>
      </w:r>
      <w:r>
        <w:rPr>
          <w:lang w:val="en-US"/>
        </w:rPr>
        <w:t xml:space="preserve">he occurrences of different experiences” </w:t>
      </w:r>
      <w:r>
        <w:rPr>
          <w:lang w:val="en-US"/>
        </w:rPr>
        <w:fldChar w:fldCharType="begin" w:fldLock="1"/>
      </w:r>
      <w:r w:rsidR="00AC1F7D">
        <w:rPr>
          <w:lang w:val="en-US"/>
        </w:rPr>
        <w:instrText>ADDIN CSL_CITATION { "citationItems" : [ { "id" : "ITEM-1", "itemData" : { "ISSN" : "0022-3018", "PMID" : "3655778", "abstract" : "To understand the dynamics of mental health, it is essential to develop measures for the frequency and the patterning of mental processes in every-day-life situations. The Experience-Sampling Method (ESM) is an attempt to provide a valid instrument to describe variations in self-reports of mental processes. It can be used to obtain empirical data on the following types of variables: a) frequency and patterning of daily activity, social interaction, and changes in location; b) frequency, intensity, and patterning of psychological states, i.e., emotional, cognitive, and conative dimensions of experience; c) frequency and patterning of thoughts, including quality and intensity of thought disturbance. The article reviews practical and methodological issues of the ESM and presents evidence for its short- and long-term reliability when used as an instrument for assessing the variables outlined above. It also presents evidence for validity by showing correlation between ESM measures on the one hand and physiological measures, one-time psychological tests, and behavioral indices on the other. A number of studies with normal and clinical populations that have used the ESM are reviewed to demonstrate the range of issues to which the technique can be usefully applied.", "author" : [ { "dropping-particle" : "", "family" : "Csikszentmihalyi", "given" : "M", "non-dropping-particle" : "", "parse-names" : false, "suffix" : "" }, { "dropping-particle" : "", "family" : "Larson", "given" : "R", "non-dropping-particle" : "", "parse-names" : false, "suffix" : "" } ], "container-title" : "The Journal of nervous and mental disease", "id" : "ITEM-1", "issue" : "9", "issued" : { "date-parts" : [ [ "1987", "9" ] ] }, "page" : "526-36", "title" : "Validity and reliability of the Experience-Sampling Method.", "type" : "article-journal", "volume" : "175" }, "locator" : "533", "uris" : [ "http://www.mendeley.com/documents/?uuid=10fe238a-1a63-4f7b-898b-ee4c4ba98edd" ] } ], "mendeley" : { "previouslyFormattedCitation" : "(Csikszentmihalyi &amp; Larson, 1987, p. 533)" }, "properties" : { "noteIndex" : 0 }, "schema" : "https://github.com/citation-style-language/schema/raw/master/csl-citation.json" }</w:instrText>
      </w:r>
      <w:r>
        <w:rPr>
          <w:lang w:val="en-US"/>
        </w:rPr>
        <w:fldChar w:fldCharType="separate"/>
      </w:r>
      <w:r w:rsidRPr="00943C32">
        <w:rPr>
          <w:noProof/>
          <w:lang w:val="en-US"/>
        </w:rPr>
        <w:t>(Csikszentmihalyi &amp; Larson, 1987, p. 533)</w:t>
      </w:r>
      <w:r>
        <w:rPr>
          <w:lang w:val="en-US"/>
        </w:rPr>
        <w:fldChar w:fldCharType="end"/>
      </w:r>
      <w:r>
        <w:rPr>
          <w:lang w:val="en-US"/>
        </w:rPr>
        <w:t xml:space="preserve">. </w:t>
      </w:r>
    </w:p>
    <w:p w14:paraId="292352C4" w14:textId="5DBDB317" w:rsidR="00597EDC" w:rsidRDefault="00597EDC" w:rsidP="00597EDC">
      <w:r>
        <w:rPr>
          <w:lang w:val="en-US"/>
        </w:rPr>
        <w:t xml:space="preserve">Future studies can also investigate the role of Information Quality in engagement and satisfaction, in particular in educational and work related video games. Recall from Chapter 3, as </w:t>
      </w:r>
      <w:proofErr w:type="spellStart"/>
      <w:r>
        <w:t>DeLone</w:t>
      </w:r>
      <w:proofErr w:type="spellEnd"/>
      <w:r>
        <w:t xml:space="preserve"> and McLean (1992) have proposed, antecedents of Satisfaction </w:t>
      </w:r>
      <w:r w:rsidR="004E06A4">
        <w:t>can be attributed to</w:t>
      </w:r>
      <w:r>
        <w:t xml:space="preserve"> Information and System Quality. In this investigation, however, only the aspect of System Quality was </w:t>
      </w:r>
      <w:r w:rsidR="004E06A4">
        <w:t>addressed</w:t>
      </w:r>
      <w:r>
        <w:t xml:space="preserve"> through analyzing the role of competition</w:t>
      </w:r>
      <w:r w:rsidR="004E06A4">
        <w:t xml:space="preserve"> (as an element of system)</w:t>
      </w:r>
      <w:r>
        <w:t xml:space="preserve"> in video game engagement and satisfaction. To better understand how competition within the context of video games, can be used to improve engagement in work and learning, the effect of learning and work-related material and its content (Information Quality) can be investigated in detail. </w:t>
      </w:r>
    </w:p>
    <w:p w14:paraId="0583DAAA" w14:textId="7EAB2A88" w:rsidR="00923054" w:rsidRDefault="00923054" w:rsidP="00597EDC">
      <w:r>
        <w:t xml:space="preserve">In addition to information quality, </w:t>
      </w:r>
      <w:r w:rsidR="000B45AA">
        <w:t>future</w:t>
      </w:r>
      <w:r>
        <w:t xml:space="preserve"> research </w:t>
      </w:r>
      <w:r w:rsidR="000B45AA">
        <w:t>could take a more granular approach to measuring the satisfaction construct</w:t>
      </w:r>
      <w:r>
        <w:t>. In the current research</w:t>
      </w:r>
      <w:r w:rsidR="000B45AA">
        <w:t>,</w:t>
      </w:r>
      <w:r>
        <w:t xml:space="preserve"> satisfaction was measured with two general questions </w:t>
      </w:r>
      <w:r w:rsidR="000B45AA">
        <w:t>that came from</w:t>
      </w:r>
      <w:r>
        <w:t xml:space="preserve"> extant literature. </w:t>
      </w:r>
      <w:r w:rsidR="000B45AA">
        <w:t>Future research</w:t>
      </w:r>
      <w:r>
        <w:t xml:space="preserve"> could </w:t>
      </w:r>
      <w:r w:rsidR="000B45AA">
        <w:t xml:space="preserve">employ </w:t>
      </w:r>
      <w:r>
        <w:t xml:space="preserve">a more detailed measurement of satisfaction such </w:t>
      </w:r>
      <w:r w:rsidR="00E54223">
        <w:t xml:space="preserve">as </w:t>
      </w:r>
      <w:r>
        <w:t xml:space="preserve">a </w:t>
      </w:r>
      <w:r w:rsidR="00E54223">
        <w:t xml:space="preserve">formative </w:t>
      </w:r>
      <w:r>
        <w:t xml:space="preserve">second-order </w:t>
      </w:r>
      <w:r w:rsidR="00E54223">
        <w:t>construct</w:t>
      </w:r>
      <w:r>
        <w:t xml:space="preserve"> that </w:t>
      </w:r>
      <w:r w:rsidR="00E54223">
        <w:t>entails</w:t>
      </w:r>
      <w:r>
        <w:t xml:space="preserve"> more specific aspects of the game experience</w:t>
      </w:r>
      <w:r w:rsidR="00E54223">
        <w:t xml:space="preserve"> like satisfaction with the learning outcomes, the results of competition, game controllers, or the game dynamics per se</w:t>
      </w:r>
      <w:r>
        <w:t>.</w:t>
      </w:r>
    </w:p>
    <w:p w14:paraId="4B2AF9D3" w14:textId="0CDB06A1" w:rsidR="00597EDC" w:rsidRDefault="00597EDC" w:rsidP="00597EDC">
      <w:r>
        <w:t xml:space="preserve">The saturated model analysis revealed that three of the non-hypothesized relationships were significant. Arousal had a significant effect on Satisfaction; Challenge had a significant </w:t>
      </w:r>
      <w:r>
        <w:lastRenderedPageBreak/>
        <w:t xml:space="preserve">effect on Satisfaction; and Competition Mode had a negative significant effect on Arousal. Future studies can investigate if Flow plays a major role as a mediator of the relationship between Challenge and Satisfaction, as well as between Arousal and Satisfaction. The results showed that Flow only partially mediates these relationships, despite the fact that the construct of Challenge was extracted directly from the theory of Flow. Extant literature revealed no theoretical justification for these direct relationships. Future research could seek to further investigate and explain these anomalies and provide grounding in appropriate theory. Additionally, the direct effect of Competition Mode on Arousal suggests that </w:t>
      </w:r>
      <w:r w:rsidR="00014857">
        <w:t>Situational</w:t>
      </w:r>
      <w:r>
        <w:t xml:space="preserve"> Competitiveness does not thoroughly explain the effect of various modes of gameplay on players’ excitement. Future research can seek to probe further into the antecedents of emotional Arousal during video gameplay.</w:t>
      </w:r>
    </w:p>
    <w:p w14:paraId="4ABEFE93" w14:textId="7EB41D92" w:rsidR="00597EDC" w:rsidRDefault="00597EDC" w:rsidP="00597EDC">
      <w:pPr>
        <w:rPr>
          <w:lang w:val="en-US"/>
        </w:rPr>
      </w:pPr>
      <w:r>
        <w:rPr>
          <w:lang w:val="en-US"/>
        </w:rPr>
        <w:t xml:space="preserve">Computer Adaptability is another potential area for future research. As the analysis of </w:t>
      </w:r>
      <w:r w:rsidR="009C0EC9">
        <w:rPr>
          <w:lang w:val="en-US"/>
        </w:rPr>
        <w:t xml:space="preserve">this </w:t>
      </w:r>
      <w:r w:rsidR="009C0EC9" w:rsidRPr="009C0EC9">
        <w:t>study’</w:t>
      </w:r>
      <w:r w:rsidR="009C0EC9">
        <w:t xml:space="preserve">s </w:t>
      </w:r>
      <w:r w:rsidRPr="009C0EC9">
        <w:t>open</w:t>
      </w:r>
      <w:r>
        <w:rPr>
          <w:lang w:val="en-US"/>
        </w:rPr>
        <w:t xml:space="preserve">-ended questions revealed, playing against the computer provides the advantage of being able to adapt the challenge and skill of the opponent with player’s skill levels. Participants indicated that they enjoyed having this feature in playing against the computer. Therefore, future studies can investigate various design approaches of computer opponents to increase motivation among students and employees during a serious game or a </w:t>
      </w:r>
      <w:proofErr w:type="spellStart"/>
      <w:r>
        <w:rPr>
          <w:lang w:val="en-US"/>
        </w:rPr>
        <w:t>gamified</w:t>
      </w:r>
      <w:proofErr w:type="spellEnd"/>
      <w:r>
        <w:rPr>
          <w:lang w:val="en-US"/>
        </w:rPr>
        <w:t xml:space="preserve"> system.</w:t>
      </w:r>
    </w:p>
    <w:p w14:paraId="1C392EF6" w14:textId="77777777" w:rsidR="00597EDC" w:rsidRDefault="00597EDC" w:rsidP="00597EDC">
      <w:pPr>
        <w:rPr>
          <w:lang w:val="en-US"/>
        </w:rPr>
      </w:pPr>
      <w:r>
        <w:rPr>
          <w:lang w:val="en-US"/>
        </w:rPr>
        <w:t xml:space="preserve">The analysis of control variables also showed that previous experiences, first gaming experience as well as education and age play an important role in how much people perceive a video game to be challenging or exciting or how much they engage in the game. As such, future research can investigate the role of different variables that were only control variables in this research. Moreover, open-ended questions showed that how fair participants perceived the game to be could influence their perception of Challenge in the game and even how much they </w:t>
      </w:r>
      <w:r>
        <w:rPr>
          <w:lang w:val="en-US"/>
        </w:rPr>
        <w:lastRenderedPageBreak/>
        <w:t>engaged in playing. Therefore, the perception of fairness is an important aspect of a competitive video game, and perhaps non-video game competitive systems that researchers can address.</w:t>
      </w:r>
    </w:p>
    <w:p w14:paraId="58CB59E0" w14:textId="656597F7" w:rsidR="00597EDC" w:rsidRDefault="00923054" w:rsidP="00597EDC">
      <w:pPr>
        <w:rPr>
          <w:lang w:val="en-US"/>
        </w:rPr>
      </w:pPr>
      <w:r>
        <w:rPr>
          <w:lang w:val="en-US"/>
        </w:rPr>
        <w:t>Moreover</w:t>
      </w:r>
      <w:r w:rsidR="00597EDC">
        <w:rPr>
          <w:lang w:val="en-US"/>
        </w:rPr>
        <w:t xml:space="preserve">, in the current investigation, engagement and addiction were treated as separate concepts. Video game addiction was not investigated in this research. However, despite the evidence that engagement and addiction are separate constructs </w:t>
      </w:r>
      <w:r w:rsidR="00597EDC">
        <w:rPr>
          <w:lang w:val="en-US"/>
        </w:rPr>
        <w:fldChar w:fldCharType="begin" w:fldLock="1"/>
      </w:r>
      <w:r w:rsidR="00AC1F7D">
        <w:rPr>
          <w:lang w:val="en-US"/>
        </w:rPr>
        <w:instrText>ADDIN CSL_CITATION { "citationItems" : [ { "id" : "ITEM-1", "itemData" : { "DOI" : "10.1016/j.chb.2005.07.002", "ISSN" : "07475632", "author" : [ { "dropping-particle" : "", "family" : "Charlton", "given" : "J", "non-dropping-particle" : "", "parse-names" : false, "suffix" : "" }, { "dropping-particle" : "", "family" : "Danforth", "given" : "I", "non-dropping-particle" : "", "parse-names" : false, "suffix" : "" } ], "container-title" : "Computers in Human Behavior", "id" : "ITEM-1", "issue" : "3", "issued" : { "date-parts" : [ [ "2007", "5" ] ] }, "page" : "1531-1548", "title" : "Distinguishing addiction and high engagement in the context of online game playing", "type" : "article-journal", "volume" : "23" }, "uris" : [ "http://www.mendeley.com/documents/?uuid=9317d1d5-77bc-43cd-9b55-e639b4439f28" ] } ], "mendeley" : { "previouslyFormattedCitation" : "(Charlton &amp; Danforth, 2007)" }, "properties" : { "noteIndex" : 0 }, "schema" : "https://github.com/citation-style-language/schema/raw/master/csl-citation.json" }</w:instrText>
      </w:r>
      <w:r w:rsidR="00597EDC">
        <w:rPr>
          <w:lang w:val="en-US"/>
        </w:rPr>
        <w:fldChar w:fldCharType="separate"/>
      </w:r>
      <w:r w:rsidR="00597EDC" w:rsidRPr="007F4126">
        <w:rPr>
          <w:noProof/>
          <w:lang w:val="en-US"/>
        </w:rPr>
        <w:t>(Charlton &amp; Danforth, 2007)</w:t>
      </w:r>
      <w:r w:rsidR="00597EDC">
        <w:rPr>
          <w:lang w:val="en-US"/>
        </w:rPr>
        <w:fldChar w:fldCharType="end"/>
      </w:r>
      <w:r w:rsidR="00597EDC">
        <w:rPr>
          <w:lang w:val="en-US"/>
        </w:rPr>
        <w:t xml:space="preserve"> recent studies have shown that engagement could be a stepping stone for addiction </w:t>
      </w:r>
      <w:r w:rsidR="00597EDC">
        <w:rPr>
          <w:lang w:val="en-US"/>
        </w:rPr>
        <w:fldChar w:fldCharType="begin" w:fldLock="1"/>
      </w:r>
      <w:r w:rsidR="00AC1F7D">
        <w:rPr>
          <w:lang w:val="en-US"/>
        </w:rPr>
        <w:instrText>ADDIN CSL_CITATION { "citationItems" : [ { "id" : "ITEM-1", "itemData" : { "DOI" : "10.1177/1555412014538811", "ISBN" : "1555412014538", "ISSN" : "1555-4120", "author" : [ { "dropping-particle" : "", "family" : "Seok", "given" : "S.", "non-dropping-particle" : "", "parse-names" : false, "suffix" : "" }, { "dropping-particle" : "", "family" : "DaCosta", "given" : "B.", "non-dropping-particle" : "", "parse-names" : false, "suffix" : "" } ], "container-title" : "Games and Culture", "id" : "ITEM-1", "issue" : "4", "issued" : { "date-parts" : [ [ "2014", "7", "13" ] ] }, "page" : "227-254", "title" : "Distinguishing Addiction From High Engagement: An Investigation Into the Social Lives of Adolescent and Young Adult Massively Multiplayer Online Game Players", "type" : "article-journal", "volume" : "9" }, "uris" : [ "http://www.mendeley.com/documents/?uuid=9a1efb7f-9abb-4215-a036-859e2145a3cb" ] } ], "mendeley" : { "previouslyFormattedCitation" : "(Seok &amp; DaCosta, 2014)" }, "properties" : { "noteIndex" : 0 }, "schema" : "https://github.com/citation-style-language/schema/raw/master/csl-citation.json" }</w:instrText>
      </w:r>
      <w:r w:rsidR="00597EDC">
        <w:rPr>
          <w:lang w:val="en-US"/>
        </w:rPr>
        <w:fldChar w:fldCharType="separate"/>
      </w:r>
      <w:r w:rsidR="00597EDC" w:rsidRPr="00AE22C2">
        <w:rPr>
          <w:noProof/>
          <w:lang w:val="en-US"/>
        </w:rPr>
        <w:t>(Seok &amp; DaCosta, 2014)</w:t>
      </w:r>
      <w:r w:rsidR="00597EDC">
        <w:rPr>
          <w:lang w:val="en-US"/>
        </w:rPr>
        <w:fldChar w:fldCharType="end"/>
      </w:r>
      <w:r w:rsidR="00597EDC">
        <w:rPr>
          <w:lang w:val="en-US"/>
        </w:rPr>
        <w:t xml:space="preserve">. Future studies should examine in depth the dual perspective of engagement/addiction, in the context of video games. It is important to understand how various elements, such as competition, can play a role in engaging or enabling problematic </w:t>
      </w:r>
      <w:r w:rsidR="00597EDC" w:rsidRPr="007F4126">
        <w:t>behaviour</w:t>
      </w:r>
      <w:r w:rsidR="00597EDC">
        <w:rPr>
          <w:lang w:val="en-US"/>
        </w:rPr>
        <w:t xml:space="preserve"> among video </w:t>
      </w:r>
      <w:proofErr w:type="spellStart"/>
      <w:r w:rsidR="00547B98">
        <w:rPr>
          <w:lang w:val="en-US"/>
        </w:rPr>
        <w:t>gameplay</w:t>
      </w:r>
      <w:r w:rsidR="00597EDC">
        <w:rPr>
          <w:lang w:val="en-US"/>
        </w:rPr>
        <w:t>ers</w:t>
      </w:r>
      <w:proofErr w:type="spellEnd"/>
      <w:r w:rsidR="00597EDC">
        <w:rPr>
          <w:lang w:val="en-US"/>
        </w:rPr>
        <w:t xml:space="preserve">. Various environmental and personal factors, such as the ones proposed in other works </w:t>
      </w:r>
      <w:r w:rsidR="00597EDC">
        <w:rPr>
          <w:lang w:val="en-US"/>
        </w:rPr>
        <w:fldChar w:fldCharType="begin" w:fldLock="1"/>
      </w:r>
      <w:r w:rsidR="00AC1F7D">
        <w:rPr>
          <w:lang w:val="en-US"/>
        </w:rPr>
        <w:instrText>ADDIN CSL_CITATION { "citationItems" : [ { "id" : "ITEM-1", "itemData" : { "author" : [ { "dropping-particle" : "", "family" : "Sepehr", "given" : "Sepandar", "non-dropping-particle" : "", "parse-names" : false, "suffix" : "" }, { "dropping-particle" : "", "family" : "Head", "given" : "Milena", "non-dropping-particle" : "", "parse-names" : false, "suffix" : "" } ], "container-title" : "the 11th Pre-ICIS Annual Workshop on HCI Research in MIS", "id" : "ITEM-1", "issued" : { "date-parts" : [ [ "2012" ] ] }, "publisher-place" : "Orlando, Florida, USA, December 16, 2012", "title" : "Dualistic Model of Passionate Video Gameplay: Addiction or Flow?", "type" : "paper-conference" }, "uris" : [ "http://www.mendeley.com/documents/?uuid=60ac241b-91ee-4132-b09c-04b891ddc019" ] } ], "mendeley" : { "previouslyFormattedCitation" : "(Sepehr &amp; Head, 2012b)" }, "properties" : { "noteIndex" : 0 }, "schema" : "https://github.com/citation-style-language/schema/raw/master/csl-citation.json" }</w:instrText>
      </w:r>
      <w:r w:rsidR="00597EDC">
        <w:rPr>
          <w:lang w:val="en-US"/>
        </w:rPr>
        <w:fldChar w:fldCharType="separate"/>
      </w:r>
      <w:r w:rsidR="00597EDC" w:rsidRPr="001453F2">
        <w:rPr>
          <w:noProof/>
          <w:lang w:val="en-US"/>
        </w:rPr>
        <w:t>(Sepehr &amp; Head, 2012b)</w:t>
      </w:r>
      <w:r w:rsidR="00597EDC">
        <w:rPr>
          <w:lang w:val="en-US"/>
        </w:rPr>
        <w:fldChar w:fldCharType="end"/>
      </w:r>
      <w:r w:rsidR="00597EDC">
        <w:rPr>
          <w:lang w:val="en-US"/>
        </w:rPr>
        <w:t xml:space="preserve"> could be included in such studies. </w:t>
      </w:r>
    </w:p>
    <w:p w14:paraId="4633F5FA" w14:textId="6ECA6B68" w:rsidR="00BF0483" w:rsidRPr="004F0997" w:rsidRDefault="00BF0483" w:rsidP="00597EDC">
      <w:pPr>
        <w:rPr>
          <w:lang w:val="en-US"/>
        </w:rPr>
      </w:pPr>
      <w:r>
        <w:rPr>
          <w:lang w:val="en-US"/>
        </w:rPr>
        <w:t>Last</w:t>
      </w:r>
      <w:r w:rsidR="00CD660E">
        <w:rPr>
          <w:lang w:val="en-US"/>
        </w:rPr>
        <w:t>ly</w:t>
      </w:r>
      <w:r>
        <w:rPr>
          <w:lang w:val="en-US"/>
        </w:rPr>
        <w:t xml:space="preserve">, Social Presence was shown to mediate the relationship between competition mode and Situational Competitiveness. </w:t>
      </w:r>
      <w:r w:rsidR="00CD660E">
        <w:rPr>
          <w:lang w:val="en-US"/>
        </w:rPr>
        <w:t>Future research</w:t>
      </w:r>
      <w:r>
        <w:rPr>
          <w:lang w:val="en-US"/>
        </w:rPr>
        <w:t xml:space="preserve"> can be focused on analyzing the role of various Social Presence elements in competitiveness of video games.</w:t>
      </w:r>
      <w:r w:rsidR="0035110F">
        <w:rPr>
          <w:lang w:val="en-US"/>
        </w:rPr>
        <w:t xml:space="preserve"> Similar to the experimental studies of </w:t>
      </w:r>
      <w:r w:rsidR="0035110F">
        <w:t xml:space="preserve">Cyr et al. (2009) and </w:t>
      </w:r>
      <w:proofErr w:type="spellStart"/>
      <w:r w:rsidR="0035110F">
        <w:rPr>
          <w:lang w:val="en-US"/>
        </w:rPr>
        <w:t>Hassanein</w:t>
      </w:r>
      <w:proofErr w:type="spellEnd"/>
      <w:r w:rsidR="0035110F">
        <w:rPr>
          <w:lang w:val="en-US"/>
        </w:rPr>
        <w:t xml:space="preserve"> and Head</w:t>
      </w:r>
      <w:r>
        <w:rPr>
          <w:lang w:val="en-US"/>
        </w:rPr>
        <w:t xml:space="preserve"> (2007)</w:t>
      </w:r>
      <w:r w:rsidR="0035110F">
        <w:rPr>
          <w:lang w:val="en-US"/>
        </w:rPr>
        <w:t>,</w:t>
      </w:r>
      <w:r>
        <w:rPr>
          <w:lang w:val="en-US"/>
        </w:rPr>
        <w:t xml:space="preserve"> other video games settings </w:t>
      </w:r>
      <w:r w:rsidR="0035110F">
        <w:rPr>
          <w:lang w:val="en-US"/>
        </w:rPr>
        <w:t xml:space="preserve">can be used to study the effect of system elements related to Social Presence. </w:t>
      </w:r>
      <w:r w:rsidR="00CD660E">
        <w:rPr>
          <w:lang w:val="en-US"/>
        </w:rPr>
        <w:t xml:space="preserve">For example, researchers could examine the </w:t>
      </w:r>
      <w:r w:rsidR="0035110F">
        <w:rPr>
          <w:lang w:val="en-US"/>
        </w:rPr>
        <w:t xml:space="preserve">difference between the </w:t>
      </w:r>
      <w:proofErr w:type="gramStart"/>
      <w:r w:rsidR="0035110F">
        <w:rPr>
          <w:lang w:val="en-US"/>
        </w:rPr>
        <w:t>effect</w:t>
      </w:r>
      <w:proofErr w:type="gramEnd"/>
      <w:r w:rsidR="0035110F">
        <w:rPr>
          <w:lang w:val="en-US"/>
        </w:rPr>
        <w:t xml:space="preserve"> of a video game that entails human elements versus another game</w:t>
      </w:r>
      <w:r w:rsidR="00CD660E">
        <w:rPr>
          <w:lang w:val="en-US"/>
        </w:rPr>
        <w:t>,</w:t>
      </w:r>
      <w:r w:rsidR="0035110F">
        <w:rPr>
          <w:lang w:val="en-US"/>
        </w:rPr>
        <w:t xml:space="preserve"> such as </w:t>
      </w:r>
      <w:proofErr w:type="spellStart"/>
      <w:r w:rsidR="0035110F">
        <w:rPr>
          <w:lang w:val="en-US"/>
        </w:rPr>
        <w:t>TypeRacer</w:t>
      </w:r>
      <w:proofErr w:type="spellEnd"/>
      <w:r w:rsidR="00CD660E">
        <w:rPr>
          <w:lang w:val="en-US"/>
        </w:rPr>
        <w:t>,</w:t>
      </w:r>
      <w:r w:rsidR="0035110F">
        <w:rPr>
          <w:lang w:val="en-US"/>
        </w:rPr>
        <w:t xml:space="preserve"> that does not include human elements when players </w:t>
      </w:r>
      <w:r w:rsidR="00CD660E">
        <w:rPr>
          <w:lang w:val="en-US"/>
        </w:rPr>
        <w:t>are</w:t>
      </w:r>
      <w:r w:rsidR="0035110F">
        <w:rPr>
          <w:lang w:val="en-US"/>
        </w:rPr>
        <w:t xml:space="preserve"> competing against</w:t>
      </w:r>
      <w:r w:rsidR="00CD660E">
        <w:rPr>
          <w:lang w:val="en-US"/>
        </w:rPr>
        <w:t xml:space="preserve"> the</w:t>
      </w:r>
      <w:r w:rsidR="0035110F">
        <w:rPr>
          <w:lang w:val="en-US"/>
        </w:rPr>
        <w:t xml:space="preserve"> computer only.</w:t>
      </w:r>
    </w:p>
    <w:p w14:paraId="0C43BD4C" w14:textId="77777777" w:rsidR="00597EDC" w:rsidRDefault="00597EDC" w:rsidP="00597EDC">
      <w:pPr>
        <w:pStyle w:val="Heading2"/>
      </w:pPr>
      <w:bookmarkStart w:id="116" w:name="_Toc275209849"/>
      <w:r>
        <w:t>Conclusion</w:t>
      </w:r>
      <w:bookmarkEnd w:id="116"/>
    </w:p>
    <w:p w14:paraId="1DC1B4B3" w14:textId="55375BF5" w:rsidR="00597EDC" w:rsidRDefault="00597EDC" w:rsidP="00597EDC">
      <w:r>
        <w:t xml:space="preserve">The main objective of this dissertation research was to study the role of competition in video games, which could be used for engaging students and employees for learning and work related outcomes. As younger generations are playing more video games </w:t>
      </w:r>
      <w:r w:rsidR="00CC29EB">
        <w:t>every day</w:t>
      </w:r>
      <w:r>
        <w:t xml:space="preserve">, it becomes </w:t>
      </w:r>
      <w:r>
        <w:lastRenderedPageBreak/>
        <w:t xml:space="preserve">increasingly important for schools and workplaces to harness this technology to help achieve positive outcomes. The </w:t>
      </w:r>
      <w:r w:rsidR="003D40C4">
        <w:t xml:space="preserve">preliminary </w:t>
      </w:r>
      <w:r>
        <w:t xml:space="preserve">study of this research </w:t>
      </w:r>
      <w:r w:rsidR="00627A64">
        <w:t>(</w:t>
      </w:r>
      <w:r w:rsidR="003D40C4">
        <w:t>Appendix 2</w:t>
      </w:r>
      <w:r w:rsidR="00627A64">
        <w:t xml:space="preserve">) </w:t>
      </w:r>
      <w:r>
        <w:t xml:space="preserve">validated the importance of competition element in engaging students in an educational video game. The second study further tested this claim by validating the proposed model of competitive video </w:t>
      </w:r>
      <w:r w:rsidR="00547B98">
        <w:t>gameplay</w:t>
      </w:r>
      <w:r>
        <w:t xml:space="preserve">ing through an extensive laboratory experiment with 104 participants. The findings of the main study supported the significant effect of competition on experiencing Flow and feeling satisfied from the video </w:t>
      </w:r>
      <w:r w:rsidR="00547B98">
        <w:t>gameplay</w:t>
      </w:r>
      <w:r>
        <w:t xml:space="preserve">ing experience through increasing perception of competitiveness of the video game. </w:t>
      </w:r>
      <w:r w:rsidR="00014857">
        <w:t>Situational</w:t>
      </w:r>
      <w:r>
        <w:t xml:space="preserve"> Competitiveness increased the chance of being in </w:t>
      </w:r>
      <w:r w:rsidR="00CC29EB">
        <w:t xml:space="preserve">a </w:t>
      </w:r>
      <w:r>
        <w:t xml:space="preserve">state of Flow by influencing the level of Challenge of the video game and Arousal or excitement during the game. This research also aimed to analyze the various effects of situational and personal differences on the level of </w:t>
      </w:r>
      <w:r w:rsidR="00014857">
        <w:t>Situational</w:t>
      </w:r>
      <w:r>
        <w:t xml:space="preserve"> Competitiveness. The experiment’s data supported the hypotheses that various levels of Dispositional Competitiveness and various modes of Competition (i.e. no competition, competing against computer, competing against a stranger, and competing against a familiar person in increasing order) have increasing positive effects on </w:t>
      </w:r>
      <w:r w:rsidR="00014857">
        <w:t>Situational</w:t>
      </w:r>
      <w:r>
        <w:t xml:space="preserve"> Competitiveness of a video game. Social Presence also mediated the relationship between competition mode and </w:t>
      </w:r>
      <w:r w:rsidR="00014857">
        <w:t>Situational</w:t>
      </w:r>
      <w:r>
        <w:t xml:space="preserve"> Competitiveness. </w:t>
      </w:r>
    </w:p>
    <w:p w14:paraId="2B3DF153" w14:textId="3ADA9556" w:rsidR="00597EDC" w:rsidRPr="002D08E0" w:rsidRDefault="00597EDC" w:rsidP="00597EDC">
      <w:r>
        <w:t xml:space="preserve">Overall, this research showed the importance of competition as a driver of video game engagement and satisfaction. This work offered some insights for other hedonic IS and provided guidelines and possible avenues for future IS research in this area. Even though the process through which competition enables video </w:t>
      </w:r>
      <w:proofErr w:type="spellStart"/>
      <w:r w:rsidR="00547B98">
        <w:t>gameplay</w:t>
      </w:r>
      <w:r>
        <w:t>ers</w:t>
      </w:r>
      <w:proofErr w:type="spellEnd"/>
      <w:r>
        <w:t xml:space="preserve"> to experience Flow was critically examined and accounted for, there is much more to discover in the increasingly relevant area of educational and work-related video games. </w:t>
      </w:r>
    </w:p>
    <w:p w14:paraId="2037FE63" w14:textId="0142CBB2" w:rsidR="00805FD5" w:rsidRPr="00BC081A" w:rsidRDefault="00805FD5" w:rsidP="00805FD5">
      <w:r w:rsidRPr="00BC081A">
        <w:rPr>
          <w:highlight w:val="lightGray"/>
        </w:rPr>
        <w:br w:type="page"/>
      </w:r>
    </w:p>
    <w:p w14:paraId="45ED60C8" w14:textId="22A9718B" w:rsidR="00FC3905" w:rsidRPr="00BC081A" w:rsidRDefault="000F4BBC" w:rsidP="00597EDC">
      <w:pPr>
        <w:pStyle w:val="Heading1"/>
        <w:numPr>
          <w:ilvl w:val="0"/>
          <w:numId w:val="0"/>
        </w:numPr>
        <w:ind w:left="432"/>
        <w:rPr>
          <w:rFonts w:ascii="Times" w:eastAsiaTheme="minorEastAsia" w:hAnsi="Times" w:cs="Times New Roman"/>
          <w:b w:val="0"/>
          <w:bCs w:val="0"/>
          <w:caps w:val="0"/>
          <w:color w:val="auto"/>
          <w:sz w:val="20"/>
          <w:szCs w:val="20"/>
        </w:rPr>
      </w:pPr>
      <w:bookmarkStart w:id="117" w:name="_Toc275209850"/>
      <w:r w:rsidRPr="00BC081A">
        <w:lastRenderedPageBreak/>
        <w:t>References</w:t>
      </w:r>
      <w:bookmarkEnd w:id="117"/>
    </w:p>
    <w:p w14:paraId="644F1253" w14:textId="007C91A8" w:rsidR="00AC1F7D" w:rsidRPr="00AC1F7D" w:rsidRDefault="00FC3905">
      <w:pPr>
        <w:pStyle w:val="NormalWeb"/>
        <w:ind w:left="480" w:hanging="480"/>
        <w:divId w:val="1663384982"/>
        <w:rPr>
          <w:noProof/>
          <w:sz w:val="24"/>
        </w:rPr>
      </w:pPr>
      <w:r w:rsidRPr="00BC081A">
        <w:rPr>
          <w:lang w:val="en-CA"/>
        </w:rPr>
        <w:fldChar w:fldCharType="begin" w:fldLock="1"/>
      </w:r>
      <w:r w:rsidRPr="00BC081A">
        <w:rPr>
          <w:lang w:val="en-CA"/>
        </w:rPr>
        <w:instrText xml:space="preserve">ADDIN Mendeley Bibliography CSL_BIBLIOGRAPHY </w:instrText>
      </w:r>
      <w:r w:rsidRPr="00BC081A">
        <w:rPr>
          <w:lang w:val="en-CA"/>
        </w:rPr>
        <w:fldChar w:fldCharType="separate"/>
      </w:r>
      <w:r w:rsidR="00AC1F7D" w:rsidRPr="00AC1F7D">
        <w:rPr>
          <w:noProof/>
          <w:sz w:val="24"/>
        </w:rPr>
        <w:t xml:space="preserve">Abt, C. C. (1987). </w:t>
      </w:r>
      <w:r w:rsidR="00AC1F7D" w:rsidRPr="00AC1F7D">
        <w:rPr>
          <w:i/>
          <w:iCs/>
          <w:noProof/>
          <w:sz w:val="24"/>
        </w:rPr>
        <w:t>Serious games</w:t>
      </w:r>
      <w:r w:rsidR="00AC1F7D" w:rsidRPr="00AC1F7D">
        <w:rPr>
          <w:noProof/>
          <w:sz w:val="24"/>
        </w:rPr>
        <w:t>. University Press of America.</w:t>
      </w:r>
    </w:p>
    <w:p w14:paraId="487EF722" w14:textId="77777777" w:rsidR="00AC1F7D" w:rsidRPr="00AC1F7D" w:rsidRDefault="00AC1F7D">
      <w:pPr>
        <w:pStyle w:val="NormalWeb"/>
        <w:ind w:left="480" w:hanging="480"/>
        <w:divId w:val="1663384982"/>
        <w:rPr>
          <w:noProof/>
          <w:sz w:val="24"/>
        </w:rPr>
      </w:pPr>
      <w:r w:rsidRPr="00AC1F7D">
        <w:rPr>
          <w:noProof/>
          <w:sz w:val="24"/>
        </w:rPr>
        <w:t xml:space="preserve">Abuhamdeh, S., &amp; Csikszentmihalyi, M. (2012). The importance of challenge for the enjoyment of intrinsically motivated, goal-directed activities. </w:t>
      </w:r>
      <w:r w:rsidRPr="00AC1F7D">
        <w:rPr>
          <w:i/>
          <w:iCs/>
          <w:noProof/>
          <w:sz w:val="24"/>
        </w:rPr>
        <w:t>Personality &amp; Social Psychology Bulletin</w:t>
      </w:r>
      <w:r w:rsidRPr="00AC1F7D">
        <w:rPr>
          <w:noProof/>
          <w:sz w:val="24"/>
        </w:rPr>
        <w:t xml:space="preserve">, </w:t>
      </w:r>
      <w:r w:rsidRPr="00AC1F7D">
        <w:rPr>
          <w:i/>
          <w:iCs/>
          <w:noProof/>
          <w:sz w:val="24"/>
        </w:rPr>
        <w:t>38</w:t>
      </w:r>
      <w:r w:rsidRPr="00AC1F7D">
        <w:rPr>
          <w:noProof/>
          <w:sz w:val="24"/>
        </w:rPr>
        <w:t>(3), 317–30. doi:10.1177/0146167211427147</w:t>
      </w:r>
    </w:p>
    <w:p w14:paraId="49DBAC4B" w14:textId="77777777" w:rsidR="00AC1F7D" w:rsidRPr="00AC1F7D" w:rsidRDefault="00AC1F7D">
      <w:pPr>
        <w:pStyle w:val="NormalWeb"/>
        <w:ind w:left="480" w:hanging="480"/>
        <w:divId w:val="1663384982"/>
        <w:rPr>
          <w:noProof/>
          <w:sz w:val="24"/>
        </w:rPr>
      </w:pPr>
      <w:r w:rsidRPr="00AC1F7D">
        <w:rPr>
          <w:noProof/>
          <w:sz w:val="24"/>
        </w:rPr>
        <w:t xml:space="preserve">Acier, D., &amp; Kern, L. (2011). Problematic Internet use: Perceptions of addiction counsellors. </w:t>
      </w:r>
      <w:r w:rsidRPr="00AC1F7D">
        <w:rPr>
          <w:i/>
          <w:iCs/>
          <w:noProof/>
          <w:sz w:val="24"/>
        </w:rPr>
        <w:t>Computers &amp; Education</w:t>
      </w:r>
      <w:r w:rsidRPr="00AC1F7D">
        <w:rPr>
          <w:noProof/>
          <w:sz w:val="24"/>
        </w:rPr>
        <w:t xml:space="preserve">, </w:t>
      </w:r>
      <w:r w:rsidRPr="00AC1F7D">
        <w:rPr>
          <w:i/>
          <w:iCs/>
          <w:noProof/>
          <w:sz w:val="24"/>
        </w:rPr>
        <w:t>56</w:t>
      </w:r>
      <w:r w:rsidRPr="00AC1F7D">
        <w:rPr>
          <w:noProof/>
          <w:sz w:val="24"/>
        </w:rPr>
        <w:t>(4), 983–989. doi:10.1016/j.compedu.2010.11.016</w:t>
      </w:r>
    </w:p>
    <w:p w14:paraId="0B6D8407" w14:textId="77777777" w:rsidR="00AC1F7D" w:rsidRPr="00AC1F7D" w:rsidRDefault="00AC1F7D">
      <w:pPr>
        <w:pStyle w:val="NormalWeb"/>
        <w:ind w:left="480" w:hanging="480"/>
        <w:divId w:val="1663384982"/>
        <w:rPr>
          <w:noProof/>
          <w:sz w:val="24"/>
        </w:rPr>
      </w:pPr>
      <w:r w:rsidRPr="00AC1F7D">
        <w:rPr>
          <w:noProof/>
          <w:sz w:val="24"/>
        </w:rPr>
        <w:t xml:space="preserve">Agarwal, R., &amp; Karahanna, E. (2000). Time flies when you’re having fun: cognitive absorption and beliefs about information technology usage 1. </w:t>
      </w:r>
      <w:r w:rsidRPr="00AC1F7D">
        <w:rPr>
          <w:i/>
          <w:iCs/>
          <w:noProof/>
          <w:sz w:val="24"/>
        </w:rPr>
        <w:t>MIS Quarterly</w:t>
      </w:r>
      <w:r w:rsidRPr="00AC1F7D">
        <w:rPr>
          <w:noProof/>
          <w:sz w:val="24"/>
        </w:rPr>
        <w:t xml:space="preserve">, </w:t>
      </w:r>
      <w:r w:rsidRPr="00AC1F7D">
        <w:rPr>
          <w:i/>
          <w:iCs/>
          <w:noProof/>
          <w:sz w:val="24"/>
        </w:rPr>
        <w:t>24</w:t>
      </w:r>
      <w:r w:rsidRPr="00AC1F7D">
        <w:rPr>
          <w:noProof/>
          <w:sz w:val="24"/>
        </w:rPr>
        <w:t>(4), 665–694. doi:10.2307/3250951</w:t>
      </w:r>
    </w:p>
    <w:p w14:paraId="036EBEAA" w14:textId="77777777" w:rsidR="00AC1F7D" w:rsidRPr="00AC1F7D" w:rsidRDefault="00AC1F7D">
      <w:pPr>
        <w:pStyle w:val="NormalWeb"/>
        <w:ind w:left="480" w:hanging="480"/>
        <w:divId w:val="1663384982"/>
        <w:rPr>
          <w:noProof/>
          <w:sz w:val="24"/>
        </w:rPr>
      </w:pPr>
      <w:r w:rsidRPr="00AC1F7D">
        <w:rPr>
          <w:noProof/>
          <w:sz w:val="24"/>
        </w:rPr>
        <w:t>Ajzen, I., &amp; Fishbein, M. (1980). Understanding attitudes and predicting social behaviour.</w:t>
      </w:r>
    </w:p>
    <w:p w14:paraId="4A952320" w14:textId="77777777" w:rsidR="00AC1F7D" w:rsidRPr="00AC1F7D" w:rsidRDefault="00AC1F7D">
      <w:pPr>
        <w:pStyle w:val="NormalWeb"/>
        <w:ind w:left="480" w:hanging="480"/>
        <w:divId w:val="1663384982"/>
        <w:rPr>
          <w:noProof/>
          <w:sz w:val="24"/>
        </w:rPr>
      </w:pPr>
      <w:r w:rsidRPr="00AC1F7D">
        <w:rPr>
          <w:noProof/>
          <w:sz w:val="24"/>
        </w:rPr>
        <w:t xml:space="preserve">Anderson, C. a., &amp; Carnagey, N. L. (2009). Causal effects of violent sports video games on aggression: Is it competitiveness or violent content? </w:t>
      </w:r>
      <w:r w:rsidRPr="00AC1F7D">
        <w:rPr>
          <w:i/>
          <w:iCs/>
          <w:noProof/>
          <w:sz w:val="24"/>
        </w:rPr>
        <w:t>Journal of Experimental Social Psychology</w:t>
      </w:r>
      <w:r w:rsidRPr="00AC1F7D">
        <w:rPr>
          <w:noProof/>
          <w:sz w:val="24"/>
        </w:rPr>
        <w:t xml:space="preserve">, </w:t>
      </w:r>
      <w:r w:rsidRPr="00AC1F7D">
        <w:rPr>
          <w:i/>
          <w:iCs/>
          <w:noProof/>
          <w:sz w:val="24"/>
        </w:rPr>
        <w:t>45</w:t>
      </w:r>
      <w:r w:rsidRPr="00AC1F7D">
        <w:rPr>
          <w:noProof/>
          <w:sz w:val="24"/>
        </w:rPr>
        <w:t>(4), 731–739. doi:10.1016/j.jesp.2009.04.019</w:t>
      </w:r>
    </w:p>
    <w:p w14:paraId="56715246" w14:textId="77777777" w:rsidR="00AC1F7D" w:rsidRPr="00AC1F7D" w:rsidRDefault="00AC1F7D">
      <w:pPr>
        <w:pStyle w:val="NormalWeb"/>
        <w:ind w:left="480" w:hanging="480"/>
        <w:divId w:val="1663384982"/>
        <w:rPr>
          <w:noProof/>
          <w:sz w:val="24"/>
        </w:rPr>
      </w:pPr>
      <w:r w:rsidRPr="00AC1F7D">
        <w:rPr>
          <w:noProof/>
          <w:sz w:val="24"/>
        </w:rPr>
        <w:t xml:space="preserve">Anderson, G., &amp; Brown, R. I. (1984). Real and laboratory gambling, sensation-seeking and arousal. </w:t>
      </w:r>
      <w:r w:rsidRPr="00AC1F7D">
        <w:rPr>
          <w:i/>
          <w:iCs/>
          <w:noProof/>
          <w:sz w:val="24"/>
        </w:rPr>
        <w:t>British Journal of Psychology (London, England</w:t>
      </w:r>
      <w:r w:rsidRPr="00AC1F7D">
        <w:rPr>
          <w:rFonts w:ascii="Times New Roman" w:hAnsi="Times New Roman"/>
          <w:i/>
          <w:iCs/>
          <w:noProof/>
          <w:sz w:val="24"/>
        </w:rPr>
        <w:t> </w:t>
      </w:r>
      <w:r w:rsidRPr="00AC1F7D">
        <w:rPr>
          <w:i/>
          <w:iCs/>
          <w:noProof/>
          <w:sz w:val="24"/>
        </w:rPr>
        <w:t>: 1953)</w:t>
      </w:r>
      <w:r w:rsidRPr="00AC1F7D">
        <w:rPr>
          <w:noProof/>
          <w:sz w:val="24"/>
        </w:rPr>
        <w:t xml:space="preserve">, </w:t>
      </w:r>
      <w:r w:rsidRPr="00AC1F7D">
        <w:rPr>
          <w:i/>
          <w:iCs/>
          <w:noProof/>
          <w:sz w:val="24"/>
        </w:rPr>
        <w:t>75 ( Pt 3)</w:t>
      </w:r>
      <w:r w:rsidRPr="00AC1F7D">
        <w:rPr>
          <w:noProof/>
          <w:sz w:val="24"/>
        </w:rPr>
        <w:t>(1984), 401–10. Retrieved from http://www.ncbi.nlm.nih.gov/pubmed/6487928</w:t>
      </w:r>
    </w:p>
    <w:p w14:paraId="546E247D" w14:textId="77777777" w:rsidR="00AC1F7D" w:rsidRPr="00AC1F7D" w:rsidRDefault="00AC1F7D">
      <w:pPr>
        <w:pStyle w:val="NormalWeb"/>
        <w:ind w:left="480" w:hanging="480"/>
        <w:divId w:val="1663384982"/>
        <w:rPr>
          <w:noProof/>
          <w:sz w:val="24"/>
        </w:rPr>
      </w:pPr>
      <w:r w:rsidRPr="00AC1F7D">
        <w:rPr>
          <w:noProof/>
          <w:sz w:val="24"/>
        </w:rPr>
        <w:t xml:space="preserve">Arnseth, H. (2006). Learning to Play or Playing to Learn. A Critical Account of the Models of Communication Informing Educational Research on Computer Gameplay. </w:t>
      </w:r>
      <w:r w:rsidRPr="00AC1F7D">
        <w:rPr>
          <w:i/>
          <w:iCs/>
          <w:noProof/>
          <w:sz w:val="24"/>
        </w:rPr>
        <w:t>Game Studies</w:t>
      </w:r>
      <w:r w:rsidRPr="00AC1F7D">
        <w:rPr>
          <w:noProof/>
          <w:sz w:val="24"/>
        </w:rPr>
        <w:t>. Retrieved from http://gamestudies.org/0601/articles/arnseth</w:t>
      </w:r>
    </w:p>
    <w:p w14:paraId="207AC02E" w14:textId="77777777" w:rsidR="00AC1F7D" w:rsidRPr="00AC1F7D" w:rsidRDefault="00AC1F7D">
      <w:pPr>
        <w:pStyle w:val="NormalWeb"/>
        <w:ind w:left="480" w:hanging="480"/>
        <w:divId w:val="1663384982"/>
        <w:rPr>
          <w:noProof/>
          <w:sz w:val="24"/>
        </w:rPr>
      </w:pPr>
      <w:r w:rsidRPr="00AC1F7D">
        <w:rPr>
          <w:noProof/>
          <w:sz w:val="24"/>
        </w:rPr>
        <w:t xml:space="preserve">Bandura, A. (1977). </w:t>
      </w:r>
      <w:r w:rsidRPr="00AC1F7D">
        <w:rPr>
          <w:i/>
          <w:iCs/>
          <w:noProof/>
          <w:sz w:val="24"/>
        </w:rPr>
        <w:t>Social learning theory</w:t>
      </w:r>
      <w:r w:rsidRPr="00AC1F7D">
        <w:rPr>
          <w:noProof/>
          <w:sz w:val="24"/>
        </w:rPr>
        <w:t>. Prentice Hall. Retrieved from http://books.google.ca/books?id=IXvuAAAAMAAJ</w:t>
      </w:r>
    </w:p>
    <w:p w14:paraId="202B665A" w14:textId="77777777" w:rsidR="00AC1F7D" w:rsidRPr="00AC1F7D" w:rsidRDefault="00AC1F7D">
      <w:pPr>
        <w:pStyle w:val="NormalWeb"/>
        <w:ind w:left="480" w:hanging="480"/>
        <w:divId w:val="1663384982"/>
        <w:rPr>
          <w:noProof/>
          <w:sz w:val="24"/>
        </w:rPr>
      </w:pPr>
      <w:r w:rsidRPr="00AC1F7D">
        <w:rPr>
          <w:noProof/>
          <w:sz w:val="24"/>
        </w:rPr>
        <w:t xml:space="preserve">Barr, P., Noble, J., &amp; Biddle, R. (2007). Video game values: Human--computer interaction and games. </w:t>
      </w:r>
      <w:r w:rsidRPr="00AC1F7D">
        <w:rPr>
          <w:i/>
          <w:iCs/>
          <w:noProof/>
          <w:sz w:val="24"/>
        </w:rPr>
        <w:t>Interacting with Computers</w:t>
      </w:r>
      <w:r w:rsidRPr="00AC1F7D">
        <w:rPr>
          <w:noProof/>
          <w:sz w:val="24"/>
        </w:rPr>
        <w:t xml:space="preserve">, </w:t>
      </w:r>
      <w:r w:rsidRPr="00AC1F7D">
        <w:rPr>
          <w:i/>
          <w:iCs/>
          <w:noProof/>
          <w:sz w:val="24"/>
        </w:rPr>
        <w:t>19</w:t>
      </w:r>
      <w:r w:rsidRPr="00AC1F7D">
        <w:rPr>
          <w:noProof/>
          <w:sz w:val="24"/>
        </w:rPr>
        <w:t>(2), 180–195.</w:t>
      </w:r>
    </w:p>
    <w:p w14:paraId="3C0242AB" w14:textId="77777777" w:rsidR="00AC1F7D" w:rsidRPr="00AC1F7D" w:rsidRDefault="00AC1F7D">
      <w:pPr>
        <w:pStyle w:val="NormalWeb"/>
        <w:ind w:left="480" w:hanging="480"/>
        <w:divId w:val="1663384982"/>
        <w:rPr>
          <w:noProof/>
          <w:sz w:val="24"/>
        </w:rPr>
      </w:pPr>
      <w:r w:rsidRPr="00AC1F7D">
        <w:rPr>
          <w:noProof/>
          <w:sz w:val="24"/>
        </w:rPr>
        <w:t xml:space="preserve">Beck, J. C., &amp; Wade, M. (2004). </w:t>
      </w:r>
      <w:r w:rsidRPr="00AC1F7D">
        <w:rPr>
          <w:i/>
          <w:iCs/>
          <w:noProof/>
          <w:sz w:val="24"/>
        </w:rPr>
        <w:t>Got game: How the gamer generation is reshaping business forever</w:t>
      </w:r>
      <w:r w:rsidRPr="00AC1F7D">
        <w:rPr>
          <w:noProof/>
          <w:sz w:val="24"/>
        </w:rPr>
        <w:t>. Harvard Business Press.</w:t>
      </w:r>
    </w:p>
    <w:p w14:paraId="3DC467E6" w14:textId="77777777" w:rsidR="00AC1F7D" w:rsidRPr="00AC1F7D" w:rsidRDefault="00AC1F7D">
      <w:pPr>
        <w:pStyle w:val="NormalWeb"/>
        <w:ind w:left="480" w:hanging="480"/>
        <w:divId w:val="1663384982"/>
        <w:rPr>
          <w:noProof/>
          <w:sz w:val="24"/>
        </w:rPr>
      </w:pPr>
      <w:r w:rsidRPr="00AC1F7D">
        <w:rPr>
          <w:noProof/>
          <w:sz w:val="24"/>
        </w:rPr>
        <w:t xml:space="preserve">Beck, J. C., &amp; Wade, M. (2006). </w:t>
      </w:r>
      <w:r w:rsidRPr="00AC1F7D">
        <w:rPr>
          <w:i/>
          <w:iCs/>
          <w:noProof/>
          <w:sz w:val="24"/>
        </w:rPr>
        <w:t>The kids are alright: How the gamer generation is changing the workplace</w:t>
      </w:r>
      <w:r w:rsidRPr="00AC1F7D">
        <w:rPr>
          <w:noProof/>
          <w:sz w:val="24"/>
        </w:rPr>
        <w:t>. Harvard Business Press.</w:t>
      </w:r>
    </w:p>
    <w:p w14:paraId="32D2AADD" w14:textId="77777777" w:rsidR="00AC1F7D" w:rsidRPr="00AC1F7D" w:rsidRDefault="00AC1F7D">
      <w:pPr>
        <w:pStyle w:val="NormalWeb"/>
        <w:ind w:left="480" w:hanging="480"/>
        <w:divId w:val="1663384982"/>
        <w:rPr>
          <w:noProof/>
          <w:sz w:val="24"/>
        </w:rPr>
      </w:pPr>
      <w:r w:rsidRPr="00AC1F7D">
        <w:rPr>
          <w:noProof/>
          <w:sz w:val="24"/>
        </w:rPr>
        <w:t xml:space="preserve">Boudreau, M. C., Gefen, D., &amp; Straub, D. W. (2001). Validation in information systems research: A state-of-the-art assessment. </w:t>
      </w:r>
      <w:r w:rsidRPr="00AC1F7D">
        <w:rPr>
          <w:i/>
          <w:iCs/>
          <w:noProof/>
          <w:sz w:val="24"/>
        </w:rPr>
        <w:t>Mis Quarterly</w:t>
      </w:r>
      <w:r w:rsidRPr="00AC1F7D">
        <w:rPr>
          <w:noProof/>
          <w:sz w:val="24"/>
        </w:rPr>
        <w:t xml:space="preserve">, </w:t>
      </w:r>
      <w:r w:rsidRPr="00AC1F7D">
        <w:rPr>
          <w:i/>
          <w:iCs/>
          <w:noProof/>
          <w:sz w:val="24"/>
        </w:rPr>
        <w:t>25</w:t>
      </w:r>
      <w:r w:rsidRPr="00AC1F7D">
        <w:rPr>
          <w:noProof/>
          <w:sz w:val="24"/>
        </w:rPr>
        <w:t>(1), 1–16. Retrieved from http://www.jstor.org/stable/3250956</w:t>
      </w:r>
    </w:p>
    <w:p w14:paraId="56F19EA0" w14:textId="77777777" w:rsidR="00AC1F7D" w:rsidRPr="00AC1F7D" w:rsidRDefault="00AC1F7D">
      <w:pPr>
        <w:pStyle w:val="NormalWeb"/>
        <w:ind w:left="480" w:hanging="480"/>
        <w:divId w:val="1663384982"/>
        <w:rPr>
          <w:noProof/>
          <w:sz w:val="24"/>
        </w:rPr>
      </w:pPr>
      <w:r w:rsidRPr="00AC1F7D">
        <w:rPr>
          <w:noProof/>
          <w:sz w:val="24"/>
        </w:rPr>
        <w:lastRenderedPageBreak/>
        <w:t xml:space="preserve">Brown, E., &amp; Cairns, P. (2004). A grounded investigation of game immersion. </w:t>
      </w:r>
      <w:r w:rsidRPr="00AC1F7D">
        <w:rPr>
          <w:i/>
          <w:iCs/>
          <w:noProof/>
          <w:sz w:val="24"/>
        </w:rPr>
        <w:t>Extended Abstracts of the 2004 Conference on Human Factors and Computing Systems - CHI ’04</w:t>
      </w:r>
      <w:r w:rsidRPr="00AC1F7D">
        <w:rPr>
          <w:noProof/>
          <w:sz w:val="24"/>
        </w:rPr>
        <w:t>, 1297. doi:10.1145/985921.986048</w:t>
      </w:r>
    </w:p>
    <w:p w14:paraId="0E5F3EC3" w14:textId="77777777" w:rsidR="00AC1F7D" w:rsidRPr="00AC1F7D" w:rsidRDefault="00AC1F7D">
      <w:pPr>
        <w:pStyle w:val="NormalWeb"/>
        <w:ind w:left="480" w:hanging="480"/>
        <w:divId w:val="1663384982"/>
        <w:rPr>
          <w:noProof/>
          <w:sz w:val="24"/>
        </w:rPr>
      </w:pPr>
      <w:r w:rsidRPr="00AC1F7D">
        <w:rPr>
          <w:noProof/>
          <w:sz w:val="24"/>
        </w:rPr>
        <w:t xml:space="preserve">Brown, R. I. (1986). Arousal and sensation-seeking components in the general explanation of gambling and gambling addictions. </w:t>
      </w:r>
      <w:r w:rsidRPr="00AC1F7D">
        <w:rPr>
          <w:i/>
          <w:iCs/>
          <w:noProof/>
          <w:sz w:val="24"/>
        </w:rPr>
        <w:t>The International Journal of the Addictions</w:t>
      </w:r>
      <w:r w:rsidRPr="00AC1F7D">
        <w:rPr>
          <w:noProof/>
          <w:sz w:val="24"/>
        </w:rPr>
        <w:t xml:space="preserve">, </w:t>
      </w:r>
      <w:r w:rsidRPr="00AC1F7D">
        <w:rPr>
          <w:i/>
          <w:iCs/>
          <w:noProof/>
          <w:sz w:val="24"/>
        </w:rPr>
        <w:t>21</w:t>
      </w:r>
      <w:r w:rsidRPr="00AC1F7D">
        <w:rPr>
          <w:noProof/>
          <w:sz w:val="24"/>
        </w:rPr>
        <w:t>(9-10), 1001–16. Retrieved from http://www.ncbi.nlm.nih.gov/pubmed/3793306</w:t>
      </w:r>
    </w:p>
    <w:p w14:paraId="76F7821F" w14:textId="77777777" w:rsidR="00AC1F7D" w:rsidRPr="00AC1F7D" w:rsidRDefault="00AC1F7D">
      <w:pPr>
        <w:pStyle w:val="NormalWeb"/>
        <w:ind w:left="480" w:hanging="480"/>
        <w:divId w:val="1663384982"/>
        <w:rPr>
          <w:noProof/>
          <w:sz w:val="24"/>
        </w:rPr>
      </w:pPr>
      <w:r w:rsidRPr="00AC1F7D">
        <w:rPr>
          <w:noProof/>
          <w:sz w:val="24"/>
        </w:rPr>
        <w:t xml:space="preserve">Cahill, L., &amp; McGaugh, J. L. (1998). Mechanisms of emotional arousal and lasting declarative memory. </w:t>
      </w:r>
      <w:r w:rsidRPr="00AC1F7D">
        <w:rPr>
          <w:i/>
          <w:iCs/>
          <w:noProof/>
          <w:sz w:val="24"/>
        </w:rPr>
        <w:t>Trends in Neurosciences</w:t>
      </w:r>
      <w:r w:rsidRPr="00AC1F7D">
        <w:rPr>
          <w:noProof/>
          <w:sz w:val="24"/>
        </w:rPr>
        <w:t xml:space="preserve">, </w:t>
      </w:r>
      <w:r w:rsidRPr="00AC1F7D">
        <w:rPr>
          <w:i/>
          <w:iCs/>
          <w:noProof/>
          <w:sz w:val="24"/>
        </w:rPr>
        <w:t>21</w:t>
      </w:r>
      <w:r w:rsidRPr="00AC1F7D">
        <w:rPr>
          <w:noProof/>
          <w:sz w:val="24"/>
        </w:rPr>
        <w:t>(7), 294–9. Retrieved from http://www.ncbi.nlm.nih.gov/pubmed/9683321</w:t>
      </w:r>
    </w:p>
    <w:p w14:paraId="1047E3D0" w14:textId="77777777" w:rsidR="00AC1F7D" w:rsidRPr="00AC1F7D" w:rsidRDefault="00AC1F7D">
      <w:pPr>
        <w:pStyle w:val="NormalWeb"/>
        <w:ind w:left="480" w:hanging="480"/>
        <w:divId w:val="1663384982"/>
        <w:rPr>
          <w:noProof/>
          <w:sz w:val="24"/>
        </w:rPr>
      </w:pPr>
      <w:r w:rsidRPr="00AC1F7D">
        <w:rPr>
          <w:noProof/>
          <w:sz w:val="24"/>
        </w:rPr>
        <w:t xml:space="preserve">Caillois, R., &amp; Barash, M. (2001). </w:t>
      </w:r>
      <w:r w:rsidRPr="00AC1F7D">
        <w:rPr>
          <w:i/>
          <w:iCs/>
          <w:noProof/>
          <w:sz w:val="24"/>
        </w:rPr>
        <w:t>Man, play, and games</w:t>
      </w:r>
      <w:r w:rsidRPr="00AC1F7D">
        <w:rPr>
          <w:noProof/>
          <w:sz w:val="24"/>
        </w:rPr>
        <w:t>. Univ of Illinois Pr.</w:t>
      </w:r>
    </w:p>
    <w:p w14:paraId="30FB627A" w14:textId="77777777" w:rsidR="00AC1F7D" w:rsidRPr="00AC1F7D" w:rsidRDefault="00AC1F7D">
      <w:pPr>
        <w:pStyle w:val="NormalWeb"/>
        <w:ind w:left="480" w:hanging="480"/>
        <w:divId w:val="1663384982"/>
        <w:rPr>
          <w:noProof/>
          <w:sz w:val="24"/>
        </w:rPr>
      </w:pPr>
      <w:r w:rsidRPr="00AC1F7D">
        <w:rPr>
          <w:noProof/>
          <w:sz w:val="24"/>
        </w:rPr>
        <w:t>Chang, C.-C. (2013). Examining users</w:t>
      </w:r>
      <w:r w:rsidRPr="00AC1F7D">
        <w:rPr>
          <w:rFonts w:ascii="Times New Roman" w:hAnsi="Times New Roman"/>
          <w:noProof/>
          <w:sz w:val="24"/>
        </w:rPr>
        <w:t>′</w:t>
      </w:r>
      <w:r w:rsidRPr="00AC1F7D">
        <w:rPr>
          <w:noProof/>
          <w:sz w:val="24"/>
        </w:rPr>
        <w:t xml:space="preserve"> intention to continue using social network games: A flow experience perspective. </w:t>
      </w:r>
      <w:r w:rsidRPr="00AC1F7D">
        <w:rPr>
          <w:i/>
          <w:iCs/>
          <w:noProof/>
          <w:sz w:val="24"/>
        </w:rPr>
        <w:t>Telematics and Informatics</w:t>
      </w:r>
      <w:r w:rsidRPr="00AC1F7D">
        <w:rPr>
          <w:noProof/>
          <w:sz w:val="24"/>
        </w:rPr>
        <w:t xml:space="preserve">, </w:t>
      </w:r>
      <w:r w:rsidRPr="00AC1F7D">
        <w:rPr>
          <w:i/>
          <w:iCs/>
          <w:noProof/>
          <w:sz w:val="24"/>
        </w:rPr>
        <w:t>30</w:t>
      </w:r>
      <w:r w:rsidRPr="00AC1F7D">
        <w:rPr>
          <w:noProof/>
          <w:sz w:val="24"/>
        </w:rPr>
        <w:t>(4), 311–321. doi:10.1016/j.tele.2012.10.006</w:t>
      </w:r>
    </w:p>
    <w:p w14:paraId="36FDB9D6" w14:textId="77777777" w:rsidR="00AC1F7D" w:rsidRPr="00AC1F7D" w:rsidRDefault="00AC1F7D">
      <w:pPr>
        <w:pStyle w:val="NormalWeb"/>
        <w:ind w:left="480" w:hanging="480"/>
        <w:divId w:val="1663384982"/>
        <w:rPr>
          <w:noProof/>
          <w:sz w:val="24"/>
        </w:rPr>
      </w:pPr>
      <w:r w:rsidRPr="00AC1F7D">
        <w:rPr>
          <w:noProof/>
          <w:sz w:val="24"/>
        </w:rPr>
        <w:t xml:space="preserve">Chang, H., &amp; Wang, I. (2008). An investigation of user communication behavior in computer mediated environments. </w:t>
      </w:r>
      <w:r w:rsidRPr="00AC1F7D">
        <w:rPr>
          <w:i/>
          <w:iCs/>
          <w:noProof/>
          <w:sz w:val="24"/>
        </w:rPr>
        <w:t>Computers in Human Behavior</w:t>
      </w:r>
      <w:r w:rsidRPr="00AC1F7D">
        <w:rPr>
          <w:noProof/>
          <w:sz w:val="24"/>
        </w:rPr>
        <w:t xml:space="preserve">, </w:t>
      </w:r>
      <w:r w:rsidRPr="00AC1F7D">
        <w:rPr>
          <w:i/>
          <w:iCs/>
          <w:noProof/>
          <w:sz w:val="24"/>
        </w:rPr>
        <w:t>24</w:t>
      </w:r>
      <w:r w:rsidRPr="00AC1F7D">
        <w:rPr>
          <w:noProof/>
          <w:sz w:val="24"/>
        </w:rPr>
        <w:t>(5), 2336–2356. doi:10.1016/j.chb.2008.01.001</w:t>
      </w:r>
    </w:p>
    <w:p w14:paraId="3ECF2693" w14:textId="77777777" w:rsidR="00AC1F7D" w:rsidRPr="00AC1F7D" w:rsidRDefault="00AC1F7D">
      <w:pPr>
        <w:pStyle w:val="NormalWeb"/>
        <w:ind w:left="480" w:hanging="480"/>
        <w:divId w:val="1663384982"/>
        <w:rPr>
          <w:noProof/>
          <w:sz w:val="24"/>
        </w:rPr>
      </w:pPr>
      <w:r w:rsidRPr="00AC1F7D">
        <w:rPr>
          <w:noProof/>
          <w:sz w:val="24"/>
        </w:rPr>
        <w:t xml:space="preserve">Charlton, J., &amp; Danforth, I. (2007). Distinguishing addiction and high engagement in the context of online game playing. </w:t>
      </w:r>
      <w:r w:rsidRPr="00AC1F7D">
        <w:rPr>
          <w:i/>
          <w:iCs/>
          <w:noProof/>
          <w:sz w:val="24"/>
        </w:rPr>
        <w:t>Computers in Human Behavior</w:t>
      </w:r>
      <w:r w:rsidRPr="00AC1F7D">
        <w:rPr>
          <w:noProof/>
          <w:sz w:val="24"/>
        </w:rPr>
        <w:t xml:space="preserve">, </w:t>
      </w:r>
      <w:r w:rsidRPr="00AC1F7D">
        <w:rPr>
          <w:i/>
          <w:iCs/>
          <w:noProof/>
          <w:sz w:val="24"/>
        </w:rPr>
        <w:t>23</w:t>
      </w:r>
      <w:r w:rsidRPr="00AC1F7D">
        <w:rPr>
          <w:noProof/>
          <w:sz w:val="24"/>
        </w:rPr>
        <w:t>(3), 1531–1548. doi:10.1016/j.chb.2005.07.002</w:t>
      </w:r>
    </w:p>
    <w:p w14:paraId="2C07BB75" w14:textId="77777777" w:rsidR="00AC1F7D" w:rsidRPr="00AC1F7D" w:rsidRDefault="00AC1F7D">
      <w:pPr>
        <w:pStyle w:val="NormalWeb"/>
        <w:ind w:left="480" w:hanging="480"/>
        <w:divId w:val="1663384982"/>
        <w:rPr>
          <w:noProof/>
          <w:sz w:val="24"/>
        </w:rPr>
      </w:pPr>
      <w:r w:rsidRPr="00AC1F7D">
        <w:rPr>
          <w:noProof/>
          <w:sz w:val="24"/>
        </w:rPr>
        <w:t xml:space="preserve">Chin, W. W. (1998). The partial least squares approach to structural equation modeling. </w:t>
      </w:r>
      <w:r w:rsidRPr="00AC1F7D">
        <w:rPr>
          <w:i/>
          <w:iCs/>
          <w:noProof/>
          <w:sz w:val="24"/>
        </w:rPr>
        <w:t>Modern Methods for Business Research</w:t>
      </w:r>
      <w:r w:rsidRPr="00AC1F7D">
        <w:rPr>
          <w:noProof/>
          <w:sz w:val="24"/>
        </w:rPr>
        <w:t xml:space="preserve">, </w:t>
      </w:r>
      <w:r w:rsidRPr="00AC1F7D">
        <w:rPr>
          <w:i/>
          <w:iCs/>
          <w:noProof/>
          <w:sz w:val="24"/>
        </w:rPr>
        <w:t>295</w:t>
      </w:r>
      <w:r w:rsidRPr="00AC1F7D">
        <w:rPr>
          <w:noProof/>
          <w:sz w:val="24"/>
        </w:rPr>
        <w:t>(2), 295–336.</w:t>
      </w:r>
    </w:p>
    <w:p w14:paraId="3FAF3A1E" w14:textId="77777777" w:rsidR="00AC1F7D" w:rsidRPr="00AC1F7D" w:rsidRDefault="00AC1F7D">
      <w:pPr>
        <w:pStyle w:val="NormalWeb"/>
        <w:ind w:left="480" w:hanging="480"/>
        <w:divId w:val="1663384982"/>
        <w:rPr>
          <w:noProof/>
          <w:sz w:val="24"/>
        </w:rPr>
      </w:pPr>
      <w:r w:rsidRPr="00AC1F7D">
        <w:rPr>
          <w:noProof/>
          <w:sz w:val="24"/>
        </w:rPr>
        <w:t xml:space="preserve">Choi, D., Kim, J., &amp; Kim, S. (2007). ERP training with a web-based electronic learning system: The flow theory perspective. </w:t>
      </w:r>
      <w:r w:rsidRPr="00AC1F7D">
        <w:rPr>
          <w:i/>
          <w:iCs/>
          <w:noProof/>
          <w:sz w:val="24"/>
        </w:rPr>
        <w:t>International Journal of Human-Computer Studies</w:t>
      </w:r>
      <w:r w:rsidRPr="00AC1F7D">
        <w:rPr>
          <w:noProof/>
          <w:sz w:val="24"/>
        </w:rPr>
        <w:t xml:space="preserve">, </w:t>
      </w:r>
      <w:r w:rsidRPr="00AC1F7D">
        <w:rPr>
          <w:i/>
          <w:iCs/>
          <w:noProof/>
          <w:sz w:val="24"/>
        </w:rPr>
        <w:t>65</w:t>
      </w:r>
      <w:r w:rsidRPr="00AC1F7D">
        <w:rPr>
          <w:noProof/>
          <w:sz w:val="24"/>
        </w:rPr>
        <w:t>(3), 223–243. doi:10.1016/j.ijhcs.2006.10.002</w:t>
      </w:r>
    </w:p>
    <w:p w14:paraId="405556BB" w14:textId="77777777" w:rsidR="00AC1F7D" w:rsidRPr="00AC1F7D" w:rsidRDefault="00AC1F7D">
      <w:pPr>
        <w:pStyle w:val="NormalWeb"/>
        <w:ind w:left="480" w:hanging="480"/>
        <w:divId w:val="1663384982"/>
        <w:rPr>
          <w:noProof/>
          <w:sz w:val="24"/>
        </w:rPr>
      </w:pPr>
      <w:r w:rsidRPr="00AC1F7D">
        <w:rPr>
          <w:noProof/>
          <w:sz w:val="24"/>
        </w:rPr>
        <w:t xml:space="preserve">Chou, T.-J., &amp; Ting, C.-C. (2003). The role of flow experience in cyber-game addiction. </w:t>
      </w:r>
      <w:r w:rsidRPr="00AC1F7D">
        <w:rPr>
          <w:i/>
          <w:iCs/>
          <w:noProof/>
          <w:sz w:val="24"/>
        </w:rPr>
        <w:t>Cyberpsychology &amp; Behavior</w:t>
      </w:r>
      <w:r w:rsidRPr="00AC1F7D">
        <w:rPr>
          <w:rFonts w:ascii="Times New Roman" w:hAnsi="Times New Roman"/>
          <w:i/>
          <w:iCs/>
          <w:noProof/>
          <w:sz w:val="24"/>
        </w:rPr>
        <w:t> </w:t>
      </w:r>
      <w:r w:rsidRPr="00AC1F7D">
        <w:rPr>
          <w:i/>
          <w:iCs/>
          <w:noProof/>
          <w:sz w:val="24"/>
        </w:rPr>
        <w:t>: The Impact of the Internet, Multimedia and Virtual Reality on Behavior and Society</w:t>
      </w:r>
      <w:r w:rsidRPr="00AC1F7D">
        <w:rPr>
          <w:noProof/>
          <w:sz w:val="24"/>
        </w:rPr>
        <w:t xml:space="preserve">, </w:t>
      </w:r>
      <w:r w:rsidRPr="00AC1F7D">
        <w:rPr>
          <w:i/>
          <w:iCs/>
          <w:noProof/>
          <w:sz w:val="24"/>
        </w:rPr>
        <w:t>6</w:t>
      </w:r>
      <w:r w:rsidRPr="00AC1F7D">
        <w:rPr>
          <w:noProof/>
          <w:sz w:val="24"/>
        </w:rPr>
        <w:t>(6), 663–75. doi:10.1089/109493103322725469</w:t>
      </w:r>
    </w:p>
    <w:p w14:paraId="24ED28DD" w14:textId="77777777" w:rsidR="00AC1F7D" w:rsidRPr="00AC1F7D" w:rsidRDefault="00AC1F7D">
      <w:pPr>
        <w:pStyle w:val="NormalWeb"/>
        <w:ind w:left="480" w:hanging="480"/>
        <w:divId w:val="1663384982"/>
        <w:rPr>
          <w:noProof/>
          <w:sz w:val="24"/>
        </w:rPr>
      </w:pPr>
      <w:r w:rsidRPr="00AC1F7D">
        <w:rPr>
          <w:noProof/>
          <w:sz w:val="24"/>
        </w:rPr>
        <w:t xml:space="preserve">Coakley, J. R., Drexler, J. a., Larson, E. W., &amp; Kircher, a. E. (1998). Using a Computer-Based Version of the Beer Game: Lessons Learned. </w:t>
      </w:r>
      <w:r w:rsidRPr="00AC1F7D">
        <w:rPr>
          <w:i/>
          <w:iCs/>
          <w:noProof/>
          <w:sz w:val="24"/>
        </w:rPr>
        <w:t>Journal of Management Education</w:t>
      </w:r>
      <w:r w:rsidRPr="00AC1F7D">
        <w:rPr>
          <w:noProof/>
          <w:sz w:val="24"/>
        </w:rPr>
        <w:t xml:space="preserve">, </w:t>
      </w:r>
      <w:r w:rsidRPr="00AC1F7D">
        <w:rPr>
          <w:i/>
          <w:iCs/>
          <w:noProof/>
          <w:sz w:val="24"/>
        </w:rPr>
        <w:t>22</w:t>
      </w:r>
      <w:r w:rsidRPr="00AC1F7D">
        <w:rPr>
          <w:noProof/>
          <w:sz w:val="24"/>
        </w:rPr>
        <w:t>(3), 416–424. doi:10.1177/105256299802200311</w:t>
      </w:r>
    </w:p>
    <w:p w14:paraId="39457376" w14:textId="77777777" w:rsidR="00AC1F7D" w:rsidRPr="00AC1F7D" w:rsidRDefault="00AC1F7D">
      <w:pPr>
        <w:pStyle w:val="NormalWeb"/>
        <w:ind w:left="480" w:hanging="480"/>
        <w:divId w:val="1663384982"/>
        <w:rPr>
          <w:noProof/>
          <w:sz w:val="24"/>
        </w:rPr>
      </w:pPr>
      <w:r w:rsidRPr="00AC1F7D">
        <w:rPr>
          <w:noProof/>
          <w:sz w:val="24"/>
        </w:rPr>
        <w:t xml:space="preserve">Cohen, J. (1988). </w:t>
      </w:r>
      <w:r w:rsidRPr="00AC1F7D">
        <w:rPr>
          <w:i/>
          <w:iCs/>
          <w:noProof/>
          <w:sz w:val="24"/>
        </w:rPr>
        <w:t>Statistical power analysis for the behavioral sciences</w:t>
      </w:r>
      <w:r w:rsidRPr="00AC1F7D">
        <w:rPr>
          <w:noProof/>
          <w:sz w:val="24"/>
        </w:rPr>
        <w:t>. Lawrence Erlbaum.</w:t>
      </w:r>
    </w:p>
    <w:p w14:paraId="386B5327" w14:textId="77777777" w:rsidR="00AC1F7D" w:rsidRPr="00AC1F7D" w:rsidRDefault="00AC1F7D">
      <w:pPr>
        <w:pStyle w:val="NormalWeb"/>
        <w:ind w:left="480" w:hanging="480"/>
        <w:divId w:val="1663384982"/>
        <w:rPr>
          <w:noProof/>
          <w:sz w:val="24"/>
        </w:rPr>
      </w:pPr>
      <w:r w:rsidRPr="00AC1F7D">
        <w:rPr>
          <w:noProof/>
          <w:sz w:val="24"/>
        </w:rPr>
        <w:t xml:space="preserve">Collins, A., &amp; Halverson, R. (2009). Rethinking education in the age of technology: The digital revolution and the schools. </w:t>
      </w:r>
      <w:r w:rsidRPr="00AC1F7D">
        <w:rPr>
          <w:i/>
          <w:iCs/>
          <w:noProof/>
          <w:sz w:val="24"/>
        </w:rPr>
        <w:t>New York: Teachers College</w:t>
      </w:r>
      <w:r w:rsidRPr="00AC1F7D">
        <w:rPr>
          <w:noProof/>
          <w:sz w:val="24"/>
        </w:rPr>
        <w:t>.</w:t>
      </w:r>
    </w:p>
    <w:p w14:paraId="0861DE7B" w14:textId="77777777" w:rsidR="00AC1F7D" w:rsidRPr="00AC1F7D" w:rsidRDefault="00AC1F7D">
      <w:pPr>
        <w:pStyle w:val="NormalWeb"/>
        <w:ind w:left="480" w:hanging="480"/>
        <w:divId w:val="1663384982"/>
        <w:rPr>
          <w:noProof/>
          <w:sz w:val="24"/>
        </w:rPr>
      </w:pPr>
      <w:r w:rsidRPr="00AC1F7D">
        <w:rPr>
          <w:noProof/>
          <w:sz w:val="24"/>
        </w:rPr>
        <w:lastRenderedPageBreak/>
        <w:t xml:space="preserve">Corti, K. (2006). Games-based Learning; a serious business application. </w:t>
      </w:r>
      <w:r w:rsidRPr="00AC1F7D">
        <w:rPr>
          <w:i/>
          <w:iCs/>
          <w:noProof/>
          <w:sz w:val="24"/>
        </w:rPr>
        <w:t>Informe de PixelLearning</w:t>
      </w:r>
      <w:r w:rsidRPr="00AC1F7D">
        <w:rPr>
          <w:noProof/>
          <w:sz w:val="24"/>
        </w:rPr>
        <w:t>, 1–20. Retrieved from http://pixelearning.com/docs/seriousgamesbusinessapplications.pdf</w:t>
      </w:r>
    </w:p>
    <w:p w14:paraId="2DA0C9F6" w14:textId="77777777" w:rsidR="00AC1F7D" w:rsidRPr="00AC1F7D" w:rsidRDefault="00AC1F7D">
      <w:pPr>
        <w:pStyle w:val="NormalWeb"/>
        <w:ind w:left="480" w:hanging="480"/>
        <w:divId w:val="1663384982"/>
        <w:rPr>
          <w:noProof/>
          <w:sz w:val="24"/>
        </w:rPr>
      </w:pPr>
      <w:r w:rsidRPr="00AC1F7D">
        <w:rPr>
          <w:noProof/>
          <w:sz w:val="24"/>
        </w:rPr>
        <w:t xml:space="preserve">Coull, J. T. (1998). Neural correlates of attention and arousal: insights from electrophysiology, functional neuroimaging and psychopharmacology. </w:t>
      </w:r>
      <w:r w:rsidRPr="00AC1F7D">
        <w:rPr>
          <w:i/>
          <w:iCs/>
          <w:noProof/>
          <w:sz w:val="24"/>
        </w:rPr>
        <w:t>Progress in Neurobiology</w:t>
      </w:r>
      <w:r w:rsidRPr="00AC1F7D">
        <w:rPr>
          <w:noProof/>
          <w:sz w:val="24"/>
        </w:rPr>
        <w:t xml:space="preserve">, </w:t>
      </w:r>
      <w:r w:rsidRPr="00AC1F7D">
        <w:rPr>
          <w:i/>
          <w:iCs/>
          <w:noProof/>
          <w:sz w:val="24"/>
        </w:rPr>
        <w:t>55</w:t>
      </w:r>
      <w:r w:rsidRPr="00AC1F7D">
        <w:rPr>
          <w:noProof/>
          <w:sz w:val="24"/>
        </w:rPr>
        <w:t>(4), 343–61. Retrieved from http://www.ncbi.nlm.nih.gov/pubmed/9654384</w:t>
      </w:r>
    </w:p>
    <w:p w14:paraId="0C709B77" w14:textId="77777777" w:rsidR="00AC1F7D" w:rsidRPr="00AC1F7D" w:rsidRDefault="00AC1F7D">
      <w:pPr>
        <w:pStyle w:val="NormalWeb"/>
        <w:ind w:left="480" w:hanging="480"/>
        <w:divId w:val="1663384982"/>
        <w:rPr>
          <w:noProof/>
          <w:sz w:val="24"/>
        </w:rPr>
      </w:pPr>
      <w:r w:rsidRPr="00AC1F7D">
        <w:rPr>
          <w:noProof/>
          <w:sz w:val="24"/>
        </w:rPr>
        <w:t xml:space="preserve">Coventry, K. R., &amp; Brown, R. I. (1993). Sensation seeking, gambling and gambling addictions. </w:t>
      </w:r>
      <w:r w:rsidRPr="00AC1F7D">
        <w:rPr>
          <w:i/>
          <w:iCs/>
          <w:noProof/>
          <w:sz w:val="24"/>
        </w:rPr>
        <w:t>Addiction (Abingdon, England)</w:t>
      </w:r>
      <w:r w:rsidRPr="00AC1F7D">
        <w:rPr>
          <w:noProof/>
          <w:sz w:val="24"/>
        </w:rPr>
        <w:t xml:space="preserve">, </w:t>
      </w:r>
      <w:r w:rsidRPr="00AC1F7D">
        <w:rPr>
          <w:i/>
          <w:iCs/>
          <w:noProof/>
          <w:sz w:val="24"/>
        </w:rPr>
        <w:t>88</w:t>
      </w:r>
      <w:r w:rsidRPr="00AC1F7D">
        <w:rPr>
          <w:noProof/>
          <w:sz w:val="24"/>
        </w:rPr>
        <w:t>(4), 541–54. Retrieved from http://www.ncbi.nlm.nih.gov/pubmed/8485432</w:t>
      </w:r>
    </w:p>
    <w:p w14:paraId="5708E771" w14:textId="77777777" w:rsidR="00AC1F7D" w:rsidRPr="00AC1F7D" w:rsidRDefault="00AC1F7D">
      <w:pPr>
        <w:pStyle w:val="NormalWeb"/>
        <w:ind w:left="480" w:hanging="480"/>
        <w:divId w:val="1663384982"/>
        <w:rPr>
          <w:noProof/>
          <w:sz w:val="24"/>
        </w:rPr>
      </w:pPr>
      <w:r w:rsidRPr="00AC1F7D">
        <w:rPr>
          <w:noProof/>
          <w:sz w:val="24"/>
        </w:rPr>
        <w:t xml:space="preserve">Cox, T. H., Lobel, S. a., &amp; McLeod, P. L. (1991). Effects of Ethnic Group Cultural Differences on Cooperative and Competitive Behavior on a Group Task. </w:t>
      </w:r>
      <w:r w:rsidRPr="00AC1F7D">
        <w:rPr>
          <w:i/>
          <w:iCs/>
          <w:noProof/>
          <w:sz w:val="24"/>
        </w:rPr>
        <w:t>Academy of Management Journal</w:t>
      </w:r>
      <w:r w:rsidRPr="00AC1F7D">
        <w:rPr>
          <w:noProof/>
          <w:sz w:val="24"/>
        </w:rPr>
        <w:t xml:space="preserve">, </w:t>
      </w:r>
      <w:r w:rsidRPr="00AC1F7D">
        <w:rPr>
          <w:i/>
          <w:iCs/>
          <w:noProof/>
          <w:sz w:val="24"/>
        </w:rPr>
        <w:t>34</w:t>
      </w:r>
      <w:r w:rsidRPr="00AC1F7D">
        <w:rPr>
          <w:noProof/>
          <w:sz w:val="24"/>
        </w:rPr>
        <w:t>(4), 827–847. doi:10.2307/256391</w:t>
      </w:r>
    </w:p>
    <w:p w14:paraId="0BA3B145" w14:textId="77777777" w:rsidR="00AC1F7D" w:rsidRPr="00AC1F7D" w:rsidRDefault="00AC1F7D">
      <w:pPr>
        <w:pStyle w:val="NormalWeb"/>
        <w:ind w:left="480" w:hanging="480"/>
        <w:divId w:val="1663384982"/>
        <w:rPr>
          <w:noProof/>
          <w:sz w:val="24"/>
        </w:rPr>
      </w:pPr>
      <w:r w:rsidRPr="00AC1F7D">
        <w:rPr>
          <w:noProof/>
          <w:sz w:val="24"/>
        </w:rPr>
        <w:t xml:space="preserve">Crookall, D. (2011). Serious Games, Debriefing, and Simulation/Gaming as a Discipline. </w:t>
      </w:r>
      <w:r w:rsidRPr="00AC1F7D">
        <w:rPr>
          <w:i/>
          <w:iCs/>
          <w:noProof/>
          <w:sz w:val="24"/>
        </w:rPr>
        <w:t>Simulation &amp; Gaming</w:t>
      </w:r>
      <w:r w:rsidRPr="00AC1F7D">
        <w:rPr>
          <w:noProof/>
          <w:sz w:val="24"/>
        </w:rPr>
        <w:t xml:space="preserve">, </w:t>
      </w:r>
      <w:r w:rsidRPr="00AC1F7D">
        <w:rPr>
          <w:i/>
          <w:iCs/>
          <w:noProof/>
          <w:sz w:val="24"/>
        </w:rPr>
        <w:t>41</w:t>
      </w:r>
      <w:r w:rsidRPr="00AC1F7D">
        <w:rPr>
          <w:noProof/>
          <w:sz w:val="24"/>
        </w:rPr>
        <w:t>(6), 898–920. doi:10.1177/1046878110390784</w:t>
      </w:r>
    </w:p>
    <w:p w14:paraId="21D46807" w14:textId="77777777" w:rsidR="00AC1F7D" w:rsidRPr="00AC1F7D" w:rsidRDefault="00AC1F7D">
      <w:pPr>
        <w:pStyle w:val="NormalWeb"/>
        <w:ind w:left="480" w:hanging="480"/>
        <w:divId w:val="1663384982"/>
        <w:rPr>
          <w:noProof/>
          <w:sz w:val="24"/>
        </w:rPr>
      </w:pPr>
      <w:r w:rsidRPr="00AC1F7D">
        <w:rPr>
          <w:noProof/>
          <w:sz w:val="24"/>
        </w:rPr>
        <w:t xml:space="preserve">Csikszentmihalyi, M. (1975). </w:t>
      </w:r>
      <w:r w:rsidRPr="00AC1F7D">
        <w:rPr>
          <w:i/>
          <w:iCs/>
          <w:noProof/>
          <w:sz w:val="24"/>
        </w:rPr>
        <w:t>Beyond boredom and anxiety</w:t>
      </w:r>
      <w:r w:rsidRPr="00AC1F7D">
        <w:rPr>
          <w:noProof/>
          <w:sz w:val="24"/>
        </w:rPr>
        <w:t>. Jossey-Bass Publishers San Francisco, CA.</w:t>
      </w:r>
    </w:p>
    <w:p w14:paraId="6CA7A4B7" w14:textId="77777777" w:rsidR="00AC1F7D" w:rsidRPr="00AC1F7D" w:rsidRDefault="00AC1F7D">
      <w:pPr>
        <w:pStyle w:val="NormalWeb"/>
        <w:ind w:left="480" w:hanging="480"/>
        <w:divId w:val="1663384982"/>
        <w:rPr>
          <w:noProof/>
          <w:sz w:val="24"/>
        </w:rPr>
      </w:pPr>
      <w:r w:rsidRPr="00AC1F7D">
        <w:rPr>
          <w:noProof/>
          <w:sz w:val="24"/>
        </w:rPr>
        <w:t xml:space="preserve">Csikszentmihalyi, M. (1991). </w:t>
      </w:r>
      <w:r w:rsidRPr="00AC1F7D">
        <w:rPr>
          <w:i/>
          <w:iCs/>
          <w:noProof/>
          <w:sz w:val="24"/>
        </w:rPr>
        <w:t>Flow: The psychology of optimal experience: Steps toward enhancing the quality of life</w:t>
      </w:r>
      <w:r w:rsidRPr="00AC1F7D">
        <w:rPr>
          <w:noProof/>
          <w:sz w:val="24"/>
        </w:rPr>
        <w:t>. Harper Collins Publishers.</w:t>
      </w:r>
    </w:p>
    <w:p w14:paraId="7666E7F4" w14:textId="77777777" w:rsidR="00AC1F7D" w:rsidRPr="00AC1F7D" w:rsidRDefault="00AC1F7D">
      <w:pPr>
        <w:pStyle w:val="NormalWeb"/>
        <w:ind w:left="480" w:hanging="480"/>
        <w:divId w:val="1663384982"/>
        <w:rPr>
          <w:noProof/>
          <w:sz w:val="24"/>
        </w:rPr>
      </w:pPr>
      <w:r w:rsidRPr="00AC1F7D">
        <w:rPr>
          <w:noProof/>
          <w:sz w:val="24"/>
        </w:rPr>
        <w:t xml:space="preserve">Csikszentmihalyi, M. (1997). </w:t>
      </w:r>
      <w:r w:rsidRPr="00AC1F7D">
        <w:rPr>
          <w:i/>
          <w:iCs/>
          <w:noProof/>
          <w:sz w:val="24"/>
        </w:rPr>
        <w:t>Finding flow: The psychology of engagement with everyday life</w:t>
      </w:r>
      <w:r w:rsidRPr="00AC1F7D">
        <w:rPr>
          <w:noProof/>
          <w:sz w:val="24"/>
        </w:rPr>
        <w:t>. Basic Books.</w:t>
      </w:r>
    </w:p>
    <w:p w14:paraId="64DD75FF" w14:textId="77777777" w:rsidR="00AC1F7D" w:rsidRPr="00AC1F7D" w:rsidRDefault="00AC1F7D">
      <w:pPr>
        <w:pStyle w:val="NormalWeb"/>
        <w:ind w:left="480" w:hanging="480"/>
        <w:divId w:val="1663384982"/>
        <w:rPr>
          <w:noProof/>
          <w:sz w:val="24"/>
        </w:rPr>
      </w:pPr>
      <w:r w:rsidRPr="00AC1F7D">
        <w:rPr>
          <w:noProof/>
          <w:sz w:val="24"/>
        </w:rPr>
        <w:t xml:space="preserve">Csikszentmihalyi, M., &amp; Larson, R. (1987). Validity and reliability of the Experience-Sampling Method. </w:t>
      </w:r>
      <w:r w:rsidRPr="00AC1F7D">
        <w:rPr>
          <w:i/>
          <w:iCs/>
          <w:noProof/>
          <w:sz w:val="24"/>
        </w:rPr>
        <w:t>The Journal of Nervous and Mental Disease</w:t>
      </w:r>
      <w:r w:rsidRPr="00AC1F7D">
        <w:rPr>
          <w:noProof/>
          <w:sz w:val="24"/>
        </w:rPr>
        <w:t xml:space="preserve">, </w:t>
      </w:r>
      <w:r w:rsidRPr="00AC1F7D">
        <w:rPr>
          <w:i/>
          <w:iCs/>
          <w:noProof/>
          <w:sz w:val="24"/>
        </w:rPr>
        <w:t>175</w:t>
      </w:r>
      <w:r w:rsidRPr="00AC1F7D">
        <w:rPr>
          <w:noProof/>
          <w:sz w:val="24"/>
        </w:rPr>
        <w:t>(9), 526–36. Retrieved from http://www.ncbi.nlm.nih.gov/pubmed/3655778</w:t>
      </w:r>
    </w:p>
    <w:p w14:paraId="1F04A94E" w14:textId="77777777" w:rsidR="00AC1F7D" w:rsidRPr="00AC1F7D" w:rsidRDefault="00AC1F7D">
      <w:pPr>
        <w:pStyle w:val="NormalWeb"/>
        <w:ind w:left="480" w:hanging="480"/>
        <w:divId w:val="1663384982"/>
        <w:rPr>
          <w:noProof/>
          <w:sz w:val="24"/>
        </w:rPr>
      </w:pPr>
      <w:r w:rsidRPr="00AC1F7D">
        <w:rPr>
          <w:noProof/>
          <w:sz w:val="24"/>
        </w:rPr>
        <w:t xml:space="preserve">Csikszentmihalyi, M., &amp; LeFevre, J. (1989). Optimal experience in work and leisure. </w:t>
      </w:r>
      <w:r w:rsidRPr="00AC1F7D">
        <w:rPr>
          <w:i/>
          <w:iCs/>
          <w:noProof/>
          <w:sz w:val="24"/>
        </w:rPr>
        <w:t>Journal of Personality and Social Psychology</w:t>
      </w:r>
      <w:r w:rsidRPr="00AC1F7D">
        <w:rPr>
          <w:noProof/>
          <w:sz w:val="24"/>
        </w:rPr>
        <w:t xml:space="preserve">, </w:t>
      </w:r>
      <w:r w:rsidRPr="00AC1F7D">
        <w:rPr>
          <w:i/>
          <w:iCs/>
          <w:noProof/>
          <w:sz w:val="24"/>
        </w:rPr>
        <w:t>56</w:t>
      </w:r>
      <w:r w:rsidRPr="00AC1F7D">
        <w:rPr>
          <w:noProof/>
          <w:sz w:val="24"/>
        </w:rPr>
        <w:t>(5), 815–22. Retrieved from http://www.ncbi.nlm.nih.gov/pubmed/2724069</w:t>
      </w:r>
    </w:p>
    <w:p w14:paraId="10DFDDDF" w14:textId="77777777" w:rsidR="00AC1F7D" w:rsidRPr="00AC1F7D" w:rsidRDefault="00AC1F7D">
      <w:pPr>
        <w:pStyle w:val="NormalWeb"/>
        <w:ind w:left="480" w:hanging="480"/>
        <w:divId w:val="1663384982"/>
        <w:rPr>
          <w:noProof/>
          <w:sz w:val="24"/>
        </w:rPr>
      </w:pPr>
      <w:r w:rsidRPr="00AC1F7D">
        <w:rPr>
          <w:noProof/>
          <w:sz w:val="24"/>
        </w:rPr>
        <w:t>Cucuel, Q. (2011). The Video Game Industry</w:t>
      </w:r>
      <w:r w:rsidRPr="00AC1F7D">
        <w:rPr>
          <w:rFonts w:ascii="Times New Roman" w:hAnsi="Times New Roman"/>
          <w:noProof/>
          <w:sz w:val="24"/>
        </w:rPr>
        <w:t> </w:t>
      </w:r>
      <w:r w:rsidRPr="00AC1F7D">
        <w:rPr>
          <w:noProof/>
          <w:sz w:val="24"/>
        </w:rPr>
        <w:t xml:space="preserve">: Explaining the Emergence of New Markets. </w:t>
      </w:r>
      <w:r w:rsidRPr="00AC1F7D">
        <w:rPr>
          <w:i/>
          <w:iCs/>
          <w:noProof/>
          <w:sz w:val="24"/>
        </w:rPr>
        <w:t>Otago Management Graduate Review</w:t>
      </w:r>
      <w:r w:rsidRPr="00AC1F7D">
        <w:rPr>
          <w:noProof/>
          <w:sz w:val="24"/>
        </w:rPr>
        <w:t xml:space="preserve">, </w:t>
      </w:r>
      <w:r w:rsidRPr="00AC1F7D">
        <w:rPr>
          <w:i/>
          <w:iCs/>
          <w:noProof/>
          <w:sz w:val="24"/>
        </w:rPr>
        <w:t>9</w:t>
      </w:r>
      <w:r w:rsidRPr="00AC1F7D">
        <w:rPr>
          <w:noProof/>
          <w:sz w:val="24"/>
        </w:rPr>
        <w:t>, 1–23.</w:t>
      </w:r>
    </w:p>
    <w:p w14:paraId="774F60E4" w14:textId="77777777" w:rsidR="00AC1F7D" w:rsidRPr="00AC1F7D" w:rsidRDefault="00AC1F7D">
      <w:pPr>
        <w:pStyle w:val="NormalWeb"/>
        <w:ind w:left="480" w:hanging="480"/>
        <w:divId w:val="1663384982"/>
        <w:rPr>
          <w:noProof/>
          <w:sz w:val="24"/>
        </w:rPr>
      </w:pPr>
      <w:r w:rsidRPr="00AC1F7D">
        <w:rPr>
          <w:noProof/>
          <w:sz w:val="24"/>
        </w:rPr>
        <w:t xml:space="preserve">Cyr, D., Head, M., &amp; Ivanov, A. (2009). Perceived interactivity leading to e-loyalty: Development of a model for cognitive-affective user responses. </w:t>
      </w:r>
      <w:r w:rsidRPr="00AC1F7D">
        <w:rPr>
          <w:i/>
          <w:iCs/>
          <w:noProof/>
          <w:sz w:val="24"/>
        </w:rPr>
        <w:t>International Journal of Human-Computer Studies</w:t>
      </w:r>
      <w:r w:rsidRPr="00AC1F7D">
        <w:rPr>
          <w:noProof/>
          <w:sz w:val="24"/>
        </w:rPr>
        <w:t xml:space="preserve">, </w:t>
      </w:r>
      <w:r w:rsidRPr="00AC1F7D">
        <w:rPr>
          <w:i/>
          <w:iCs/>
          <w:noProof/>
          <w:sz w:val="24"/>
        </w:rPr>
        <w:t>67</w:t>
      </w:r>
      <w:r w:rsidRPr="00AC1F7D">
        <w:rPr>
          <w:noProof/>
          <w:sz w:val="24"/>
        </w:rPr>
        <w:t>(10), 850–869.</w:t>
      </w:r>
    </w:p>
    <w:p w14:paraId="3B450377" w14:textId="77777777" w:rsidR="00AC1F7D" w:rsidRPr="00AC1F7D" w:rsidRDefault="00AC1F7D">
      <w:pPr>
        <w:pStyle w:val="NormalWeb"/>
        <w:ind w:left="480" w:hanging="480"/>
        <w:divId w:val="1663384982"/>
        <w:rPr>
          <w:noProof/>
          <w:sz w:val="24"/>
        </w:rPr>
      </w:pPr>
      <w:r w:rsidRPr="00AC1F7D">
        <w:rPr>
          <w:noProof/>
          <w:sz w:val="24"/>
        </w:rPr>
        <w:t xml:space="preserve">Deci, E. L., Betley, G., Kahle, J., Abrams, L., &amp; Porac, J. (1981). When Trying To Win: Competition and Intrinsic Motivation. </w:t>
      </w:r>
      <w:r w:rsidRPr="00AC1F7D">
        <w:rPr>
          <w:i/>
          <w:iCs/>
          <w:noProof/>
          <w:sz w:val="24"/>
        </w:rPr>
        <w:t>Personality and Social Psychology Bulletin</w:t>
      </w:r>
      <w:r w:rsidRPr="00AC1F7D">
        <w:rPr>
          <w:noProof/>
          <w:sz w:val="24"/>
        </w:rPr>
        <w:t xml:space="preserve">, </w:t>
      </w:r>
      <w:r w:rsidRPr="00AC1F7D">
        <w:rPr>
          <w:i/>
          <w:iCs/>
          <w:noProof/>
          <w:sz w:val="24"/>
        </w:rPr>
        <w:t>7</w:t>
      </w:r>
      <w:r w:rsidRPr="00AC1F7D">
        <w:rPr>
          <w:noProof/>
          <w:sz w:val="24"/>
        </w:rPr>
        <w:t>(1), 79–83.</w:t>
      </w:r>
    </w:p>
    <w:p w14:paraId="61A2B0CA" w14:textId="77777777" w:rsidR="00AC1F7D" w:rsidRPr="00AC1F7D" w:rsidRDefault="00AC1F7D">
      <w:pPr>
        <w:pStyle w:val="NormalWeb"/>
        <w:ind w:left="480" w:hanging="480"/>
        <w:divId w:val="1663384982"/>
        <w:rPr>
          <w:noProof/>
          <w:sz w:val="24"/>
        </w:rPr>
      </w:pPr>
      <w:r w:rsidRPr="00AC1F7D">
        <w:rPr>
          <w:noProof/>
          <w:sz w:val="24"/>
        </w:rPr>
        <w:lastRenderedPageBreak/>
        <w:t xml:space="preserve">Deci, E. L., Koestner, R., &amp; Ryan, R. M. (1999). A meta-analytic review of experiments examining the effects of extrinsic rewards on intrinsic motivation. </w:t>
      </w:r>
      <w:r w:rsidRPr="00AC1F7D">
        <w:rPr>
          <w:i/>
          <w:iCs/>
          <w:noProof/>
          <w:sz w:val="24"/>
        </w:rPr>
        <w:t>Psychological Bulletin</w:t>
      </w:r>
      <w:r w:rsidRPr="00AC1F7D">
        <w:rPr>
          <w:noProof/>
          <w:sz w:val="24"/>
        </w:rPr>
        <w:t xml:space="preserve">, </w:t>
      </w:r>
      <w:r w:rsidRPr="00AC1F7D">
        <w:rPr>
          <w:i/>
          <w:iCs/>
          <w:noProof/>
          <w:sz w:val="24"/>
        </w:rPr>
        <w:t>125</w:t>
      </w:r>
      <w:r w:rsidRPr="00AC1F7D">
        <w:rPr>
          <w:noProof/>
          <w:sz w:val="24"/>
        </w:rPr>
        <w:t>(6), 627–68; discussion 692–700. Retrieved from http://www.ncbi.nlm.nih.gov/pubmed/10589297</w:t>
      </w:r>
    </w:p>
    <w:p w14:paraId="396516F1" w14:textId="77777777" w:rsidR="00AC1F7D" w:rsidRPr="00AC1F7D" w:rsidRDefault="00AC1F7D">
      <w:pPr>
        <w:pStyle w:val="NormalWeb"/>
        <w:ind w:left="480" w:hanging="480"/>
        <w:divId w:val="1663384982"/>
        <w:rPr>
          <w:noProof/>
          <w:sz w:val="24"/>
        </w:rPr>
      </w:pPr>
      <w:r w:rsidRPr="00AC1F7D">
        <w:rPr>
          <w:noProof/>
          <w:sz w:val="24"/>
        </w:rPr>
        <w:t xml:space="preserve">Deci, E. L., &amp; Ryan, R. M. (1980). The empirical exploration of intrinsic motivational processes. </w:t>
      </w:r>
      <w:r w:rsidRPr="00AC1F7D">
        <w:rPr>
          <w:i/>
          <w:iCs/>
          <w:noProof/>
          <w:sz w:val="24"/>
        </w:rPr>
        <w:t>Advances in Experimental Social Psychology</w:t>
      </w:r>
      <w:r w:rsidRPr="00AC1F7D">
        <w:rPr>
          <w:noProof/>
          <w:sz w:val="24"/>
        </w:rPr>
        <w:t xml:space="preserve">, </w:t>
      </w:r>
      <w:r w:rsidRPr="00AC1F7D">
        <w:rPr>
          <w:i/>
          <w:iCs/>
          <w:noProof/>
          <w:sz w:val="24"/>
        </w:rPr>
        <w:t>13</w:t>
      </w:r>
      <w:r w:rsidRPr="00AC1F7D">
        <w:rPr>
          <w:noProof/>
          <w:sz w:val="24"/>
        </w:rPr>
        <w:t>, 39–80.</w:t>
      </w:r>
    </w:p>
    <w:p w14:paraId="762DE20E" w14:textId="77777777" w:rsidR="00AC1F7D" w:rsidRPr="00AC1F7D" w:rsidRDefault="00AC1F7D">
      <w:pPr>
        <w:pStyle w:val="NormalWeb"/>
        <w:ind w:left="480" w:hanging="480"/>
        <w:divId w:val="1663384982"/>
        <w:rPr>
          <w:noProof/>
          <w:sz w:val="24"/>
        </w:rPr>
      </w:pPr>
      <w:r w:rsidRPr="00AC1F7D">
        <w:rPr>
          <w:noProof/>
          <w:sz w:val="24"/>
        </w:rPr>
        <w:t xml:space="preserve">Deci, E. L., &amp; Ryan, R. M. (1985a). </w:t>
      </w:r>
      <w:r w:rsidRPr="00AC1F7D">
        <w:rPr>
          <w:i/>
          <w:iCs/>
          <w:noProof/>
          <w:sz w:val="24"/>
        </w:rPr>
        <w:t>Intrinsic motivation and self-determination in human behavior</w:t>
      </w:r>
      <w:r w:rsidRPr="00AC1F7D">
        <w:rPr>
          <w:noProof/>
          <w:sz w:val="24"/>
        </w:rPr>
        <w:t>. Springer.</w:t>
      </w:r>
    </w:p>
    <w:p w14:paraId="5946305D" w14:textId="77777777" w:rsidR="00AC1F7D" w:rsidRPr="00AC1F7D" w:rsidRDefault="00AC1F7D">
      <w:pPr>
        <w:pStyle w:val="NormalWeb"/>
        <w:ind w:left="480" w:hanging="480"/>
        <w:divId w:val="1663384982"/>
        <w:rPr>
          <w:noProof/>
          <w:sz w:val="24"/>
        </w:rPr>
      </w:pPr>
      <w:r w:rsidRPr="00AC1F7D">
        <w:rPr>
          <w:noProof/>
          <w:sz w:val="24"/>
        </w:rPr>
        <w:t xml:space="preserve">Deci, E. L., &amp; Ryan, R. M. (1985b). The general causality orientations scale: Self-determination in personality. </w:t>
      </w:r>
      <w:r w:rsidRPr="00AC1F7D">
        <w:rPr>
          <w:i/>
          <w:iCs/>
          <w:noProof/>
          <w:sz w:val="24"/>
        </w:rPr>
        <w:t>Journal of Research in Personality</w:t>
      </w:r>
      <w:r w:rsidRPr="00AC1F7D">
        <w:rPr>
          <w:noProof/>
          <w:sz w:val="24"/>
        </w:rPr>
        <w:t xml:space="preserve">, </w:t>
      </w:r>
      <w:r w:rsidRPr="00AC1F7D">
        <w:rPr>
          <w:i/>
          <w:iCs/>
          <w:noProof/>
          <w:sz w:val="24"/>
        </w:rPr>
        <w:t>19</w:t>
      </w:r>
      <w:r w:rsidRPr="00AC1F7D">
        <w:rPr>
          <w:noProof/>
          <w:sz w:val="24"/>
        </w:rPr>
        <w:t>(2), 109–134. doi:10.1016/0092-6566(85)90023-6</w:t>
      </w:r>
    </w:p>
    <w:p w14:paraId="74BA5498" w14:textId="77777777" w:rsidR="00AC1F7D" w:rsidRPr="00AC1F7D" w:rsidRDefault="00AC1F7D">
      <w:pPr>
        <w:pStyle w:val="NormalWeb"/>
        <w:ind w:left="480" w:hanging="480"/>
        <w:divId w:val="1663384982"/>
        <w:rPr>
          <w:noProof/>
          <w:sz w:val="24"/>
        </w:rPr>
      </w:pPr>
      <w:r w:rsidRPr="00AC1F7D">
        <w:rPr>
          <w:noProof/>
          <w:sz w:val="24"/>
        </w:rPr>
        <w:t xml:space="preserve">Deci, E. L., &amp; Ryan, R. M. (1991). A motivational approach to self: Integration in personality. In </w:t>
      </w:r>
      <w:r w:rsidRPr="00AC1F7D">
        <w:rPr>
          <w:i/>
          <w:iCs/>
          <w:noProof/>
          <w:sz w:val="24"/>
        </w:rPr>
        <w:t>Nebraska symposium on motivation</w:t>
      </w:r>
      <w:r w:rsidRPr="00AC1F7D">
        <w:rPr>
          <w:noProof/>
          <w:sz w:val="24"/>
        </w:rPr>
        <w:t xml:space="preserve"> (Vol. 38, pp. 237–288).</w:t>
      </w:r>
    </w:p>
    <w:p w14:paraId="2B4C523E" w14:textId="77777777" w:rsidR="00AC1F7D" w:rsidRPr="00AC1F7D" w:rsidRDefault="00AC1F7D">
      <w:pPr>
        <w:pStyle w:val="NormalWeb"/>
        <w:ind w:left="480" w:hanging="480"/>
        <w:divId w:val="1663384982"/>
        <w:rPr>
          <w:noProof/>
          <w:sz w:val="24"/>
        </w:rPr>
      </w:pPr>
      <w:r w:rsidRPr="00AC1F7D">
        <w:rPr>
          <w:noProof/>
          <w:sz w:val="24"/>
        </w:rPr>
        <w:t>Deci, E. L., &amp; Ryan, R. M. (2000). The “ What ” and “ Why ” of Goal Pursuits</w:t>
      </w:r>
      <w:r w:rsidRPr="00AC1F7D">
        <w:rPr>
          <w:rFonts w:ascii="Times New Roman" w:hAnsi="Times New Roman"/>
          <w:noProof/>
          <w:sz w:val="24"/>
        </w:rPr>
        <w:t> </w:t>
      </w:r>
      <w:r w:rsidRPr="00AC1F7D">
        <w:rPr>
          <w:noProof/>
          <w:sz w:val="24"/>
        </w:rPr>
        <w:t xml:space="preserve">: Human Needs and the Self-Determination of Behavior. </w:t>
      </w:r>
      <w:r w:rsidRPr="00AC1F7D">
        <w:rPr>
          <w:i/>
          <w:iCs/>
          <w:noProof/>
          <w:sz w:val="24"/>
        </w:rPr>
        <w:t>Psychological Inquiry</w:t>
      </w:r>
      <w:r w:rsidRPr="00AC1F7D">
        <w:rPr>
          <w:noProof/>
          <w:sz w:val="24"/>
        </w:rPr>
        <w:t xml:space="preserve">, </w:t>
      </w:r>
      <w:r w:rsidRPr="00AC1F7D">
        <w:rPr>
          <w:i/>
          <w:iCs/>
          <w:noProof/>
          <w:sz w:val="24"/>
        </w:rPr>
        <w:t>11</w:t>
      </w:r>
      <w:r w:rsidRPr="00AC1F7D">
        <w:rPr>
          <w:noProof/>
          <w:sz w:val="24"/>
        </w:rPr>
        <w:t>(4), 227–268.</w:t>
      </w:r>
    </w:p>
    <w:p w14:paraId="29FBD44A" w14:textId="77777777" w:rsidR="00AC1F7D" w:rsidRPr="00AC1F7D" w:rsidRDefault="00AC1F7D">
      <w:pPr>
        <w:pStyle w:val="NormalWeb"/>
        <w:ind w:left="480" w:hanging="480"/>
        <w:divId w:val="1663384982"/>
        <w:rPr>
          <w:noProof/>
          <w:sz w:val="24"/>
        </w:rPr>
      </w:pPr>
      <w:r w:rsidRPr="00AC1F7D">
        <w:rPr>
          <w:noProof/>
          <w:sz w:val="24"/>
        </w:rPr>
        <w:t xml:space="preserve">DeLone, W., &amp; McLean, E. (1992). Information systems success: the quest for the dependent variable. </w:t>
      </w:r>
      <w:r w:rsidRPr="00AC1F7D">
        <w:rPr>
          <w:i/>
          <w:iCs/>
          <w:noProof/>
          <w:sz w:val="24"/>
        </w:rPr>
        <w:t>Information Systems Research</w:t>
      </w:r>
      <w:r w:rsidRPr="00AC1F7D">
        <w:rPr>
          <w:noProof/>
          <w:sz w:val="24"/>
        </w:rPr>
        <w:t xml:space="preserve">, </w:t>
      </w:r>
      <w:r w:rsidRPr="00AC1F7D">
        <w:rPr>
          <w:i/>
          <w:iCs/>
          <w:noProof/>
          <w:sz w:val="24"/>
        </w:rPr>
        <w:t>3</w:t>
      </w:r>
      <w:r w:rsidRPr="00AC1F7D">
        <w:rPr>
          <w:noProof/>
          <w:sz w:val="24"/>
        </w:rPr>
        <w:t>(1), 60–95. Retrieved from http://pubsonline.informs.org/doi/abs/10.1287/isre.3.1.60</w:t>
      </w:r>
    </w:p>
    <w:p w14:paraId="3D0BE477" w14:textId="77777777" w:rsidR="00AC1F7D" w:rsidRPr="00AC1F7D" w:rsidRDefault="00AC1F7D">
      <w:pPr>
        <w:pStyle w:val="NormalWeb"/>
        <w:ind w:left="480" w:hanging="480"/>
        <w:divId w:val="1663384982"/>
        <w:rPr>
          <w:noProof/>
          <w:sz w:val="24"/>
        </w:rPr>
      </w:pPr>
      <w:r w:rsidRPr="00AC1F7D">
        <w:rPr>
          <w:noProof/>
          <w:sz w:val="24"/>
        </w:rPr>
        <w:t xml:space="preserve">DeLone, W., &amp; McLean, E. (2002). Information Systems Success Revisited, </w:t>
      </w:r>
      <w:r w:rsidRPr="00AC1F7D">
        <w:rPr>
          <w:i/>
          <w:iCs/>
          <w:noProof/>
          <w:sz w:val="24"/>
        </w:rPr>
        <w:t>00</w:t>
      </w:r>
      <w:r w:rsidRPr="00AC1F7D">
        <w:rPr>
          <w:noProof/>
          <w:sz w:val="24"/>
        </w:rPr>
        <w:t>(c), 1–11.</w:t>
      </w:r>
    </w:p>
    <w:p w14:paraId="0C486AF2" w14:textId="77777777" w:rsidR="00AC1F7D" w:rsidRPr="00AC1F7D" w:rsidRDefault="00AC1F7D">
      <w:pPr>
        <w:pStyle w:val="NormalWeb"/>
        <w:ind w:left="480" w:hanging="480"/>
        <w:divId w:val="1663384982"/>
        <w:rPr>
          <w:noProof/>
          <w:sz w:val="24"/>
        </w:rPr>
      </w:pPr>
      <w:r w:rsidRPr="00AC1F7D">
        <w:rPr>
          <w:noProof/>
          <w:sz w:val="24"/>
        </w:rPr>
        <w:t xml:space="preserve">DeLone, W., &amp; McLean, E. (2003). The DeLone and McLean model of information systems success: a ten-year update. </w:t>
      </w:r>
      <w:r w:rsidRPr="00AC1F7D">
        <w:rPr>
          <w:i/>
          <w:iCs/>
          <w:noProof/>
          <w:sz w:val="24"/>
        </w:rPr>
        <w:t>Journal of Management Information Systems</w:t>
      </w:r>
      <w:r w:rsidRPr="00AC1F7D">
        <w:rPr>
          <w:noProof/>
          <w:sz w:val="24"/>
        </w:rPr>
        <w:t xml:space="preserve">, </w:t>
      </w:r>
      <w:r w:rsidRPr="00AC1F7D">
        <w:rPr>
          <w:i/>
          <w:iCs/>
          <w:noProof/>
          <w:sz w:val="24"/>
        </w:rPr>
        <w:t>19</w:t>
      </w:r>
      <w:r w:rsidRPr="00AC1F7D">
        <w:rPr>
          <w:noProof/>
          <w:sz w:val="24"/>
        </w:rPr>
        <w:t>(4), 9–30. Retrieved from http://mesharpe.metapress.com/index/PEQDJK46VY52V4Q6.pdf</w:t>
      </w:r>
    </w:p>
    <w:p w14:paraId="513B84DA" w14:textId="77777777" w:rsidR="00AC1F7D" w:rsidRPr="00AC1F7D" w:rsidRDefault="00AC1F7D">
      <w:pPr>
        <w:pStyle w:val="NormalWeb"/>
        <w:ind w:left="480" w:hanging="480"/>
        <w:divId w:val="1663384982"/>
        <w:rPr>
          <w:noProof/>
          <w:sz w:val="24"/>
        </w:rPr>
      </w:pPr>
      <w:r w:rsidRPr="00AC1F7D">
        <w:rPr>
          <w:noProof/>
          <w:sz w:val="24"/>
        </w:rPr>
        <w:t xml:space="preserve">Deng, L., Turner, D. E., Gehling, R., &amp; Prince, B. (2010). User experience, satisfaction, and continual usage intention of IT. </w:t>
      </w:r>
      <w:r w:rsidRPr="00AC1F7D">
        <w:rPr>
          <w:i/>
          <w:iCs/>
          <w:noProof/>
          <w:sz w:val="24"/>
        </w:rPr>
        <w:t>European Journal of Information Systems</w:t>
      </w:r>
      <w:r w:rsidRPr="00AC1F7D">
        <w:rPr>
          <w:noProof/>
          <w:sz w:val="24"/>
        </w:rPr>
        <w:t xml:space="preserve">, </w:t>
      </w:r>
      <w:r w:rsidRPr="00AC1F7D">
        <w:rPr>
          <w:i/>
          <w:iCs/>
          <w:noProof/>
          <w:sz w:val="24"/>
        </w:rPr>
        <w:t>19</w:t>
      </w:r>
      <w:r w:rsidRPr="00AC1F7D">
        <w:rPr>
          <w:noProof/>
          <w:sz w:val="24"/>
        </w:rPr>
        <w:t>(1), 60–75. doi:10.1057/ejis.2009.50</w:t>
      </w:r>
    </w:p>
    <w:p w14:paraId="73648F36" w14:textId="77777777" w:rsidR="00AC1F7D" w:rsidRPr="00AC1F7D" w:rsidRDefault="00AC1F7D">
      <w:pPr>
        <w:pStyle w:val="NormalWeb"/>
        <w:ind w:left="480" w:hanging="480"/>
        <w:divId w:val="1663384982"/>
        <w:rPr>
          <w:noProof/>
          <w:sz w:val="24"/>
        </w:rPr>
      </w:pPr>
      <w:r w:rsidRPr="00AC1F7D">
        <w:rPr>
          <w:noProof/>
          <w:sz w:val="24"/>
        </w:rPr>
        <w:t xml:space="preserve">Deng, Z., Lu, Y., Wei, K. K., &amp; Zhang, J. (2010). Understanding customer satisfaction and loyalty: An empirical study of mobile instant messages in China. </w:t>
      </w:r>
      <w:r w:rsidRPr="00AC1F7D">
        <w:rPr>
          <w:i/>
          <w:iCs/>
          <w:noProof/>
          <w:sz w:val="24"/>
        </w:rPr>
        <w:t>International Journal of Information Management</w:t>
      </w:r>
      <w:r w:rsidRPr="00AC1F7D">
        <w:rPr>
          <w:noProof/>
          <w:sz w:val="24"/>
        </w:rPr>
        <w:t xml:space="preserve">, </w:t>
      </w:r>
      <w:r w:rsidRPr="00AC1F7D">
        <w:rPr>
          <w:i/>
          <w:iCs/>
          <w:noProof/>
          <w:sz w:val="24"/>
        </w:rPr>
        <w:t>30</w:t>
      </w:r>
      <w:r w:rsidRPr="00AC1F7D">
        <w:rPr>
          <w:noProof/>
          <w:sz w:val="24"/>
        </w:rPr>
        <w:t>(4), 289–300. doi:10.1016/j.ijinfomgt.2009.10.001</w:t>
      </w:r>
    </w:p>
    <w:p w14:paraId="73D6F9A8" w14:textId="77777777" w:rsidR="00AC1F7D" w:rsidRPr="00AC1F7D" w:rsidRDefault="00AC1F7D">
      <w:pPr>
        <w:pStyle w:val="NormalWeb"/>
        <w:ind w:left="480" w:hanging="480"/>
        <w:divId w:val="1663384982"/>
        <w:rPr>
          <w:noProof/>
          <w:sz w:val="24"/>
        </w:rPr>
      </w:pPr>
      <w:r w:rsidRPr="00AC1F7D">
        <w:rPr>
          <w:noProof/>
          <w:sz w:val="24"/>
        </w:rPr>
        <w:t xml:space="preserve">Deterding, S., Dixon, D., Khaled, R., &amp; Nacke, L. (2011). From game design elements to gamefulness: defining “Gamification.” </w:t>
      </w:r>
      <w:r w:rsidRPr="00AC1F7D">
        <w:rPr>
          <w:i/>
          <w:iCs/>
          <w:noProof/>
          <w:sz w:val="24"/>
        </w:rPr>
        <w:t>Proceedings of the 15th International Academic MindTrek Conference: Envisioning Future Media Environments</w:t>
      </w:r>
      <w:r w:rsidRPr="00AC1F7D">
        <w:rPr>
          <w:noProof/>
          <w:sz w:val="24"/>
        </w:rPr>
        <w:t>. Retrieved from http://dl.acm.org/citation.cfm?id=2181040</w:t>
      </w:r>
    </w:p>
    <w:p w14:paraId="1934A9BB" w14:textId="77777777" w:rsidR="00AC1F7D" w:rsidRPr="00AC1F7D" w:rsidRDefault="00AC1F7D">
      <w:pPr>
        <w:pStyle w:val="NormalWeb"/>
        <w:ind w:left="480" w:hanging="480"/>
        <w:divId w:val="1663384982"/>
        <w:rPr>
          <w:noProof/>
          <w:sz w:val="24"/>
        </w:rPr>
      </w:pPr>
      <w:r w:rsidRPr="00AC1F7D">
        <w:rPr>
          <w:noProof/>
          <w:sz w:val="24"/>
        </w:rPr>
        <w:t xml:space="preserve">Edery, D., &amp; Mollick, E. (2009). </w:t>
      </w:r>
      <w:r w:rsidRPr="00AC1F7D">
        <w:rPr>
          <w:i/>
          <w:iCs/>
          <w:noProof/>
          <w:sz w:val="24"/>
        </w:rPr>
        <w:t>Changing the game: How video games are transforming the future of business</w:t>
      </w:r>
      <w:r w:rsidRPr="00AC1F7D">
        <w:rPr>
          <w:noProof/>
          <w:sz w:val="24"/>
        </w:rPr>
        <w:t>. Ft Pr.</w:t>
      </w:r>
    </w:p>
    <w:p w14:paraId="14601C9D" w14:textId="77777777" w:rsidR="00AC1F7D" w:rsidRPr="00AC1F7D" w:rsidRDefault="00AC1F7D">
      <w:pPr>
        <w:pStyle w:val="NormalWeb"/>
        <w:ind w:left="480" w:hanging="480"/>
        <w:divId w:val="1663384982"/>
        <w:rPr>
          <w:noProof/>
          <w:sz w:val="24"/>
        </w:rPr>
      </w:pPr>
      <w:r w:rsidRPr="00AC1F7D">
        <w:rPr>
          <w:noProof/>
          <w:sz w:val="24"/>
        </w:rPr>
        <w:lastRenderedPageBreak/>
        <w:t xml:space="preserve">Entertainment Software Association. (2010). </w:t>
      </w:r>
      <w:r w:rsidRPr="00AC1F7D">
        <w:rPr>
          <w:i/>
          <w:iCs/>
          <w:noProof/>
          <w:sz w:val="24"/>
        </w:rPr>
        <w:t>Essential Facts About the Computer and Video Game Industry: 2010 Sales, Demographic and Usage Data.</w:t>
      </w:r>
      <w:r w:rsidRPr="00AC1F7D">
        <w:rPr>
          <w:noProof/>
          <w:sz w:val="24"/>
        </w:rPr>
        <w:t xml:space="preserve"> Retrieved from http://www.theesa.com/facts/pdfs/ESA_Essential_Facts_2010.PDF</w:t>
      </w:r>
    </w:p>
    <w:p w14:paraId="463676EC" w14:textId="77777777" w:rsidR="00AC1F7D" w:rsidRPr="00AC1F7D" w:rsidRDefault="00AC1F7D">
      <w:pPr>
        <w:pStyle w:val="NormalWeb"/>
        <w:ind w:left="480" w:hanging="480"/>
        <w:divId w:val="1663384982"/>
        <w:rPr>
          <w:noProof/>
          <w:sz w:val="24"/>
        </w:rPr>
      </w:pPr>
      <w:r w:rsidRPr="00AC1F7D">
        <w:rPr>
          <w:noProof/>
          <w:sz w:val="24"/>
        </w:rPr>
        <w:t xml:space="preserve">Eysenck, M. W. (1976). Arousal, learning, and memory. </w:t>
      </w:r>
      <w:r w:rsidRPr="00AC1F7D">
        <w:rPr>
          <w:i/>
          <w:iCs/>
          <w:noProof/>
          <w:sz w:val="24"/>
        </w:rPr>
        <w:t>Psychological Bulletin</w:t>
      </w:r>
      <w:r w:rsidRPr="00AC1F7D">
        <w:rPr>
          <w:noProof/>
          <w:sz w:val="24"/>
        </w:rPr>
        <w:t xml:space="preserve">, </w:t>
      </w:r>
      <w:r w:rsidRPr="00AC1F7D">
        <w:rPr>
          <w:i/>
          <w:iCs/>
          <w:noProof/>
          <w:sz w:val="24"/>
        </w:rPr>
        <w:t>83</w:t>
      </w:r>
      <w:r w:rsidRPr="00AC1F7D">
        <w:rPr>
          <w:noProof/>
          <w:sz w:val="24"/>
        </w:rPr>
        <w:t>(3), 389–404. Retrieved from http://www.ncbi.nlm.nih.gov/pubmed/778883</w:t>
      </w:r>
    </w:p>
    <w:p w14:paraId="327D04F1" w14:textId="77777777" w:rsidR="00AC1F7D" w:rsidRPr="00AC1F7D" w:rsidRDefault="00AC1F7D">
      <w:pPr>
        <w:pStyle w:val="NormalWeb"/>
        <w:ind w:left="480" w:hanging="480"/>
        <w:divId w:val="1663384982"/>
        <w:rPr>
          <w:noProof/>
          <w:sz w:val="24"/>
        </w:rPr>
      </w:pPr>
      <w:r w:rsidRPr="00AC1F7D">
        <w:rPr>
          <w:noProof/>
          <w:sz w:val="24"/>
        </w:rPr>
        <w:t xml:space="preserve">Falk, R. F., &amp; Miller, N. B. (1992). </w:t>
      </w:r>
      <w:r w:rsidRPr="00AC1F7D">
        <w:rPr>
          <w:i/>
          <w:iCs/>
          <w:noProof/>
          <w:sz w:val="24"/>
        </w:rPr>
        <w:t>A primer for soft modeling.</w:t>
      </w:r>
      <w:r w:rsidRPr="00AC1F7D">
        <w:rPr>
          <w:noProof/>
          <w:sz w:val="24"/>
        </w:rPr>
        <w:t xml:space="preserve"> University of Akron Press.</w:t>
      </w:r>
    </w:p>
    <w:p w14:paraId="013356CA" w14:textId="77777777" w:rsidR="00AC1F7D" w:rsidRPr="00AC1F7D" w:rsidRDefault="00AC1F7D">
      <w:pPr>
        <w:pStyle w:val="NormalWeb"/>
        <w:ind w:left="480" w:hanging="480"/>
        <w:divId w:val="1663384982"/>
        <w:rPr>
          <w:noProof/>
          <w:sz w:val="24"/>
        </w:rPr>
      </w:pPr>
      <w:r w:rsidRPr="00AC1F7D">
        <w:rPr>
          <w:noProof/>
          <w:sz w:val="24"/>
        </w:rPr>
        <w:t xml:space="preserve">Faul, F., Erdfelder, E., Lang, A.-G., &amp; Buchner, A. (2007). G*Power 3: a flexible statistical power analysis program for the social, behavioral, and biomedical sciences. </w:t>
      </w:r>
      <w:r w:rsidRPr="00AC1F7D">
        <w:rPr>
          <w:i/>
          <w:iCs/>
          <w:noProof/>
          <w:sz w:val="24"/>
        </w:rPr>
        <w:t>Behavior Research Methods</w:t>
      </w:r>
      <w:r w:rsidRPr="00AC1F7D">
        <w:rPr>
          <w:noProof/>
          <w:sz w:val="24"/>
        </w:rPr>
        <w:t xml:space="preserve">, </w:t>
      </w:r>
      <w:r w:rsidRPr="00AC1F7D">
        <w:rPr>
          <w:i/>
          <w:iCs/>
          <w:noProof/>
          <w:sz w:val="24"/>
        </w:rPr>
        <w:t>39</w:t>
      </w:r>
      <w:r w:rsidRPr="00AC1F7D">
        <w:rPr>
          <w:noProof/>
          <w:sz w:val="24"/>
        </w:rPr>
        <w:t>(2), 175–91. Retrieved from http://www.ncbi.nlm.nih.gov/pubmed/17695343</w:t>
      </w:r>
    </w:p>
    <w:p w14:paraId="29953091" w14:textId="77777777" w:rsidR="00AC1F7D" w:rsidRPr="00AC1F7D" w:rsidRDefault="00AC1F7D">
      <w:pPr>
        <w:pStyle w:val="NormalWeb"/>
        <w:ind w:left="480" w:hanging="480"/>
        <w:divId w:val="1663384982"/>
        <w:rPr>
          <w:noProof/>
          <w:sz w:val="24"/>
        </w:rPr>
      </w:pPr>
      <w:r w:rsidRPr="00AC1F7D">
        <w:rPr>
          <w:noProof/>
          <w:sz w:val="24"/>
        </w:rPr>
        <w:t xml:space="preserve">Feiertag, J., &amp; Berge, Z. L. (2008). Training Generation N: how educators should approach the Net Generation. </w:t>
      </w:r>
      <w:r w:rsidRPr="00AC1F7D">
        <w:rPr>
          <w:i/>
          <w:iCs/>
          <w:noProof/>
          <w:sz w:val="24"/>
        </w:rPr>
        <w:t>Education + Training</w:t>
      </w:r>
      <w:r w:rsidRPr="00AC1F7D">
        <w:rPr>
          <w:noProof/>
          <w:sz w:val="24"/>
        </w:rPr>
        <w:t xml:space="preserve">, </w:t>
      </w:r>
      <w:r w:rsidRPr="00AC1F7D">
        <w:rPr>
          <w:i/>
          <w:iCs/>
          <w:noProof/>
          <w:sz w:val="24"/>
        </w:rPr>
        <w:t>50</w:t>
      </w:r>
      <w:r w:rsidRPr="00AC1F7D">
        <w:rPr>
          <w:noProof/>
          <w:sz w:val="24"/>
        </w:rPr>
        <w:t>(6), 457–464. doi:10.1108/00400910810901782</w:t>
      </w:r>
    </w:p>
    <w:p w14:paraId="5B74F275" w14:textId="77777777" w:rsidR="00AC1F7D" w:rsidRPr="00AC1F7D" w:rsidRDefault="00AC1F7D">
      <w:pPr>
        <w:pStyle w:val="NormalWeb"/>
        <w:ind w:left="480" w:hanging="480"/>
        <w:divId w:val="1663384982"/>
        <w:rPr>
          <w:noProof/>
          <w:sz w:val="24"/>
        </w:rPr>
      </w:pPr>
      <w:r w:rsidRPr="00AC1F7D">
        <w:rPr>
          <w:noProof/>
          <w:sz w:val="24"/>
        </w:rPr>
        <w:t xml:space="preserve">Festinger, L. (1954). A theory of social comparison processes. </w:t>
      </w:r>
      <w:r w:rsidRPr="00AC1F7D">
        <w:rPr>
          <w:i/>
          <w:iCs/>
          <w:noProof/>
          <w:sz w:val="24"/>
        </w:rPr>
        <w:t>Human Relations</w:t>
      </w:r>
      <w:r w:rsidRPr="00AC1F7D">
        <w:rPr>
          <w:noProof/>
          <w:sz w:val="24"/>
        </w:rPr>
        <w:t xml:space="preserve">, </w:t>
      </w:r>
      <w:r w:rsidRPr="00AC1F7D">
        <w:rPr>
          <w:i/>
          <w:iCs/>
          <w:noProof/>
          <w:sz w:val="24"/>
        </w:rPr>
        <w:t>7</w:t>
      </w:r>
      <w:r w:rsidRPr="00AC1F7D">
        <w:rPr>
          <w:noProof/>
          <w:sz w:val="24"/>
        </w:rPr>
        <w:t>(2), 117–140. Retrieved from http://www.soc.ucsb.edu/faculty/friedkin/Syllabi/Soc147/A Theory of Social Comparison Processes.pdf</w:t>
      </w:r>
    </w:p>
    <w:p w14:paraId="3086584C" w14:textId="77777777" w:rsidR="00AC1F7D" w:rsidRPr="00AC1F7D" w:rsidRDefault="00AC1F7D">
      <w:pPr>
        <w:pStyle w:val="NormalWeb"/>
        <w:ind w:left="480" w:hanging="480"/>
        <w:divId w:val="1663384982"/>
        <w:rPr>
          <w:noProof/>
          <w:sz w:val="24"/>
        </w:rPr>
      </w:pPr>
      <w:r w:rsidRPr="00AC1F7D">
        <w:rPr>
          <w:noProof/>
          <w:sz w:val="24"/>
        </w:rPr>
        <w:t xml:space="preserve">Fisher, S. (1994). Identifying video game addiction in children and adolescents. </w:t>
      </w:r>
      <w:r w:rsidRPr="00AC1F7D">
        <w:rPr>
          <w:i/>
          <w:iCs/>
          <w:noProof/>
          <w:sz w:val="24"/>
        </w:rPr>
        <w:t>Addictive Behaviors</w:t>
      </w:r>
      <w:r w:rsidRPr="00AC1F7D">
        <w:rPr>
          <w:noProof/>
          <w:sz w:val="24"/>
        </w:rPr>
        <w:t xml:space="preserve">, </w:t>
      </w:r>
      <w:r w:rsidRPr="00AC1F7D">
        <w:rPr>
          <w:i/>
          <w:iCs/>
          <w:noProof/>
          <w:sz w:val="24"/>
        </w:rPr>
        <w:t>4603</w:t>
      </w:r>
      <w:r w:rsidRPr="00AC1F7D">
        <w:rPr>
          <w:noProof/>
          <w:sz w:val="24"/>
        </w:rPr>
        <w:t>(5), 545–553. Retrieved from http://www.sciencedirect.com/science/article/pii/0306460394900108</w:t>
      </w:r>
    </w:p>
    <w:p w14:paraId="2CF6190D" w14:textId="77777777" w:rsidR="00AC1F7D" w:rsidRPr="00AC1F7D" w:rsidRDefault="00AC1F7D">
      <w:pPr>
        <w:pStyle w:val="NormalWeb"/>
        <w:ind w:left="480" w:hanging="480"/>
        <w:divId w:val="1663384982"/>
        <w:rPr>
          <w:noProof/>
          <w:sz w:val="24"/>
        </w:rPr>
      </w:pPr>
      <w:r w:rsidRPr="00AC1F7D">
        <w:rPr>
          <w:noProof/>
          <w:sz w:val="24"/>
        </w:rPr>
        <w:t xml:space="preserve">Fornell, C., &amp; Larcker, D. F. (1981). Evaluating structural equation models with unobservable variables and measurement error. </w:t>
      </w:r>
      <w:r w:rsidRPr="00AC1F7D">
        <w:rPr>
          <w:i/>
          <w:iCs/>
          <w:noProof/>
          <w:sz w:val="24"/>
        </w:rPr>
        <w:t>Journal of Marketing Research</w:t>
      </w:r>
      <w:r w:rsidRPr="00AC1F7D">
        <w:rPr>
          <w:noProof/>
          <w:sz w:val="24"/>
        </w:rPr>
        <w:t>, 39–50.</w:t>
      </w:r>
    </w:p>
    <w:p w14:paraId="782BDF76" w14:textId="77777777" w:rsidR="00AC1F7D" w:rsidRPr="00AC1F7D" w:rsidRDefault="00AC1F7D">
      <w:pPr>
        <w:pStyle w:val="NormalWeb"/>
        <w:ind w:left="480" w:hanging="480"/>
        <w:divId w:val="1663384982"/>
        <w:rPr>
          <w:noProof/>
          <w:sz w:val="24"/>
        </w:rPr>
      </w:pPr>
      <w:r w:rsidRPr="00AC1F7D">
        <w:rPr>
          <w:noProof/>
          <w:sz w:val="24"/>
        </w:rPr>
        <w:t xml:space="preserve">Foster, S., &amp; Hopkins, J. (2011). ERP Simulation Game: Establishng Engagement, Collaboration And Learning. </w:t>
      </w:r>
      <w:r w:rsidRPr="00AC1F7D">
        <w:rPr>
          <w:i/>
          <w:iCs/>
          <w:noProof/>
          <w:sz w:val="24"/>
        </w:rPr>
        <w:t>PACIS 2011 Proceedings</w:t>
      </w:r>
      <w:r w:rsidRPr="00AC1F7D">
        <w:rPr>
          <w:noProof/>
          <w:sz w:val="24"/>
        </w:rPr>
        <w:t>. Retrieved from http://www.pacis-net.org/file/2011/PACIS2011-052.pdf</w:t>
      </w:r>
    </w:p>
    <w:p w14:paraId="4628A69B" w14:textId="77777777" w:rsidR="00AC1F7D" w:rsidRPr="00AC1F7D" w:rsidRDefault="00AC1F7D">
      <w:pPr>
        <w:pStyle w:val="NormalWeb"/>
        <w:ind w:left="480" w:hanging="480"/>
        <w:divId w:val="1663384982"/>
        <w:rPr>
          <w:noProof/>
          <w:sz w:val="24"/>
        </w:rPr>
      </w:pPr>
      <w:r w:rsidRPr="00AC1F7D">
        <w:rPr>
          <w:noProof/>
          <w:sz w:val="24"/>
        </w:rPr>
        <w:t xml:space="preserve">Garcia, S. M., &amp; Tor, A. (2009). The N-Effect: More Competitiors, Less Competition. </w:t>
      </w:r>
      <w:r w:rsidRPr="00AC1F7D">
        <w:rPr>
          <w:i/>
          <w:iCs/>
          <w:noProof/>
          <w:sz w:val="24"/>
        </w:rPr>
        <w:t>Psychological Science</w:t>
      </w:r>
      <w:r w:rsidRPr="00AC1F7D">
        <w:rPr>
          <w:noProof/>
          <w:sz w:val="24"/>
        </w:rPr>
        <w:t xml:space="preserve">, </w:t>
      </w:r>
      <w:r w:rsidRPr="00AC1F7D">
        <w:rPr>
          <w:i/>
          <w:iCs/>
          <w:noProof/>
          <w:sz w:val="24"/>
        </w:rPr>
        <w:t>20</w:t>
      </w:r>
      <w:r w:rsidRPr="00AC1F7D">
        <w:rPr>
          <w:noProof/>
          <w:sz w:val="24"/>
        </w:rPr>
        <w:t>(7), 871–877. Retrieved from http://onlinelibrary.wiley.com/doi/10.1111/j.1467-9280.2009.02385.x/full</w:t>
      </w:r>
    </w:p>
    <w:p w14:paraId="208C6226" w14:textId="77777777" w:rsidR="00AC1F7D" w:rsidRPr="00AC1F7D" w:rsidRDefault="00AC1F7D">
      <w:pPr>
        <w:pStyle w:val="NormalWeb"/>
        <w:ind w:left="480" w:hanging="480"/>
        <w:divId w:val="1663384982"/>
        <w:rPr>
          <w:noProof/>
          <w:sz w:val="24"/>
        </w:rPr>
      </w:pPr>
      <w:r w:rsidRPr="00AC1F7D">
        <w:rPr>
          <w:noProof/>
          <w:sz w:val="24"/>
        </w:rPr>
        <w:t xml:space="preserve">Gee, J. P. (2003). What video games have to teach us about learning and literacy. </w:t>
      </w:r>
      <w:r w:rsidRPr="00AC1F7D">
        <w:rPr>
          <w:i/>
          <w:iCs/>
          <w:noProof/>
          <w:sz w:val="24"/>
        </w:rPr>
        <w:t>Computers in Entertainment</w:t>
      </w:r>
      <w:r w:rsidRPr="00AC1F7D">
        <w:rPr>
          <w:noProof/>
          <w:sz w:val="24"/>
        </w:rPr>
        <w:t xml:space="preserve">, </w:t>
      </w:r>
      <w:r w:rsidRPr="00AC1F7D">
        <w:rPr>
          <w:i/>
          <w:iCs/>
          <w:noProof/>
          <w:sz w:val="24"/>
        </w:rPr>
        <w:t>1</w:t>
      </w:r>
      <w:r w:rsidRPr="00AC1F7D">
        <w:rPr>
          <w:noProof/>
          <w:sz w:val="24"/>
        </w:rPr>
        <w:t>(1), 20. doi:10.1145/950566.950595</w:t>
      </w:r>
    </w:p>
    <w:p w14:paraId="449E1D7A" w14:textId="77777777" w:rsidR="00AC1F7D" w:rsidRPr="00AC1F7D" w:rsidRDefault="00AC1F7D">
      <w:pPr>
        <w:pStyle w:val="NormalWeb"/>
        <w:ind w:left="480" w:hanging="480"/>
        <w:divId w:val="1663384982"/>
        <w:rPr>
          <w:noProof/>
          <w:sz w:val="24"/>
        </w:rPr>
      </w:pPr>
      <w:r w:rsidRPr="00AC1F7D">
        <w:rPr>
          <w:noProof/>
          <w:sz w:val="24"/>
        </w:rPr>
        <w:t xml:space="preserve">Gefen, D., &amp; Straub, D. (2005). A practical guide to factorial validity using PLS-Graph: Tutorial and annotated example. </w:t>
      </w:r>
      <w:r w:rsidRPr="00AC1F7D">
        <w:rPr>
          <w:i/>
          <w:iCs/>
          <w:noProof/>
          <w:sz w:val="24"/>
        </w:rPr>
        <w:t>Communications of the Association for Information Systems</w:t>
      </w:r>
      <w:r w:rsidRPr="00AC1F7D">
        <w:rPr>
          <w:noProof/>
          <w:sz w:val="24"/>
        </w:rPr>
        <w:t xml:space="preserve">, </w:t>
      </w:r>
      <w:r w:rsidRPr="00AC1F7D">
        <w:rPr>
          <w:i/>
          <w:iCs/>
          <w:noProof/>
          <w:sz w:val="24"/>
        </w:rPr>
        <w:t>16</w:t>
      </w:r>
      <w:r w:rsidRPr="00AC1F7D">
        <w:rPr>
          <w:noProof/>
          <w:sz w:val="24"/>
        </w:rPr>
        <w:t>(1), 5.</w:t>
      </w:r>
    </w:p>
    <w:p w14:paraId="00DDAAB7" w14:textId="77777777" w:rsidR="00AC1F7D" w:rsidRPr="00AC1F7D" w:rsidRDefault="00AC1F7D">
      <w:pPr>
        <w:pStyle w:val="NormalWeb"/>
        <w:ind w:left="480" w:hanging="480"/>
        <w:divId w:val="1663384982"/>
        <w:rPr>
          <w:noProof/>
          <w:sz w:val="24"/>
        </w:rPr>
      </w:pPr>
      <w:r w:rsidRPr="00AC1F7D">
        <w:rPr>
          <w:noProof/>
          <w:sz w:val="24"/>
        </w:rPr>
        <w:t xml:space="preserve">Gefen, D., &amp; Straub, D. W. (2003). Managing User Trust in B2C e-Services. </w:t>
      </w:r>
      <w:r w:rsidRPr="00AC1F7D">
        <w:rPr>
          <w:i/>
          <w:iCs/>
          <w:noProof/>
          <w:sz w:val="24"/>
        </w:rPr>
        <w:t>E-Service Journal</w:t>
      </w:r>
      <w:r w:rsidRPr="00AC1F7D">
        <w:rPr>
          <w:noProof/>
          <w:sz w:val="24"/>
        </w:rPr>
        <w:t xml:space="preserve">, </w:t>
      </w:r>
      <w:r w:rsidRPr="00AC1F7D">
        <w:rPr>
          <w:i/>
          <w:iCs/>
          <w:noProof/>
          <w:sz w:val="24"/>
        </w:rPr>
        <w:t>2</w:t>
      </w:r>
      <w:r w:rsidRPr="00AC1F7D">
        <w:rPr>
          <w:noProof/>
          <w:sz w:val="24"/>
        </w:rPr>
        <w:t>(2), 7–24. doi:10.1353/esj.2003.0011</w:t>
      </w:r>
    </w:p>
    <w:p w14:paraId="52EAD657" w14:textId="77777777" w:rsidR="00AC1F7D" w:rsidRPr="00AC1F7D" w:rsidRDefault="00AC1F7D">
      <w:pPr>
        <w:pStyle w:val="NormalWeb"/>
        <w:ind w:left="480" w:hanging="480"/>
        <w:divId w:val="1663384982"/>
        <w:rPr>
          <w:noProof/>
          <w:sz w:val="24"/>
        </w:rPr>
      </w:pPr>
      <w:r w:rsidRPr="00AC1F7D">
        <w:rPr>
          <w:noProof/>
          <w:sz w:val="24"/>
        </w:rPr>
        <w:lastRenderedPageBreak/>
        <w:t xml:space="preserve">Gefen, D., Straub, D. W., &amp; Boudreau, M. C. (2000). Structural equation modeling and regression: Guidelines for research practice. </w:t>
      </w:r>
      <w:r w:rsidRPr="00AC1F7D">
        <w:rPr>
          <w:i/>
          <w:iCs/>
          <w:noProof/>
          <w:sz w:val="24"/>
        </w:rPr>
        <w:t>Communications of the Association for Information Systems</w:t>
      </w:r>
      <w:r w:rsidRPr="00AC1F7D">
        <w:rPr>
          <w:noProof/>
          <w:sz w:val="24"/>
        </w:rPr>
        <w:t xml:space="preserve">, </w:t>
      </w:r>
      <w:r w:rsidRPr="00AC1F7D">
        <w:rPr>
          <w:i/>
          <w:iCs/>
          <w:noProof/>
          <w:sz w:val="24"/>
        </w:rPr>
        <w:t>4</w:t>
      </w:r>
      <w:r w:rsidRPr="00AC1F7D">
        <w:rPr>
          <w:noProof/>
          <w:sz w:val="24"/>
        </w:rPr>
        <w:t>(1), 7.</w:t>
      </w:r>
    </w:p>
    <w:p w14:paraId="162DB9BA" w14:textId="77777777" w:rsidR="00AC1F7D" w:rsidRPr="00AC1F7D" w:rsidRDefault="00AC1F7D">
      <w:pPr>
        <w:pStyle w:val="NormalWeb"/>
        <w:ind w:left="480" w:hanging="480"/>
        <w:divId w:val="1663384982"/>
        <w:rPr>
          <w:noProof/>
          <w:sz w:val="24"/>
        </w:rPr>
      </w:pPr>
      <w:r w:rsidRPr="00AC1F7D">
        <w:rPr>
          <w:noProof/>
          <w:sz w:val="24"/>
        </w:rPr>
        <w:t xml:space="preserve">Ghani, J. A., &amp; Deshpande, S. P. (1994). Task Characteristics and the Experience of Optimal Flow in Human—Computer Interaction. </w:t>
      </w:r>
      <w:r w:rsidRPr="00AC1F7D">
        <w:rPr>
          <w:i/>
          <w:iCs/>
          <w:noProof/>
          <w:sz w:val="24"/>
        </w:rPr>
        <w:t>The Journal of Psychology</w:t>
      </w:r>
      <w:r w:rsidRPr="00AC1F7D">
        <w:rPr>
          <w:noProof/>
          <w:sz w:val="24"/>
        </w:rPr>
        <w:t xml:space="preserve">, </w:t>
      </w:r>
      <w:r w:rsidRPr="00AC1F7D">
        <w:rPr>
          <w:i/>
          <w:iCs/>
          <w:noProof/>
          <w:sz w:val="24"/>
        </w:rPr>
        <w:t>128</w:t>
      </w:r>
      <w:r w:rsidRPr="00AC1F7D">
        <w:rPr>
          <w:noProof/>
          <w:sz w:val="24"/>
        </w:rPr>
        <w:t>(4), 381–391. Retrieved from http://www.tandfonline.com/doi/abs/10.1080/00223980.1994.9712742</w:t>
      </w:r>
    </w:p>
    <w:p w14:paraId="733AC5A5" w14:textId="77777777" w:rsidR="00AC1F7D" w:rsidRPr="00AC1F7D" w:rsidRDefault="00AC1F7D">
      <w:pPr>
        <w:pStyle w:val="NormalWeb"/>
        <w:ind w:left="480" w:hanging="480"/>
        <w:divId w:val="1663384982"/>
        <w:rPr>
          <w:noProof/>
          <w:sz w:val="24"/>
        </w:rPr>
      </w:pPr>
      <w:r w:rsidRPr="00AC1F7D">
        <w:rPr>
          <w:noProof/>
          <w:sz w:val="24"/>
        </w:rPr>
        <w:t xml:space="preserve">Graziano, W. G., Feldesman, A. B., &amp; Rahe, D. F. (1985). Extraversion, social cognition, and the salience of aversiveness in social encounters. </w:t>
      </w:r>
      <w:r w:rsidRPr="00AC1F7D">
        <w:rPr>
          <w:i/>
          <w:iCs/>
          <w:noProof/>
          <w:sz w:val="24"/>
        </w:rPr>
        <w:t>Journal of Personality and Social Psychology</w:t>
      </w:r>
      <w:r w:rsidRPr="00AC1F7D">
        <w:rPr>
          <w:noProof/>
          <w:sz w:val="24"/>
        </w:rPr>
        <w:t xml:space="preserve">, </w:t>
      </w:r>
      <w:r w:rsidRPr="00AC1F7D">
        <w:rPr>
          <w:i/>
          <w:iCs/>
          <w:noProof/>
          <w:sz w:val="24"/>
        </w:rPr>
        <w:t>49</w:t>
      </w:r>
      <w:r w:rsidRPr="00AC1F7D">
        <w:rPr>
          <w:noProof/>
          <w:sz w:val="24"/>
        </w:rPr>
        <w:t>(4), 971–980. doi:10.1037//0022-3514.49.4.971</w:t>
      </w:r>
    </w:p>
    <w:p w14:paraId="30BD4A2C" w14:textId="77777777" w:rsidR="00AC1F7D" w:rsidRPr="00AC1F7D" w:rsidRDefault="00AC1F7D">
      <w:pPr>
        <w:pStyle w:val="NormalWeb"/>
        <w:ind w:left="480" w:hanging="480"/>
        <w:divId w:val="1663384982"/>
        <w:rPr>
          <w:noProof/>
          <w:sz w:val="24"/>
        </w:rPr>
      </w:pPr>
      <w:r w:rsidRPr="00AC1F7D">
        <w:rPr>
          <w:noProof/>
          <w:sz w:val="24"/>
        </w:rPr>
        <w:t xml:space="preserve">Graziano, W. G., Hair, E. C., &amp; Finch, J. F. (1997). Competitiveness Mediates the Link Between Personality and Group Performance. </w:t>
      </w:r>
      <w:r w:rsidRPr="00AC1F7D">
        <w:rPr>
          <w:i/>
          <w:iCs/>
          <w:noProof/>
          <w:sz w:val="24"/>
        </w:rPr>
        <w:t>Journal of Personality and Social Psychology</w:t>
      </w:r>
      <w:r w:rsidRPr="00AC1F7D">
        <w:rPr>
          <w:noProof/>
          <w:sz w:val="24"/>
        </w:rPr>
        <w:t xml:space="preserve">, </w:t>
      </w:r>
      <w:r w:rsidRPr="00AC1F7D">
        <w:rPr>
          <w:i/>
          <w:iCs/>
          <w:noProof/>
          <w:sz w:val="24"/>
        </w:rPr>
        <w:t>73</w:t>
      </w:r>
      <w:r w:rsidRPr="00AC1F7D">
        <w:rPr>
          <w:noProof/>
          <w:sz w:val="24"/>
        </w:rPr>
        <w:t>(6), 1394–1408. Retrieved from http://www.ncbi.nlm.nih.gov/pubmed/9418284</w:t>
      </w:r>
    </w:p>
    <w:p w14:paraId="68D33DF1" w14:textId="77777777" w:rsidR="00AC1F7D" w:rsidRPr="00AC1F7D" w:rsidRDefault="00AC1F7D">
      <w:pPr>
        <w:pStyle w:val="NormalWeb"/>
        <w:ind w:left="480" w:hanging="480"/>
        <w:divId w:val="1663384982"/>
        <w:rPr>
          <w:noProof/>
          <w:sz w:val="24"/>
        </w:rPr>
      </w:pPr>
      <w:r w:rsidRPr="00AC1F7D">
        <w:rPr>
          <w:noProof/>
          <w:sz w:val="24"/>
        </w:rPr>
        <w:t xml:space="preserve">Griffiths, M. (2010). Online video gaming: what should educational psychologists know? </w:t>
      </w:r>
      <w:r w:rsidRPr="00AC1F7D">
        <w:rPr>
          <w:i/>
          <w:iCs/>
          <w:noProof/>
          <w:sz w:val="24"/>
        </w:rPr>
        <w:t>Educational Psychology in Practice</w:t>
      </w:r>
      <w:r w:rsidRPr="00AC1F7D">
        <w:rPr>
          <w:noProof/>
          <w:sz w:val="24"/>
        </w:rPr>
        <w:t xml:space="preserve">, </w:t>
      </w:r>
      <w:r w:rsidRPr="00AC1F7D">
        <w:rPr>
          <w:i/>
          <w:iCs/>
          <w:noProof/>
          <w:sz w:val="24"/>
        </w:rPr>
        <w:t>26</w:t>
      </w:r>
      <w:r w:rsidRPr="00AC1F7D">
        <w:rPr>
          <w:noProof/>
          <w:sz w:val="24"/>
        </w:rPr>
        <w:t>(1), 35–40. doi:10.1080/02667360903522769</w:t>
      </w:r>
    </w:p>
    <w:p w14:paraId="0AFC3D17" w14:textId="77777777" w:rsidR="00AC1F7D" w:rsidRPr="00AC1F7D" w:rsidRDefault="00AC1F7D">
      <w:pPr>
        <w:pStyle w:val="NormalWeb"/>
        <w:ind w:left="480" w:hanging="480"/>
        <w:divId w:val="1663384982"/>
        <w:rPr>
          <w:noProof/>
          <w:sz w:val="24"/>
        </w:rPr>
      </w:pPr>
      <w:r w:rsidRPr="00AC1F7D">
        <w:rPr>
          <w:noProof/>
          <w:sz w:val="24"/>
        </w:rPr>
        <w:t xml:space="preserve">Grüsser, S. M., Thalemann, R., &amp; Griffiths, M. D. (2007). Excessive computer game playing: evidence for addiction and aggression? </w:t>
      </w:r>
      <w:r w:rsidRPr="00AC1F7D">
        <w:rPr>
          <w:i/>
          <w:iCs/>
          <w:noProof/>
          <w:sz w:val="24"/>
        </w:rPr>
        <w:t>Cyberpsychology &amp; Behavior</w:t>
      </w:r>
      <w:r w:rsidRPr="00AC1F7D">
        <w:rPr>
          <w:rFonts w:ascii="Times New Roman" w:hAnsi="Times New Roman"/>
          <w:i/>
          <w:iCs/>
          <w:noProof/>
          <w:sz w:val="24"/>
        </w:rPr>
        <w:t> </w:t>
      </w:r>
      <w:r w:rsidRPr="00AC1F7D">
        <w:rPr>
          <w:i/>
          <w:iCs/>
          <w:noProof/>
          <w:sz w:val="24"/>
        </w:rPr>
        <w:t>: The Impact of the Internet, Multimedia and Virtual Reality on Behavior and Society</w:t>
      </w:r>
      <w:r w:rsidRPr="00AC1F7D">
        <w:rPr>
          <w:noProof/>
          <w:sz w:val="24"/>
        </w:rPr>
        <w:t xml:space="preserve">, </w:t>
      </w:r>
      <w:r w:rsidRPr="00AC1F7D">
        <w:rPr>
          <w:i/>
          <w:iCs/>
          <w:noProof/>
          <w:sz w:val="24"/>
        </w:rPr>
        <w:t>10</w:t>
      </w:r>
      <w:r w:rsidRPr="00AC1F7D">
        <w:rPr>
          <w:noProof/>
          <w:sz w:val="24"/>
        </w:rPr>
        <w:t>(2), 290–2. doi:10.1089/cpb.2006.9956</w:t>
      </w:r>
    </w:p>
    <w:p w14:paraId="09C05C79" w14:textId="77777777" w:rsidR="00AC1F7D" w:rsidRPr="00AC1F7D" w:rsidRDefault="00AC1F7D">
      <w:pPr>
        <w:pStyle w:val="NormalWeb"/>
        <w:ind w:left="480" w:hanging="480"/>
        <w:divId w:val="1663384982"/>
        <w:rPr>
          <w:noProof/>
          <w:sz w:val="24"/>
        </w:rPr>
      </w:pPr>
      <w:r w:rsidRPr="00AC1F7D">
        <w:rPr>
          <w:noProof/>
          <w:sz w:val="24"/>
        </w:rPr>
        <w:t xml:space="preserve">Hair, J. F., Black, W. C., Babin, B. J., &amp; Anderson, R. E. (2009). </w:t>
      </w:r>
      <w:r w:rsidRPr="00AC1F7D">
        <w:rPr>
          <w:i/>
          <w:iCs/>
          <w:noProof/>
          <w:sz w:val="24"/>
        </w:rPr>
        <w:t>Multivariate data analysis</w:t>
      </w:r>
      <w:r w:rsidRPr="00AC1F7D">
        <w:rPr>
          <w:noProof/>
          <w:sz w:val="24"/>
        </w:rPr>
        <w:t>.</w:t>
      </w:r>
    </w:p>
    <w:p w14:paraId="33A83B84" w14:textId="77777777" w:rsidR="00AC1F7D" w:rsidRPr="00AC1F7D" w:rsidRDefault="00AC1F7D">
      <w:pPr>
        <w:pStyle w:val="NormalWeb"/>
        <w:ind w:left="480" w:hanging="480"/>
        <w:divId w:val="1663384982"/>
        <w:rPr>
          <w:noProof/>
          <w:sz w:val="24"/>
        </w:rPr>
      </w:pPr>
      <w:r w:rsidRPr="00AC1F7D">
        <w:rPr>
          <w:noProof/>
          <w:sz w:val="24"/>
        </w:rPr>
        <w:t xml:space="preserve">Hassanein, K., &amp; Head, M. (2007). Manipulating perceived social presence through the web interface and its impact on attitude towards online shopping. </w:t>
      </w:r>
      <w:r w:rsidRPr="00AC1F7D">
        <w:rPr>
          <w:i/>
          <w:iCs/>
          <w:noProof/>
          <w:sz w:val="24"/>
        </w:rPr>
        <w:t>International Journal of Human-Computer Studies</w:t>
      </w:r>
      <w:r w:rsidRPr="00AC1F7D">
        <w:rPr>
          <w:noProof/>
          <w:sz w:val="24"/>
        </w:rPr>
        <w:t xml:space="preserve">, </w:t>
      </w:r>
      <w:r w:rsidRPr="00AC1F7D">
        <w:rPr>
          <w:i/>
          <w:iCs/>
          <w:noProof/>
          <w:sz w:val="24"/>
        </w:rPr>
        <w:t>65</w:t>
      </w:r>
      <w:r w:rsidRPr="00AC1F7D">
        <w:rPr>
          <w:noProof/>
          <w:sz w:val="24"/>
        </w:rPr>
        <w:t>(8), 689–708. doi:10.1016/j.ijhcs.2006.11.018</w:t>
      </w:r>
    </w:p>
    <w:p w14:paraId="57FFFB36" w14:textId="77777777" w:rsidR="00AC1F7D" w:rsidRPr="00AC1F7D" w:rsidRDefault="00AC1F7D">
      <w:pPr>
        <w:pStyle w:val="NormalWeb"/>
        <w:ind w:left="480" w:hanging="480"/>
        <w:divId w:val="1663384982"/>
        <w:rPr>
          <w:noProof/>
          <w:sz w:val="24"/>
        </w:rPr>
      </w:pPr>
      <w:r w:rsidRPr="00AC1F7D">
        <w:rPr>
          <w:noProof/>
          <w:sz w:val="24"/>
        </w:rPr>
        <w:t xml:space="preserve">Hernon, P., &amp; Whitman, J. R. (2001). </w:t>
      </w:r>
      <w:r w:rsidRPr="00AC1F7D">
        <w:rPr>
          <w:i/>
          <w:iCs/>
          <w:noProof/>
          <w:sz w:val="24"/>
        </w:rPr>
        <w:t>Delivering satisfaction and service quality: A customer-based approach for libraries</w:t>
      </w:r>
      <w:r w:rsidRPr="00AC1F7D">
        <w:rPr>
          <w:noProof/>
          <w:sz w:val="24"/>
        </w:rPr>
        <w:t>. American Library Association.</w:t>
      </w:r>
    </w:p>
    <w:p w14:paraId="125532AB" w14:textId="77777777" w:rsidR="00AC1F7D" w:rsidRPr="00AC1F7D" w:rsidRDefault="00AC1F7D">
      <w:pPr>
        <w:pStyle w:val="NormalWeb"/>
        <w:ind w:left="480" w:hanging="480"/>
        <w:divId w:val="1663384982"/>
        <w:rPr>
          <w:noProof/>
          <w:sz w:val="24"/>
        </w:rPr>
      </w:pPr>
      <w:r w:rsidRPr="00AC1F7D">
        <w:rPr>
          <w:noProof/>
          <w:sz w:val="24"/>
        </w:rPr>
        <w:t xml:space="preserve">Hodgins, H. S., Liebeskind, E., &amp; Schwartz, W. (1996). Getting out of hot water: Facework in social predicaments. </w:t>
      </w:r>
      <w:r w:rsidRPr="00AC1F7D">
        <w:rPr>
          <w:i/>
          <w:iCs/>
          <w:noProof/>
          <w:sz w:val="24"/>
        </w:rPr>
        <w:t>Journal of Personality and Social Psychology</w:t>
      </w:r>
      <w:r w:rsidRPr="00AC1F7D">
        <w:rPr>
          <w:noProof/>
          <w:sz w:val="24"/>
        </w:rPr>
        <w:t xml:space="preserve">, </w:t>
      </w:r>
      <w:r w:rsidRPr="00AC1F7D">
        <w:rPr>
          <w:i/>
          <w:iCs/>
          <w:noProof/>
          <w:sz w:val="24"/>
        </w:rPr>
        <w:t>71</w:t>
      </w:r>
      <w:r w:rsidRPr="00AC1F7D">
        <w:rPr>
          <w:noProof/>
          <w:sz w:val="24"/>
        </w:rPr>
        <w:t>(2), 300–314. doi:10.1037//0022-3514.71.2.300</w:t>
      </w:r>
    </w:p>
    <w:p w14:paraId="69857ABF" w14:textId="77777777" w:rsidR="00AC1F7D" w:rsidRPr="00AC1F7D" w:rsidRDefault="00AC1F7D">
      <w:pPr>
        <w:pStyle w:val="NormalWeb"/>
        <w:ind w:left="480" w:hanging="480"/>
        <w:divId w:val="1663384982"/>
        <w:rPr>
          <w:noProof/>
          <w:sz w:val="24"/>
        </w:rPr>
      </w:pPr>
      <w:r w:rsidRPr="00AC1F7D">
        <w:rPr>
          <w:noProof/>
          <w:sz w:val="24"/>
        </w:rPr>
        <w:t xml:space="preserve">Hoffman, D. L., &amp; Novak, T. P. (1996). Marketing in Hypermedia Computer-Mediated Environments: Conceptual Foundations. </w:t>
      </w:r>
      <w:r w:rsidRPr="00AC1F7D">
        <w:rPr>
          <w:i/>
          <w:iCs/>
          <w:noProof/>
          <w:sz w:val="24"/>
        </w:rPr>
        <w:t>Journal of Marketing</w:t>
      </w:r>
      <w:r w:rsidRPr="00AC1F7D">
        <w:rPr>
          <w:noProof/>
          <w:sz w:val="24"/>
        </w:rPr>
        <w:t xml:space="preserve">, </w:t>
      </w:r>
      <w:r w:rsidRPr="00AC1F7D">
        <w:rPr>
          <w:i/>
          <w:iCs/>
          <w:noProof/>
          <w:sz w:val="24"/>
        </w:rPr>
        <w:t>60</w:t>
      </w:r>
      <w:r w:rsidRPr="00AC1F7D">
        <w:rPr>
          <w:noProof/>
          <w:sz w:val="24"/>
        </w:rPr>
        <w:t>(3), 50. doi:10.2307/1251841</w:t>
      </w:r>
    </w:p>
    <w:p w14:paraId="40C2ED2B" w14:textId="77777777" w:rsidR="00AC1F7D" w:rsidRPr="00AC1F7D" w:rsidRDefault="00AC1F7D">
      <w:pPr>
        <w:pStyle w:val="NormalWeb"/>
        <w:ind w:left="480" w:hanging="480"/>
        <w:divId w:val="1663384982"/>
        <w:rPr>
          <w:noProof/>
          <w:sz w:val="24"/>
        </w:rPr>
      </w:pPr>
      <w:r w:rsidRPr="00AC1F7D">
        <w:rPr>
          <w:noProof/>
          <w:sz w:val="24"/>
        </w:rPr>
        <w:t xml:space="preserve">Hoffman, D. L., &amp; Novak, T. P. (2009). Flow Online: Lessons Learned and Future Prospects. </w:t>
      </w:r>
      <w:r w:rsidRPr="00AC1F7D">
        <w:rPr>
          <w:i/>
          <w:iCs/>
          <w:noProof/>
          <w:sz w:val="24"/>
        </w:rPr>
        <w:t>Journal of Interactive Marketing</w:t>
      </w:r>
      <w:r w:rsidRPr="00AC1F7D">
        <w:rPr>
          <w:noProof/>
          <w:sz w:val="24"/>
        </w:rPr>
        <w:t xml:space="preserve">, </w:t>
      </w:r>
      <w:r w:rsidRPr="00AC1F7D">
        <w:rPr>
          <w:i/>
          <w:iCs/>
          <w:noProof/>
          <w:sz w:val="24"/>
        </w:rPr>
        <w:t>23</w:t>
      </w:r>
      <w:r w:rsidRPr="00AC1F7D">
        <w:rPr>
          <w:noProof/>
          <w:sz w:val="24"/>
        </w:rPr>
        <w:t>(1), 23–34. doi:10.1016/j.intmar.2008.10.003</w:t>
      </w:r>
    </w:p>
    <w:p w14:paraId="11116729" w14:textId="77777777" w:rsidR="00AC1F7D" w:rsidRPr="00AC1F7D" w:rsidRDefault="00AC1F7D">
      <w:pPr>
        <w:pStyle w:val="NormalWeb"/>
        <w:ind w:left="480" w:hanging="480"/>
        <w:divId w:val="1663384982"/>
        <w:rPr>
          <w:noProof/>
          <w:sz w:val="24"/>
        </w:rPr>
      </w:pPr>
      <w:r w:rsidRPr="00AC1F7D">
        <w:rPr>
          <w:noProof/>
          <w:sz w:val="24"/>
        </w:rPr>
        <w:lastRenderedPageBreak/>
        <w:t xml:space="preserve">Holsapple, C. W., &amp; Wu, J. (2007). User acceptance of virtual worlds: the Hedonic framework. </w:t>
      </w:r>
      <w:r w:rsidRPr="00AC1F7D">
        <w:rPr>
          <w:i/>
          <w:iCs/>
          <w:noProof/>
          <w:sz w:val="24"/>
        </w:rPr>
        <w:t>ACM SIGMIS Database</w:t>
      </w:r>
      <w:r w:rsidRPr="00AC1F7D">
        <w:rPr>
          <w:noProof/>
          <w:sz w:val="24"/>
        </w:rPr>
        <w:t xml:space="preserve">, </w:t>
      </w:r>
      <w:r w:rsidRPr="00AC1F7D">
        <w:rPr>
          <w:i/>
          <w:iCs/>
          <w:noProof/>
          <w:sz w:val="24"/>
        </w:rPr>
        <w:t>38</w:t>
      </w:r>
      <w:r w:rsidRPr="00AC1F7D">
        <w:rPr>
          <w:noProof/>
          <w:sz w:val="24"/>
        </w:rPr>
        <w:t>(4), 86–89. Retrieved from http://portal.acm.org/citation.cfm?id=1314250</w:t>
      </w:r>
    </w:p>
    <w:p w14:paraId="63AF4FE2" w14:textId="77777777" w:rsidR="00AC1F7D" w:rsidRPr="00AC1F7D" w:rsidRDefault="00AC1F7D">
      <w:pPr>
        <w:pStyle w:val="NormalWeb"/>
        <w:ind w:left="480" w:hanging="480"/>
        <w:divId w:val="1663384982"/>
        <w:rPr>
          <w:noProof/>
          <w:sz w:val="24"/>
        </w:rPr>
      </w:pPr>
      <w:r w:rsidRPr="00AC1F7D">
        <w:rPr>
          <w:noProof/>
          <w:sz w:val="24"/>
        </w:rPr>
        <w:t xml:space="preserve">Hsu, C.-L. (2010). Exploring the Player Flow Experience in E-Game Playing. </w:t>
      </w:r>
      <w:r w:rsidRPr="00AC1F7D">
        <w:rPr>
          <w:i/>
          <w:iCs/>
          <w:noProof/>
          <w:sz w:val="24"/>
        </w:rPr>
        <w:t>International Journal of Technology and Human Interaction</w:t>
      </w:r>
      <w:r w:rsidRPr="00AC1F7D">
        <w:rPr>
          <w:noProof/>
          <w:sz w:val="24"/>
        </w:rPr>
        <w:t xml:space="preserve">, </w:t>
      </w:r>
      <w:r w:rsidRPr="00AC1F7D">
        <w:rPr>
          <w:i/>
          <w:iCs/>
          <w:noProof/>
          <w:sz w:val="24"/>
        </w:rPr>
        <w:t>6</w:t>
      </w:r>
      <w:r w:rsidRPr="00AC1F7D">
        <w:rPr>
          <w:noProof/>
          <w:sz w:val="24"/>
        </w:rPr>
        <w:t>(2), 47–64. doi:10.4018/jthi.2010040104</w:t>
      </w:r>
    </w:p>
    <w:p w14:paraId="57986F96" w14:textId="77777777" w:rsidR="00AC1F7D" w:rsidRPr="00AC1F7D" w:rsidRDefault="00AC1F7D">
      <w:pPr>
        <w:pStyle w:val="NormalWeb"/>
        <w:ind w:left="480" w:hanging="480"/>
        <w:divId w:val="1663384982"/>
        <w:rPr>
          <w:noProof/>
          <w:sz w:val="24"/>
        </w:rPr>
      </w:pPr>
      <w:r w:rsidRPr="00AC1F7D">
        <w:rPr>
          <w:noProof/>
          <w:sz w:val="24"/>
        </w:rPr>
        <w:t xml:space="preserve">Hsu, C.-L., &amp; Lu, H.-P. (2004). Why do people play on-line games? An extended TAM with social influences and flow experience. </w:t>
      </w:r>
      <w:r w:rsidRPr="00AC1F7D">
        <w:rPr>
          <w:i/>
          <w:iCs/>
          <w:noProof/>
          <w:sz w:val="24"/>
        </w:rPr>
        <w:t>Information &amp; Management</w:t>
      </w:r>
      <w:r w:rsidRPr="00AC1F7D">
        <w:rPr>
          <w:noProof/>
          <w:sz w:val="24"/>
        </w:rPr>
        <w:t xml:space="preserve">, </w:t>
      </w:r>
      <w:r w:rsidRPr="00AC1F7D">
        <w:rPr>
          <w:i/>
          <w:iCs/>
          <w:noProof/>
          <w:sz w:val="24"/>
        </w:rPr>
        <w:t>41</w:t>
      </w:r>
      <w:r w:rsidRPr="00AC1F7D">
        <w:rPr>
          <w:noProof/>
          <w:sz w:val="24"/>
        </w:rPr>
        <w:t>(7), 853–868. doi:10.1016/j.im.2003.08.014</w:t>
      </w:r>
    </w:p>
    <w:p w14:paraId="0DFDA935" w14:textId="77777777" w:rsidR="00AC1F7D" w:rsidRPr="00AC1F7D" w:rsidRDefault="00AC1F7D">
      <w:pPr>
        <w:pStyle w:val="NormalWeb"/>
        <w:ind w:left="480" w:hanging="480"/>
        <w:divId w:val="1663384982"/>
        <w:rPr>
          <w:noProof/>
          <w:sz w:val="24"/>
        </w:rPr>
      </w:pPr>
      <w:r w:rsidRPr="00AC1F7D">
        <w:rPr>
          <w:noProof/>
          <w:sz w:val="24"/>
        </w:rPr>
        <w:t xml:space="preserve">Hsu, C.-L., Yu, C.-C., &amp; Wu, C.-C. (2014). Exploring the continuance intention of social networking websites: an empirical research. </w:t>
      </w:r>
      <w:r w:rsidRPr="00AC1F7D">
        <w:rPr>
          <w:i/>
          <w:iCs/>
          <w:noProof/>
          <w:sz w:val="24"/>
        </w:rPr>
        <w:t>Information Systems and E-Business Management</w:t>
      </w:r>
      <w:r w:rsidRPr="00AC1F7D">
        <w:rPr>
          <w:noProof/>
          <w:sz w:val="24"/>
        </w:rPr>
        <w:t xml:space="preserve">, </w:t>
      </w:r>
      <w:r w:rsidRPr="00AC1F7D">
        <w:rPr>
          <w:i/>
          <w:iCs/>
          <w:noProof/>
          <w:sz w:val="24"/>
        </w:rPr>
        <w:t>12</w:t>
      </w:r>
      <w:r w:rsidRPr="00AC1F7D">
        <w:rPr>
          <w:noProof/>
          <w:sz w:val="24"/>
        </w:rPr>
        <w:t>(2), 139–163. doi:10.1007/s10257-013-0214-3</w:t>
      </w:r>
    </w:p>
    <w:p w14:paraId="57511651" w14:textId="77777777" w:rsidR="00AC1F7D" w:rsidRPr="00AC1F7D" w:rsidRDefault="00AC1F7D">
      <w:pPr>
        <w:pStyle w:val="NormalWeb"/>
        <w:ind w:left="480" w:hanging="480"/>
        <w:divId w:val="1663384982"/>
        <w:rPr>
          <w:noProof/>
          <w:sz w:val="24"/>
        </w:rPr>
      </w:pPr>
      <w:r w:rsidRPr="00AC1F7D">
        <w:rPr>
          <w:noProof/>
          <w:sz w:val="24"/>
        </w:rPr>
        <w:t xml:space="preserve">Jang, H., Reeve, J., Ryan, R. M., &amp; Kim, A. (2009). Can self-determination theory explain what underlies the productive, satisfying learning experiences of collectivistically oriented Korean students? </w:t>
      </w:r>
      <w:r w:rsidRPr="00AC1F7D">
        <w:rPr>
          <w:i/>
          <w:iCs/>
          <w:noProof/>
          <w:sz w:val="24"/>
        </w:rPr>
        <w:t>Journal of Educational Psychology</w:t>
      </w:r>
      <w:r w:rsidRPr="00AC1F7D">
        <w:rPr>
          <w:noProof/>
          <w:sz w:val="24"/>
        </w:rPr>
        <w:t xml:space="preserve">, </w:t>
      </w:r>
      <w:r w:rsidRPr="00AC1F7D">
        <w:rPr>
          <w:i/>
          <w:iCs/>
          <w:noProof/>
          <w:sz w:val="24"/>
        </w:rPr>
        <w:t>101</w:t>
      </w:r>
      <w:r w:rsidRPr="00AC1F7D">
        <w:rPr>
          <w:noProof/>
          <w:sz w:val="24"/>
        </w:rPr>
        <w:t>(3), 644–661. doi:10.1037/a0014241</w:t>
      </w:r>
    </w:p>
    <w:p w14:paraId="5CD206E1" w14:textId="77777777" w:rsidR="00AC1F7D" w:rsidRPr="00AC1F7D" w:rsidRDefault="00AC1F7D">
      <w:pPr>
        <w:pStyle w:val="NormalWeb"/>
        <w:ind w:left="480" w:hanging="480"/>
        <w:divId w:val="1663384982"/>
        <w:rPr>
          <w:noProof/>
          <w:sz w:val="24"/>
        </w:rPr>
      </w:pPr>
      <w:r w:rsidRPr="00AC1F7D">
        <w:rPr>
          <w:noProof/>
          <w:sz w:val="24"/>
        </w:rPr>
        <w:t xml:space="preserve">Jennett, C., Cox, a, Cairns, P., Dhoparee, S., Epps, a, Tijs, T., &amp; Walton, a. (2008). Measuring and defining the experience of immersion in games. </w:t>
      </w:r>
      <w:r w:rsidRPr="00AC1F7D">
        <w:rPr>
          <w:i/>
          <w:iCs/>
          <w:noProof/>
          <w:sz w:val="24"/>
        </w:rPr>
        <w:t>International Journal of Human-Computer Studies</w:t>
      </w:r>
      <w:r w:rsidRPr="00AC1F7D">
        <w:rPr>
          <w:noProof/>
          <w:sz w:val="24"/>
        </w:rPr>
        <w:t xml:space="preserve">, </w:t>
      </w:r>
      <w:r w:rsidRPr="00AC1F7D">
        <w:rPr>
          <w:i/>
          <w:iCs/>
          <w:noProof/>
          <w:sz w:val="24"/>
        </w:rPr>
        <w:t>66</w:t>
      </w:r>
      <w:r w:rsidRPr="00AC1F7D">
        <w:rPr>
          <w:noProof/>
          <w:sz w:val="24"/>
        </w:rPr>
        <w:t>(9), 641–661. doi:10.1016/j.ijhcs.2008.04.004</w:t>
      </w:r>
    </w:p>
    <w:p w14:paraId="005EBD55" w14:textId="77777777" w:rsidR="00AC1F7D" w:rsidRPr="00AC1F7D" w:rsidRDefault="00AC1F7D">
      <w:pPr>
        <w:pStyle w:val="NormalWeb"/>
        <w:ind w:left="480" w:hanging="480"/>
        <w:divId w:val="1663384982"/>
        <w:rPr>
          <w:noProof/>
          <w:sz w:val="24"/>
        </w:rPr>
      </w:pPr>
      <w:r w:rsidRPr="00AC1F7D">
        <w:rPr>
          <w:noProof/>
          <w:sz w:val="24"/>
        </w:rPr>
        <w:t xml:space="preserve">Johnson, D., &amp; Johnson, R. T. (1991). </w:t>
      </w:r>
      <w:r w:rsidRPr="00AC1F7D">
        <w:rPr>
          <w:i/>
          <w:iCs/>
          <w:noProof/>
          <w:sz w:val="24"/>
        </w:rPr>
        <w:t>Learning together and alone: Cooperative, competitive, and individualistic learning .</w:t>
      </w:r>
      <w:r w:rsidRPr="00AC1F7D">
        <w:rPr>
          <w:noProof/>
          <w:sz w:val="24"/>
        </w:rPr>
        <w:t xml:space="preserve"> (3rd ed.). Prentice-Hall, Inc.</w:t>
      </w:r>
    </w:p>
    <w:p w14:paraId="4D922651" w14:textId="77777777" w:rsidR="00AC1F7D" w:rsidRPr="00AC1F7D" w:rsidRDefault="00AC1F7D">
      <w:pPr>
        <w:pStyle w:val="NormalWeb"/>
        <w:ind w:left="480" w:hanging="480"/>
        <w:divId w:val="1663384982"/>
        <w:rPr>
          <w:noProof/>
          <w:sz w:val="24"/>
        </w:rPr>
      </w:pPr>
      <w:r w:rsidRPr="00AC1F7D">
        <w:rPr>
          <w:noProof/>
          <w:sz w:val="24"/>
        </w:rPr>
        <w:t xml:space="preserve">Kang, Y. S., &amp; Lee, H. (2010). Understanding the role of an IT artifact in online service continuance: An extended perspective of user satisfaction. </w:t>
      </w:r>
      <w:r w:rsidRPr="00AC1F7D">
        <w:rPr>
          <w:i/>
          <w:iCs/>
          <w:noProof/>
          <w:sz w:val="24"/>
        </w:rPr>
        <w:t>Computers in Human Behavior</w:t>
      </w:r>
      <w:r w:rsidRPr="00AC1F7D">
        <w:rPr>
          <w:noProof/>
          <w:sz w:val="24"/>
        </w:rPr>
        <w:t xml:space="preserve">, </w:t>
      </w:r>
      <w:r w:rsidRPr="00AC1F7D">
        <w:rPr>
          <w:i/>
          <w:iCs/>
          <w:noProof/>
          <w:sz w:val="24"/>
        </w:rPr>
        <w:t>26</w:t>
      </w:r>
      <w:r w:rsidRPr="00AC1F7D">
        <w:rPr>
          <w:noProof/>
          <w:sz w:val="24"/>
        </w:rPr>
        <w:t>(3), 353–364. doi:10.1016/j.chb.2009.11.006</w:t>
      </w:r>
    </w:p>
    <w:p w14:paraId="7AD4D35B" w14:textId="77777777" w:rsidR="00AC1F7D" w:rsidRPr="00AC1F7D" w:rsidRDefault="00AC1F7D">
      <w:pPr>
        <w:pStyle w:val="NormalWeb"/>
        <w:ind w:left="480" w:hanging="480"/>
        <w:divId w:val="1663384982"/>
        <w:rPr>
          <w:noProof/>
          <w:sz w:val="24"/>
        </w:rPr>
      </w:pPr>
      <w:r w:rsidRPr="00AC1F7D">
        <w:rPr>
          <w:noProof/>
          <w:sz w:val="24"/>
        </w:rPr>
        <w:t xml:space="preserve">Kelle, S., Sigurðarson, S., Westera, W., &amp; Specht, M. (2010). Game-Based Life-Long Learning. In </w:t>
      </w:r>
      <w:r w:rsidRPr="00AC1F7D">
        <w:rPr>
          <w:i/>
          <w:iCs/>
          <w:noProof/>
          <w:sz w:val="24"/>
        </w:rPr>
        <w:t>E-Infrastructures and Technologies for Lifelong Learning: Next Generation Environments</w:t>
      </w:r>
      <w:r w:rsidRPr="00AC1F7D">
        <w:rPr>
          <w:noProof/>
          <w:sz w:val="24"/>
        </w:rPr>
        <w:t>. IGI Global. Retrieved from http://dspace.ou.nl/handle/1820/2430</w:t>
      </w:r>
    </w:p>
    <w:p w14:paraId="51BD41CB" w14:textId="77777777" w:rsidR="00AC1F7D" w:rsidRPr="00AC1F7D" w:rsidRDefault="00AC1F7D">
      <w:pPr>
        <w:pStyle w:val="NormalWeb"/>
        <w:ind w:left="480" w:hanging="480"/>
        <w:divId w:val="1663384982"/>
        <w:rPr>
          <w:noProof/>
          <w:sz w:val="24"/>
        </w:rPr>
      </w:pPr>
      <w:r w:rsidRPr="00AC1F7D">
        <w:rPr>
          <w:noProof/>
          <w:sz w:val="24"/>
        </w:rPr>
        <w:t xml:space="preserve">Kelley, H. H., &amp; Stahelski, A. J. (1970). Social interaction basis of cooperators’ and competitors' beliefs about others. </w:t>
      </w:r>
      <w:r w:rsidRPr="00AC1F7D">
        <w:rPr>
          <w:i/>
          <w:iCs/>
          <w:noProof/>
          <w:sz w:val="24"/>
        </w:rPr>
        <w:t>Journal of Personality and Social Psychology</w:t>
      </w:r>
      <w:r w:rsidRPr="00AC1F7D">
        <w:rPr>
          <w:noProof/>
          <w:sz w:val="24"/>
        </w:rPr>
        <w:t xml:space="preserve">, </w:t>
      </w:r>
      <w:r w:rsidRPr="00AC1F7D">
        <w:rPr>
          <w:i/>
          <w:iCs/>
          <w:noProof/>
          <w:sz w:val="24"/>
        </w:rPr>
        <w:t>16</w:t>
      </w:r>
      <w:r w:rsidRPr="00AC1F7D">
        <w:rPr>
          <w:noProof/>
          <w:sz w:val="24"/>
        </w:rPr>
        <w:t>(1), 66–91. doi:10.1037/h0029849</w:t>
      </w:r>
    </w:p>
    <w:p w14:paraId="6491ECC6" w14:textId="77777777" w:rsidR="00AC1F7D" w:rsidRPr="00AC1F7D" w:rsidRDefault="00AC1F7D">
      <w:pPr>
        <w:pStyle w:val="NormalWeb"/>
        <w:ind w:left="480" w:hanging="480"/>
        <w:divId w:val="1663384982"/>
        <w:rPr>
          <w:noProof/>
          <w:sz w:val="24"/>
        </w:rPr>
      </w:pPr>
      <w:r w:rsidRPr="00AC1F7D">
        <w:rPr>
          <w:noProof/>
          <w:sz w:val="24"/>
        </w:rPr>
        <w:t xml:space="preserve">Kim, J., Hong, S., Min, J., &amp; Lee, H. (2011). Antecedents of application service continuance: A synthesis of satisfaction and trust. </w:t>
      </w:r>
      <w:r w:rsidRPr="00AC1F7D">
        <w:rPr>
          <w:i/>
          <w:iCs/>
          <w:noProof/>
          <w:sz w:val="24"/>
        </w:rPr>
        <w:t>Expert Systems with Applications</w:t>
      </w:r>
      <w:r w:rsidRPr="00AC1F7D">
        <w:rPr>
          <w:noProof/>
          <w:sz w:val="24"/>
        </w:rPr>
        <w:t xml:space="preserve">, </w:t>
      </w:r>
      <w:r w:rsidRPr="00AC1F7D">
        <w:rPr>
          <w:i/>
          <w:iCs/>
          <w:noProof/>
          <w:sz w:val="24"/>
        </w:rPr>
        <w:t>38</w:t>
      </w:r>
      <w:r w:rsidRPr="00AC1F7D">
        <w:rPr>
          <w:noProof/>
          <w:sz w:val="24"/>
        </w:rPr>
        <w:t>(8), 9530–9542. doi:10.1016/j.eswa.2011.01.142</w:t>
      </w:r>
    </w:p>
    <w:p w14:paraId="4D355493" w14:textId="77777777" w:rsidR="00AC1F7D" w:rsidRPr="00AC1F7D" w:rsidRDefault="00AC1F7D">
      <w:pPr>
        <w:pStyle w:val="NormalWeb"/>
        <w:ind w:left="480" w:hanging="480"/>
        <w:divId w:val="1663384982"/>
        <w:rPr>
          <w:noProof/>
          <w:sz w:val="24"/>
        </w:rPr>
      </w:pPr>
      <w:r w:rsidRPr="00AC1F7D">
        <w:rPr>
          <w:noProof/>
          <w:sz w:val="24"/>
        </w:rPr>
        <w:t xml:space="preserve">King, D. L., &amp; Delfabbro, P. H. (2009). Motivational differences in problem video game play. </w:t>
      </w:r>
      <w:r w:rsidRPr="00AC1F7D">
        <w:rPr>
          <w:i/>
          <w:iCs/>
          <w:noProof/>
          <w:sz w:val="24"/>
        </w:rPr>
        <w:t>Journal of Cybertherapy and Rehabilitation</w:t>
      </w:r>
      <w:r w:rsidRPr="00AC1F7D">
        <w:rPr>
          <w:noProof/>
          <w:sz w:val="24"/>
        </w:rPr>
        <w:t xml:space="preserve">, </w:t>
      </w:r>
      <w:r w:rsidRPr="00AC1F7D">
        <w:rPr>
          <w:i/>
          <w:iCs/>
          <w:noProof/>
          <w:sz w:val="24"/>
        </w:rPr>
        <w:t>2</w:t>
      </w:r>
      <w:r w:rsidRPr="00AC1F7D">
        <w:rPr>
          <w:noProof/>
          <w:sz w:val="24"/>
        </w:rPr>
        <w:t>(2), 139–149. Retrieved from http://www.vrphobia.eu/downloads/full/JCR_2(2).pdf#page=49</w:t>
      </w:r>
    </w:p>
    <w:p w14:paraId="11FA73C8" w14:textId="77777777" w:rsidR="00AC1F7D" w:rsidRPr="00AC1F7D" w:rsidRDefault="00AC1F7D">
      <w:pPr>
        <w:pStyle w:val="NormalWeb"/>
        <w:ind w:left="480" w:hanging="480"/>
        <w:divId w:val="1663384982"/>
        <w:rPr>
          <w:noProof/>
          <w:sz w:val="24"/>
        </w:rPr>
      </w:pPr>
      <w:r w:rsidRPr="00AC1F7D">
        <w:rPr>
          <w:noProof/>
          <w:sz w:val="24"/>
        </w:rPr>
        <w:lastRenderedPageBreak/>
        <w:t xml:space="preserve">Kolb, D. A., &amp; others. (1984). </w:t>
      </w:r>
      <w:r w:rsidRPr="00AC1F7D">
        <w:rPr>
          <w:i/>
          <w:iCs/>
          <w:noProof/>
          <w:sz w:val="24"/>
        </w:rPr>
        <w:t>Experiential learning: Experience as the source of learning and development</w:t>
      </w:r>
      <w:r w:rsidRPr="00AC1F7D">
        <w:rPr>
          <w:noProof/>
          <w:sz w:val="24"/>
        </w:rPr>
        <w:t>. Prentice-Hall Englewood Cliffs, NJ.</w:t>
      </w:r>
    </w:p>
    <w:p w14:paraId="5038741B" w14:textId="77777777" w:rsidR="00AC1F7D" w:rsidRPr="00AC1F7D" w:rsidRDefault="00AC1F7D">
      <w:pPr>
        <w:pStyle w:val="NormalWeb"/>
        <w:ind w:left="480" w:hanging="480"/>
        <w:divId w:val="1663384982"/>
        <w:rPr>
          <w:noProof/>
          <w:sz w:val="24"/>
        </w:rPr>
      </w:pPr>
      <w:r w:rsidRPr="00AC1F7D">
        <w:rPr>
          <w:noProof/>
          <w:sz w:val="24"/>
        </w:rPr>
        <w:t xml:space="preserve">Koo, D.-M., &amp; Lee, J.-H. (2011). Inter-relationships among dominance, energetic and tense arousal, and pleasure, and differences in their impacts under online vs. offline environment. </w:t>
      </w:r>
      <w:r w:rsidRPr="00AC1F7D">
        <w:rPr>
          <w:i/>
          <w:iCs/>
          <w:noProof/>
          <w:sz w:val="24"/>
        </w:rPr>
        <w:t>Computers in Human Behavior</w:t>
      </w:r>
      <w:r w:rsidRPr="00AC1F7D">
        <w:rPr>
          <w:noProof/>
          <w:sz w:val="24"/>
        </w:rPr>
        <w:t xml:space="preserve">, </w:t>
      </w:r>
      <w:r w:rsidRPr="00AC1F7D">
        <w:rPr>
          <w:i/>
          <w:iCs/>
          <w:noProof/>
          <w:sz w:val="24"/>
        </w:rPr>
        <w:t>27</w:t>
      </w:r>
      <w:r w:rsidRPr="00AC1F7D">
        <w:rPr>
          <w:noProof/>
          <w:sz w:val="24"/>
        </w:rPr>
        <w:t>(5), 1740–1750. doi:10.1016/j.chb.2011.03.001</w:t>
      </w:r>
    </w:p>
    <w:p w14:paraId="20CB0F58" w14:textId="77777777" w:rsidR="00AC1F7D" w:rsidRPr="00AC1F7D" w:rsidRDefault="00AC1F7D">
      <w:pPr>
        <w:pStyle w:val="NormalWeb"/>
        <w:ind w:left="480" w:hanging="480"/>
        <w:divId w:val="1663384982"/>
        <w:rPr>
          <w:noProof/>
          <w:sz w:val="24"/>
        </w:rPr>
      </w:pPr>
      <w:r w:rsidRPr="00AC1F7D">
        <w:rPr>
          <w:noProof/>
          <w:sz w:val="24"/>
        </w:rPr>
        <w:t xml:space="preserve">Korzaan, M. L. (2003). Going with the flow: Predicting online purchase intentions. </w:t>
      </w:r>
      <w:r w:rsidRPr="00AC1F7D">
        <w:rPr>
          <w:i/>
          <w:iCs/>
          <w:noProof/>
          <w:sz w:val="24"/>
        </w:rPr>
        <w:t>Journal of Computer Information Systems</w:t>
      </w:r>
      <w:r w:rsidRPr="00AC1F7D">
        <w:rPr>
          <w:noProof/>
          <w:sz w:val="24"/>
        </w:rPr>
        <w:t xml:space="preserve">, </w:t>
      </w:r>
      <w:r w:rsidRPr="00AC1F7D">
        <w:rPr>
          <w:i/>
          <w:iCs/>
          <w:noProof/>
          <w:sz w:val="24"/>
        </w:rPr>
        <w:t>43</w:t>
      </w:r>
      <w:r w:rsidRPr="00AC1F7D">
        <w:rPr>
          <w:noProof/>
          <w:sz w:val="24"/>
        </w:rPr>
        <w:t>(4), 25–31. Retrieved from http://scholar.google.com/scholar?hl=en&amp;btnG=Search&amp;q=intitle:GOING+WITH+THE+FLOW+:+PREDICTING+ONLINE+PURCHASE+INTENTIONS#0</w:t>
      </w:r>
    </w:p>
    <w:p w14:paraId="29186D26" w14:textId="77777777" w:rsidR="00AC1F7D" w:rsidRPr="00AC1F7D" w:rsidRDefault="00AC1F7D">
      <w:pPr>
        <w:pStyle w:val="NormalWeb"/>
        <w:ind w:left="480" w:hanging="480"/>
        <w:divId w:val="1663384982"/>
        <w:rPr>
          <w:noProof/>
          <w:sz w:val="24"/>
        </w:rPr>
      </w:pPr>
      <w:r w:rsidRPr="00AC1F7D">
        <w:rPr>
          <w:noProof/>
          <w:sz w:val="24"/>
        </w:rPr>
        <w:t xml:space="preserve">Koufaris, M. (2002). Applying the Technology Acceptance Model and Flow Theory to Online Consumer Behavior. </w:t>
      </w:r>
      <w:r w:rsidRPr="00AC1F7D">
        <w:rPr>
          <w:i/>
          <w:iCs/>
          <w:noProof/>
          <w:sz w:val="24"/>
        </w:rPr>
        <w:t>Information Systems Research</w:t>
      </w:r>
      <w:r w:rsidRPr="00AC1F7D">
        <w:rPr>
          <w:noProof/>
          <w:sz w:val="24"/>
        </w:rPr>
        <w:t xml:space="preserve">, </w:t>
      </w:r>
      <w:r w:rsidRPr="00AC1F7D">
        <w:rPr>
          <w:i/>
          <w:iCs/>
          <w:noProof/>
          <w:sz w:val="24"/>
        </w:rPr>
        <w:t>13</w:t>
      </w:r>
      <w:r w:rsidRPr="00AC1F7D">
        <w:rPr>
          <w:noProof/>
          <w:sz w:val="24"/>
        </w:rPr>
        <w:t>(2), 205–223. doi:10.1287/isre.13.2.205.83</w:t>
      </w:r>
    </w:p>
    <w:p w14:paraId="29201DE7" w14:textId="77777777" w:rsidR="00AC1F7D" w:rsidRPr="00AC1F7D" w:rsidRDefault="00AC1F7D">
      <w:pPr>
        <w:pStyle w:val="NormalWeb"/>
        <w:ind w:left="480" w:hanging="480"/>
        <w:divId w:val="1663384982"/>
        <w:rPr>
          <w:noProof/>
          <w:sz w:val="24"/>
        </w:rPr>
      </w:pPr>
      <w:r w:rsidRPr="00AC1F7D">
        <w:rPr>
          <w:noProof/>
          <w:sz w:val="24"/>
        </w:rPr>
        <w:t xml:space="preserve">Léger, P. M. (2006). Using a simulation game approach to teach ERP concepts. </w:t>
      </w:r>
      <w:r w:rsidRPr="00AC1F7D">
        <w:rPr>
          <w:i/>
          <w:iCs/>
          <w:noProof/>
          <w:sz w:val="24"/>
        </w:rPr>
        <w:t>Journal of Information Systems Education</w:t>
      </w:r>
      <w:r w:rsidRPr="00AC1F7D">
        <w:rPr>
          <w:noProof/>
          <w:sz w:val="24"/>
        </w:rPr>
        <w:t xml:space="preserve">, </w:t>
      </w:r>
      <w:r w:rsidRPr="00AC1F7D">
        <w:rPr>
          <w:i/>
          <w:iCs/>
          <w:noProof/>
          <w:sz w:val="24"/>
        </w:rPr>
        <w:t>17</w:t>
      </w:r>
      <w:r w:rsidRPr="00AC1F7D">
        <w:rPr>
          <w:noProof/>
          <w:sz w:val="24"/>
        </w:rPr>
        <w:t>(4), 441–448.</w:t>
      </w:r>
    </w:p>
    <w:p w14:paraId="5027EB40" w14:textId="77777777" w:rsidR="00AC1F7D" w:rsidRPr="00AC1F7D" w:rsidRDefault="00AC1F7D">
      <w:pPr>
        <w:pStyle w:val="NormalWeb"/>
        <w:ind w:left="480" w:hanging="480"/>
        <w:divId w:val="1663384982"/>
        <w:rPr>
          <w:noProof/>
          <w:sz w:val="24"/>
        </w:rPr>
      </w:pPr>
      <w:r w:rsidRPr="00AC1F7D">
        <w:rPr>
          <w:noProof/>
          <w:sz w:val="24"/>
        </w:rPr>
        <w:t xml:space="preserve">Léger, P., Montréal, H. E. C., Davis, F. D., Perret, J., Dunaway, M. M., Walton, S. M., &amp; Ph, D. (2010). Psychophysiological Measures of Cognitive Absorption Psychophysiological Measures of Cognitive Absorption. </w:t>
      </w:r>
      <w:r w:rsidRPr="00AC1F7D">
        <w:rPr>
          <w:i/>
          <w:iCs/>
          <w:noProof/>
          <w:sz w:val="24"/>
        </w:rPr>
        <w:t>Human-Computer Interaction</w:t>
      </w:r>
      <w:r w:rsidRPr="00AC1F7D">
        <w:rPr>
          <w:noProof/>
          <w:sz w:val="24"/>
        </w:rPr>
        <w:t>.</w:t>
      </w:r>
    </w:p>
    <w:p w14:paraId="2678E944" w14:textId="77777777" w:rsidR="00AC1F7D" w:rsidRPr="00AC1F7D" w:rsidRDefault="00AC1F7D">
      <w:pPr>
        <w:pStyle w:val="NormalWeb"/>
        <w:ind w:left="480" w:hanging="480"/>
        <w:divId w:val="1663384982"/>
        <w:rPr>
          <w:noProof/>
          <w:sz w:val="24"/>
        </w:rPr>
      </w:pPr>
      <w:r w:rsidRPr="00AC1F7D">
        <w:rPr>
          <w:noProof/>
          <w:sz w:val="24"/>
        </w:rPr>
        <w:t xml:space="preserve">Liang, H., Saraf, N., Hu, Q., &amp; Xue, Y. (2007). Assimilation of enterprise systems: the effect of institutional pressures and the mediating role of top management. </w:t>
      </w:r>
      <w:r w:rsidRPr="00AC1F7D">
        <w:rPr>
          <w:i/>
          <w:iCs/>
          <w:noProof/>
          <w:sz w:val="24"/>
        </w:rPr>
        <w:t>MIS Quarterly</w:t>
      </w:r>
      <w:r w:rsidRPr="00AC1F7D">
        <w:rPr>
          <w:noProof/>
          <w:sz w:val="24"/>
        </w:rPr>
        <w:t xml:space="preserve">, </w:t>
      </w:r>
      <w:r w:rsidRPr="00AC1F7D">
        <w:rPr>
          <w:i/>
          <w:iCs/>
          <w:noProof/>
          <w:sz w:val="24"/>
        </w:rPr>
        <w:t>31</w:t>
      </w:r>
      <w:r w:rsidRPr="00AC1F7D">
        <w:rPr>
          <w:noProof/>
          <w:sz w:val="24"/>
        </w:rPr>
        <w:t>(1), 59–87. Retrieved from http://www.jstor.org/stable/25148781</w:t>
      </w:r>
    </w:p>
    <w:p w14:paraId="0799A894" w14:textId="77777777" w:rsidR="00AC1F7D" w:rsidRPr="00AC1F7D" w:rsidRDefault="00AC1F7D">
      <w:pPr>
        <w:pStyle w:val="NormalWeb"/>
        <w:ind w:left="480" w:hanging="480"/>
        <w:divId w:val="1663384982"/>
        <w:rPr>
          <w:noProof/>
          <w:sz w:val="24"/>
        </w:rPr>
      </w:pPr>
      <w:r w:rsidRPr="00AC1F7D">
        <w:rPr>
          <w:noProof/>
          <w:sz w:val="24"/>
        </w:rPr>
        <w:t>Lin, C., Lin, J., &amp; Wu, S. (2008). Exploring Consumers ’ Keyword Ads Search Behaviors</w:t>
      </w:r>
      <w:r w:rsidRPr="00AC1F7D">
        <w:rPr>
          <w:rFonts w:ascii="Times New Roman" w:hAnsi="Times New Roman"/>
          <w:noProof/>
          <w:sz w:val="24"/>
        </w:rPr>
        <w:t> </w:t>
      </w:r>
      <w:r w:rsidRPr="00AC1F7D">
        <w:rPr>
          <w:noProof/>
          <w:sz w:val="24"/>
        </w:rPr>
        <w:t xml:space="preserve">: An Integration of Theory of Planned Behavior and Flow Theory. </w:t>
      </w:r>
      <w:r w:rsidRPr="00AC1F7D">
        <w:rPr>
          <w:i/>
          <w:iCs/>
          <w:noProof/>
          <w:sz w:val="24"/>
        </w:rPr>
        <w:t>Information Systems</w:t>
      </w:r>
      <w:r w:rsidRPr="00AC1F7D">
        <w:rPr>
          <w:noProof/>
          <w:sz w:val="24"/>
        </w:rPr>
        <w:t>.</w:t>
      </w:r>
    </w:p>
    <w:p w14:paraId="2CE4E532" w14:textId="77777777" w:rsidR="00AC1F7D" w:rsidRPr="00AC1F7D" w:rsidRDefault="00AC1F7D">
      <w:pPr>
        <w:pStyle w:val="NormalWeb"/>
        <w:ind w:left="480" w:hanging="480"/>
        <w:divId w:val="1663384982"/>
        <w:rPr>
          <w:noProof/>
          <w:sz w:val="24"/>
        </w:rPr>
      </w:pPr>
      <w:r w:rsidRPr="00AC1F7D">
        <w:rPr>
          <w:noProof/>
          <w:sz w:val="24"/>
        </w:rPr>
        <w:t xml:space="preserve">Lin, C.-P., &amp; Bhattacherjee, A. (2010). Extending technology usage models to interactive hedonic technologies: a theoretical model and empirical test. </w:t>
      </w:r>
      <w:r w:rsidRPr="00AC1F7D">
        <w:rPr>
          <w:i/>
          <w:iCs/>
          <w:noProof/>
          <w:sz w:val="24"/>
        </w:rPr>
        <w:t>Information Systems Journal</w:t>
      </w:r>
      <w:r w:rsidRPr="00AC1F7D">
        <w:rPr>
          <w:noProof/>
          <w:sz w:val="24"/>
        </w:rPr>
        <w:t xml:space="preserve">, </w:t>
      </w:r>
      <w:r w:rsidRPr="00AC1F7D">
        <w:rPr>
          <w:i/>
          <w:iCs/>
          <w:noProof/>
          <w:sz w:val="24"/>
        </w:rPr>
        <w:t>20</w:t>
      </w:r>
      <w:r w:rsidRPr="00AC1F7D">
        <w:rPr>
          <w:noProof/>
          <w:sz w:val="24"/>
        </w:rPr>
        <w:t>(2), 163–181. doi:10.1111/j.1365-2575.2007.00265.x</w:t>
      </w:r>
    </w:p>
    <w:p w14:paraId="6439882D" w14:textId="77777777" w:rsidR="00AC1F7D" w:rsidRPr="00AC1F7D" w:rsidRDefault="00AC1F7D">
      <w:pPr>
        <w:pStyle w:val="NormalWeb"/>
        <w:ind w:left="480" w:hanging="480"/>
        <w:divId w:val="1663384982"/>
        <w:rPr>
          <w:noProof/>
          <w:sz w:val="24"/>
        </w:rPr>
      </w:pPr>
      <w:r w:rsidRPr="00AC1F7D">
        <w:rPr>
          <w:noProof/>
          <w:sz w:val="24"/>
        </w:rPr>
        <w:t xml:space="preserve">Liu, D., Li, X., &amp; Santhanam, R. (2013). Digital games and beyond: what happens when players compete. </w:t>
      </w:r>
      <w:r w:rsidRPr="00AC1F7D">
        <w:rPr>
          <w:i/>
          <w:iCs/>
          <w:noProof/>
          <w:sz w:val="24"/>
        </w:rPr>
        <w:t>MIS Quarterly</w:t>
      </w:r>
      <w:r w:rsidRPr="00AC1F7D">
        <w:rPr>
          <w:noProof/>
          <w:sz w:val="24"/>
        </w:rPr>
        <w:t>. Retrieved from http://aisel.aisnet.org/cgi/viewcontent.cgi?article=3086&amp;context=misq</w:t>
      </w:r>
    </w:p>
    <w:p w14:paraId="0E2A1E76" w14:textId="77777777" w:rsidR="00AC1F7D" w:rsidRPr="00AC1F7D" w:rsidRDefault="00AC1F7D">
      <w:pPr>
        <w:pStyle w:val="NormalWeb"/>
        <w:ind w:left="480" w:hanging="480"/>
        <w:divId w:val="1663384982"/>
        <w:rPr>
          <w:noProof/>
          <w:sz w:val="24"/>
        </w:rPr>
      </w:pPr>
      <w:r w:rsidRPr="00AC1F7D">
        <w:rPr>
          <w:noProof/>
          <w:sz w:val="24"/>
        </w:rPr>
        <w:t xml:space="preserve">Maciejovsky, B., &amp; Budescu, D. V. (2007). Collective induction without cooperation? Learning and knowledge transfer in cooperative groups and competitive auctions. </w:t>
      </w:r>
      <w:r w:rsidRPr="00AC1F7D">
        <w:rPr>
          <w:i/>
          <w:iCs/>
          <w:noProof/>
          <w:sz w:val="24"/>
        </w:rPr>
        <w:t>Journal of Personality and Social Psychology</w:t>
      </w:r>
      <w:r w:rsidRPr="00AC1F7D">
        <w:rPr>
          <w:noProof/>
          <w:sz w:val="24"/>
        </w:rPr>
        <w:t xml:space="preserve">, </w:t>
      </w:r>
      <w:r w:rsidRPr="00AC1F7D">
        <w:rPr>
          <w:i/>
          <w:iCs/>
          <w:noProof/>
          <w:sz w:val="24"/>
        </w:rPr>
        <w:t>92</w:t>
      </w:r>
      <w:r w:rsidRPr="00AC1F7D">
        <w:rPr>
          <w:noProof/>
          <w:sz w:val="24"/>
        </w:rPr>
        <w:t>(5), 854–70. doi:10.1037/0022-3514.92.5.854</w:t>
      </w:r>
    </w:p>
    <w:p w14:paraId="00DF4EDE" w14:textId="77777777" w:rsidR="00AC1F7D" w:rsidRPr="00AC1F7D" w:rsidRDefault="00AC1F7D">
      <w:pPr>
        <w:pStyle w:val="NormalWeb"/>
        <w:ind w:left="480" w:hanging="480"/>
        <w:divId w:val="1663384982"/>
        <w:rPr>
          <w:noProof/>
          <w:sz w:val="24"/>
        </w:rPr>
      </w:pPr>
      <w:r w:rsidRPr="00AC1F7D">
        <w:rPr>
          <w:noProof/>
          <w:sz w:val="24"/>
        </w:rPr>
        <w:t xml:space="preserve">Mackenzie, S. B., Podsakoff, P. M., &amp; Podsakoff, N. P. (2011). CONSTRUCT MEASUREMENT AND VALIDATION PROCEDURES IN MIS AND BEHAVIORAL RESEARCH. </w:t>
      </w:r>
      <w:r w:rsidRPr="00AC1F7D">
        <w:rPr>
          <w:i/>
          <w:iCs/>
          <w:noProof/>
          <w:sz w:val="24"/>
        </w:rPr>
        <w:t>MIS Quarterly</w:t>
      </w:r>
      <w:r w:rsidRPr="00AC1F7D">
        <w:rPr>
          <w:noProof/>
          <w:sz w:val="24"/>
        </w:rPr>
        <w:t xml:space="preserve">, </w:t>
      </w:r>
      <w:r w:rsidRPr="00AC1F7D">
        <w:rPr>
          <w:i/>
          <w:iCs/>
          <w:noProof/>
          <w:sz w:val="24"/>
        </w:rPr>
        <w:t>35</w:t>
      </w:r>
      <w:r w:rsidRPr="00AC1F7D">
        <w:rPr>
          <w:noProof/>
          <w:sz w:val="24"/>
        </w:rPr>
        <w:t>(2), 293–334.</w:t>
      </w:r>
    </w:p>
    <w:p w14:paraId="11E13E64" w14:textId="77777777" w:rsidR="00AC1F7D" w:rsidRPr="00AC1F7D" w:rsidRDefault="00AC1F7D">
      <w:pPr>
        <w:pStyle w:val="NormalWeb"/>
        <w:ind w:left="480" w:hanging="480"/>
        <w:divId w:val="1663384982"/>
        <w:rPr>
          <w:noProof/>
          <w:sz w:val="24"/>
        </w:rPr>
      </w:pPr>
      <w:r w:rsidRPr="00AC1F7D">
        <w:rPr>
          <w:noProof/>
          <w:sz w:val="24"/>
        </w:rPr>
        <w:lastRenderedPageBreak/>
        <w:t xml:space="preserve">Malone, T. W. (1981). Toward a theory of intrinsically motivating instruction. </w:t>
      </w:r>
      <w:r w:rsidRPr="00AC1F7D">
        <w:rPr>
          <w:i/>
          <w:iCs/>
          <w:noProof/>
          <w:sz w:val="24"/>
        </w:rPr>
        <w:t>Cognitive Science</w:t>
      </w:r>
      <w:r w:rsidRPr="00AC1F7D">
        <w:rPr>
          <w:noProof/>
          <w:sz w:val="24"/>
        </w:rPr>
        <w:t xml:space="preserve">, </w:t>
      </w:r>
      <w:r w:rsidRPr="00AC1F7D">
        <w:rPr>
          <w:i/>
          <w:iCs/>
          <w:noProof/>
          <w:sz w:val="24"/>
        </w:rPr>
        <w:t>5</w:t>
      </w:r>
      <w:r w:rsidRPr="00AC1F7D">
        <w:rPr>
          <w:noProof/>
          <w:sz w:val="24"/>
        </w:rPr>
        <w:t>(4), 333–369.</w:t>
      </w:r>
    </w:p>
    <w:p w14:paraId="09234E76" w14:textId="77777777" w:rsidR="00AC1F7D" w:rsidRPr="00AC1F7D" w:rsidRDefault="00AC1F7D">
      <w:pPr>
        <w:pStyle w:val="NormalWeb"/>
        <w:ind w:left="480" w:hanging="480"/>
        <w:divId w:val="1663384982"/>
        <w:rPr>
          <w:noProof/>
          <w:sz w:val="24"/>
        </w:rPr>
      </w:pPr>
      <w:r w:rsidRPr="00AC1F7D">
        <w:rPr>
          <w:noProof/>
          <w:sz w:val="24"/>
        </w:rPr>
        <w:t xml:space="preserve">Matthews, G., &amp; Davies, D. (2001). Individual differences in energetic arousal and sustained attention: a dual-task study. </w:t>
      </w:r>
      <w:r w:rsidRPr="00AC1F7D">
        <w:rPr>
          <w:i/>
          <w:iCs/>
          <w:noProof/>
          <w:sz w:val="24"/>
        </w:rPr>
        <w:t>Personality and Individual Differences</w:t>
      </w:r>
      <w:r w:rsidRPr="00AC1F7D">
        <w:rPr>
          <w:noProof/>
          <w:sz w:val="24"/>
        </w:rPr>
        <w:t xml:space="preserve">, </w:t>
      </w:r>
      <w:r w:rsidRPr="00AC1F7D">
        <w:rPr>
          <w:i/>
          <w:iCs/>
          <w:noProof/>
          <w:sz w:val="24"/>
        </w:rPr>
        <w:t>31</w:t>
      </w:r>
      <w:r w:rsidRPr="00AC1F7D">
        <w:rPr>
          <w:noProof/>
          <w:sz w:val="24"/>
        </w:rPr>
        <w:t>(4), 575–589. doi:10.1016/S0191-8869(00)00162-8</w:t>
      </w:r>
    </w:p>
    <w:p w14:paraId="2A85B276" w14:textId="77777777" w:rsidR="00AC1F7D" w:rsidRPr="00AC1F7D" w:rsidRDefault="00AC1F7D">
      <w:pPr>
        <w:pStyle w:val="NormalWeb"/>
        <w:ind w:left="480" w:hanging="480"/>
        <w:divId w:val="1663384982"/>
        <w:rPr>
          <w:noProof/>
          <w:sz w:val="24"/>
        </w:rPr>
      </w:pPr>
      <w:r w:rsidRPr="00AC1F7D">
        <w:rPr>
          <w:noProof/>
          <w:sz w:val="24"/>
        </w:rPr>
        <w:t xml:space="preserve">McAuley, E., &amp; Tammen, V. V. (1989). The effects of subjective and objective competitive outcomes on intrinsic motivation. </w:t>
      </w:r>
      <w:r w:rsidRPr="00AC1F7D">
        <w:rPr>
          <w:i/>
          <w:iCs/>
          <w:noProof/>
          <w:sz w:val="24"/>
        </w:rPr>
        <w:t>Journal of Sport and Exercise Psychology</w:t>
      </w:r>
      <w:r w:rsidRPr="00AC1F7D">
        <w:rPr>
          <w:noProof/>
          <w:sz w:val="24"/>
        </w:rPr>
        <w:t xml:space="preserve">, </w:t>
      </w:r>
      <w:r w:rsidRPr="00AC1F7D">
        <w:rPr>
          <w:i/>
          <w:iCs/>
          <w:noProof/>
          <w:sz w:val="24"/>
        </w:rPr>
        <w:t>11</w:t>
      </w:r>
      <w:r w:rsidRPr="00AC1F7D">
        <w:rPr>
          <w:noProof/>
          <w:sz w:val="24"/>
        </w:rPr>
        <w:t>(1), 84–93. Retrieved from http://selfdeterminationtheory.org/SDT/documents/1989_McAuleyTammen_JESP.pdf</w:t>
      </w:r>
    </w:p>
    <w:p w14:paraId="661C33CA" w14:textId="77777777" w:rsidR="00AC1F7D" w:rsidRPr="00AC1F7D" w:rsidRDefault="00AC1F7D">
      <w:pPr>
        <w:pStyle w:val="NormalWeb"/>
        <w:ind w:left="480" w:hanging="480"/>
        <w:divId w:val="1663384982"/>
        <w:rPr>
          <w:noProof/>
          <w:sz w:val="24"/>
        </w:rPr>
      </w:pPr>
      <w:r w:rsidRPr="00AC1F7D">
        <w:rPr>
          <w:noProof/>
          <w:sz w:val="24"/>
        </w:rPr>
        <w:t xml:space="preserve">McGonigal, J. (2011). </w:t>
      </w:r>
      <w:r w:rsidRPr="00AC1F7D">
        <w:rPr>
          <w:i/>
          <w:iCs/>
          <w:noProof/>
          <w:sz w:val="24"/>
        </w:rPr>
        <w:t>Reality is broken: Why games make us better and how they can change the world</w:t>
      </w:r>
      <w:r w:rsidRPr="00AC1F7D">
        <w:rPr>
          <w:noProof/>
          <w:sz w:val="24"/>
        </w:rPr>
        <w:t>. Penguin Pr.</w:t>
      </w:r>
    </w:p>
    <w:p w14:paraId="62FBC98C" w14:textId="77777777" w:rsidR="00AC1F7D" w:rsidRPr="00AC1F7D" w:rsidRDefault="00AC1F7D">
      <w:pPr>
        <w:pStyle w:val="NormalWeb"/>
        <w:ind w:left="480" w:hanging="480"/>
        <w:divId w:val="1663384982"/>
        <w:rPr>
          <w:noProof/>
          <w:sz w:val="24"/>
        </w:rPr>
      </w:pPr>
      <w:r w:rsidRPr="00AC1F7D">
        <w:rPr>
          <w:noProof/>
          <w:sz w:val="24"/>
        </w:rPr>
        <w:t xml:space="preserve">Meyers, L. S., Gamst, G., &amp; Guarino, A. J. (2006). </w:t>
      </w:r>
      <w:r w:rsidRPr="00AC1F7D">
        <w:rPr>
          <w:i/>
          <w:iCs/>
          <w:noProof/>
          <w:sz w:val="24"/>
        </w:rPr>
        <w:t>Applied multivariate research: Design and interpretation</w:t>
      </w:r>
      <w:r w:rsidRPr="00AC1F7D">
        <w:rPr>
          <w:noProof/>
          <w:sz w:val="24"/>
        </w:rPr>
        <w:t>. Sage Publications, Inc.</w:t>
      </w:r>
    </w:p>
    <w:p w14:paraId="706FFD70" w14:textId="77777777" w:rsidR="00AC1F7D" w:rsidRPr="00AC1F7D" w:rsidRDefault="00AC1F7D">
      <w:pPr>
        <w:pStyle w:val="NormalWeb"/>
        <w:ind w:left="480" w:hanging="480"/>
        <w:divId w:val="1663384982"/>
        <w:rPr>
          <w:noProof/>
          <w:sz w:val="24"/>
        </w:rPr>
      </w:pPr>
      <w:r w:rsidRPr="00AC1F7D">
        <w:rPr>
          <w:noProof/>
          <w:sz w:val="24"/>
        </w:rPr>
        <w:t xml:space="preserve">Michael, D. R., &amp; Chen, S. L. (2005). </w:t>
      </w:r>
      <w:r w:rsidRPr="00AC1F7D">
        <w:rPr>
          <w:i/>
          <w:iCs/>
          <w:noProof/>
          <w:sz w:val="24"/>
        </w:rPr>
        <w:t>Serious games: Games that educate, train, and inform</w:t>
      </w:r>
      <w:r w:rsidRPr="00AC1F7D">
        <w:rPr>
          <w:noProof/>
          <w:sz w:val="24"/>
        </w:rPr>
        <w:t>. Muska &amp; Lipman/Premier-Trade.</w:t>
      </w:r>
    </w:p>
    <w:p w14:paraId="135A9C04" w14:textId="77777777" w:rsidR="00AC1F7D" w:rsidRPr="00AC1F7D" w:rsidRDefault="00AC1F7D">
      <w:pPr>
        <w:pStyle w:val="NormalWeb"/>
        <w:ind w:left="480" w:hanging="480"/>
        <w:divId w:val="1663384982"/>
        <w:rPr>
          <w:noProof/>
          <w:sz w:val="24"/>
        </w:rPr>
      </w:pPr>
      <w:r w:rsidRPr="00AC1F7D">
        <w:rPr>
          <w:noProof/>
          <w:sz w:val="24"/>
        </w:rPr>
        <w:t xml:space="preserve">Moon, J. (2001). Extending the TAM for a World-Wide-Web context. </w:t>
      </w:r>
      <w:r w:rsidRPr="00AC1F7D">
        <w:rPr>
          <w:i/>
          <w:iCs/>
          <w:noProof/>
          <w:sz w:val="24"/>
        </w:rPr>
        <w:t>Information &amp; Management</w:t>
      </w:r>
      <w:r w:rsidRPr="00AC1F7D">
        <w:rPr>
          <w:noProof/>
          <w:sz w:val="24"/>
        </w:rPr>
        <w:t xml:space="preserve">, </w:t>
      </w:r>
      <w:r w:rsidRPr="00AC1F7D">
        <w:rPr>
          <w:i/>
          <w:iCs/>
          <w:noProof/>
          <w:sz w:val="24"/>
        </w:rPr>
        <w:t>38</w:t>
      </w:r>
      <w:r w:rsidRPr="00AC1F7D">
        <w:rPr>
          <w:noProof/>
          <w:sz w:val="24"/>
        </w:rPr>
        <w:t>(4), 217–230. doi:10.1016/S0378-7206(00)00061-6</w:t>
      </w:r>
    </w:p>
    <w:p w14:paraId="161FEF57" w14:textId="77777777" w:rsidR="00AC1F7D" w:rsidRPr="00AC1F7D" w:rsidRDefault="00AC1F7D">
      <w:pPr>
        <w:pStyle w:val="NormalWeb"/>
        <w:ind w:left="480" w:hanging="480"/>
        <w:divId w:val="1663384982"/>
        <w:rPr>
          <w:noProof/>
          <w:sz w:val="24"/>
        </w:rPr>
      </w:pPr>
      <w:r w:rsidRPr="00AC1F7D">
        <w:rPr>
          <w:noProof/>
          <w:sz w:val="24"/>
        </w:rPr>
        <w:t xml:space="preserve">Moreno-Ger, P., Burgos, D., Martínez-Ortiz, I., Sierra, J. L., &amp; Fernández-Manjón, B. (2008). Educational game design for online education. </w:t>
      </w:r>
      <w:r w:rsidRPr="00AC1F7D">
        <w:rPr>
          <w:i/>
          <w:iCs/>
          <w:noProof/>
          <w:sz w:val="24"/>
        </w:rPr>
        <w:t>Computers in Human Behavior</w:t>
      </w:r>
      <w:r w:rsidRPr="00AC1F7D">
        <w:rPr>
          <w:noProof/>
          <w:sz w:val="24"/>
        </w:rPr>
        <w:t xml:space="preserve">, </w:t>
      </w:r>
      <w:r w:rsidRPr="00AC1F7D">
        <w:rPr>
          <w:i/>
          <w:iCs/>
          <w:noProof/>
          <w:sz w:val="24"/>
        </w:rPr>
        <w:t>24</w:t>
      </w:r>
      <w:r w:rsidRPr="00AC1F7D">
        <w:rPr>
          <w:noProof/>
          <w:sz w:val="24"/>
        </w:rPr>
        <w:t>(6), 2530–2540. doi:10.1016/j.chb.2008.03.012</w:t>
      </w:r>
    </w:p>
    <w:p w14:paraId="622DA4AF" w14:textId="77777777" w:rsidR="00AC1F7D" w:rsidRPr="00AC1F7D" w:rsidRDefault="00AC1F7D">
      <w:pPr>
        <w:pStyle w:val="NormalWeb"/>
        <w:ind w:left="480" w:hanging="480"/>
        <w:divId w:val="1663384982"/>
        <w:rPr>
          <w:noProof/>
          <w:sz w:val="24"/>
        </w:rPr>
      </w:pPr>
      <w:r w:rsidRPr="00AC1F7D">
        <w:rPr>
          <w:noProof/>
          <w:sz w:val="24"/>
        </w:rPr>
        <w:t xml:space="preserve">Newman, J. (2004). </w:t>
      </w:r>
      <w:r w:rsidRPr="00AC1F7D">
        <w:rPr>
          <w:i/>
          <w:iCs/>
          <w:noProof/>
          <w:sz w:val="24"/>
        </w:rPr>
        <w:t>Videogames</w:t>
      </w:r>
      <w:r w:rsidRPr="00AC1F7D">
        <w:rPr>
          <w:noProof/>
          <w:sz w:val="24"/>
        </w:rPr>
        <w:t>. Psychology Press.</w:t>
      </w:r>
    </w:p>
    <w:p w14:paraId="0C13C3BD" w14:textId="77777777" w:rsidR="00AC1F7D" w:rsidRPr="00AC1F7D" w:rsidRDefault="00AC1F7D">
      <w:pPr>
        <w:pStyle w:val="NormalWeb"/>
        <w:ind w:left="480" w:hanging="480"/>
        <w:divId w:val="1663384982"/>
        <w:rPr>
          <w:noProof/>
          <w:sz w:val="24"/>
        </w:rPr>
      </w:pPr>
      <w:r w:rsidRPr="00AC1F7D">
        <w:rPr>
          <w:noProof/>
          <w:sz w:val="24"/>
        </w:rPr>
        <w:t xml:space="preserve">Novak, T. P., Hoffman, D. L., &amp; Yung, Y. F. (2000). Measuring the customer experience in online environments: A structural modeling approach. </w:t>
      </w:r>
      <w:r w:rsidRPr="00AC1F7D">
        <w:rPr>
          <w:i/>
          <w:iCs/>
          <w:noProof/>
          <w:sz w:val="24"/>
        </w:rPr>
        <w:t>Marketing Science</w:t>
      </w:r>
      <w:r w:rsidRPr="00AC1F7D">
        <w:rPr>
          <w:noProof/>
          <w:sz w:val="24"/>
        </w:rPr>
        <w:t xml:space="preserve">, </w:t>
      </w:r>
      <w:r w:rsidRPr="00AC1F7D">
        <w:rPr>
          <w:i/>
          <w:iCs/>
          <w:noProof/>
          <w:sz w:val="24"/>
        </w:rPr>
        <w:t>19</w:t>
      </w:r>
      <w:r w:rsidRPr="00AC1F7D">
        <w:rPr>
          <w:noProof/>
          <w:sz w:val="24"/>
        </w:rPr>
        <w:t>(1), 22–42. Retrieved from http://www.jstor.org/stable/193257</w:t>
      </w:r>
    </w:p>
    <w:p w14:paraId="6D48EE4B" w14:textId="77777777" w:rsidR="00AC1F7D" w:rsidRPr="00AC1F7D" w:rsidRDefault="00AC1F7D">
      <w:pPr>
        <w:pStyle w:val="NormalWeb"/>
        <w:ind w:left="480" w:hanging="480"/>
        <w:divId w:val="1663384982"/>
        <w:rPr>
          <w:noProof/>
          <w:sz w:val="24"/>
        </w:rPr>
      </w:pPr>
      <w:r w:rsidRPr="00AC1F7D">
        <w:rPr>
          <w:noProof/>
          <w:sz w:val="24"/>
        </w:rPr>
        <w:t>Nunnally, J. C., &amp; Bernstein, I. H. (1994). Psychological theory. New York: McGraw-Hill.</w:t>
      </w:r>
    </w:p>
    <w:p w14:paraId="21EA9BC6" w14:textId="77777777" w:rsidR="00AC1F7D" w:rsidRPr="00AC1F7D" w:rsidRDefault="00AC1F7D">
      <w:pPr>
        <w:pStyle w:val="NormalWeb"/>
        <w:ind w:left="480" w:hanging="480"/>
        <w:divId w:val="1663384982"/>
        <w:rPr>
          <w:noProof/>
          <w:sz w:val="24"/>
        </w:rPr>
      </w:pPr>
      <w:r w:rsidRPr="00AC1F7D">
        <w:rPr>
          <w:noProof/>
          <w:sz w:val="24"/>
        </w:rPr>
        <w:t xml:space="preserve">Oblinger, D. (2003). Boomers, Gen-Xers, and Millennials: Understanding the“ New Students.”. </w:t>
      </w:r>
      <w:r w:rsidRPr="00AC1F7D">
        <w:rPr>
          <w:i/>
          <w:iCs/>
          <w:noProof/>
          <w:sz w:val="24"/>
        </w:rPr>
        <w:t>Educause Review</w:t>
      </w:r>
      <w:r w:rsidRPr="00AC1F7D">
        <w:rPr>
          <w:noProof/>
          <w:sz w:val="24"/>
        </w:rPr>
        <w:t>.</w:t>
      </w:r>
    </w:p>
    <w:p w14:paraId="4066BD64" w14:textId="77777777" w:rsidR="00AC1F7D" w:rsidRPr="00AC1F7D" w:rsidRDefault="00AC1F7D">
      <w:pPr>
        <w:pStyle w:val="NormalWeb"/>
        <w:ind w:left="480" w:hanging="480"/>
        <w:divId w:val="1663384982"/>
        <w:rPr>
          <w:noProof/>
          <w:sz w:val="24"/>
        </w:rPr>
      </w:pPr>
      <w:r w:rsidRPr="00AC1F7D">
        <w:rPr>
          <w:noProof/>
          <w:sz w:val="24"/>
        </w:rPr>
        <w:t xml:space="preserve">Oblinger, D., &amp; Oblinger, J. (2005). </w:t>
      </w:r>
      <w:r w:rsidRPr="00AC1F7D">
        <w:rPr>
          <w:i/>
          <w:iCs/>
          <w:noProof/>
          <w:sz w:val="24"/>
        </w:rPr>
        <w:t>Educating the net generation</w:t>
      </w:r>
      <w:r w:rsidRPr="00AC1F7D">
        <w:rPr>
          <w:noProof/>
          <w:sz w:val="24"/>
        </w:rPr>
        <w:t xml:space="preserve"> (Vol. 264). Educause Washington, DC. Retrieved from http://content.imamu.edu.sa/Scholars/it/net/onedayv2-ho.pdf</w:t>
      </w:r>
    </w:p>
    <w:p w14:paraId="407C8397" w14:textId="77777777" w:rsidR="00AC1F7D" w:rsidRPr="00AC1F7D" w:rsidRDefault="00AC1F7D">
      <w:pPr>
        <w:pStyle w:val="NormalWeb"/>
        <w:ind w:left="480" w:hanging="480"/>
        <w:divId w:val="1663384982"/>
        <w:rPr>
          <w:noProof/>
          <w:sz w:val="24"/>
        </w:rPr>
      </w:pPr>
      <w:r w:rsidRPr="00AC1F7D">
        <w:rPr>
          <w:noProof/>
          <w:sz w:val="24"/>
        </w:rPr>
        <w:t xml:space="preserve">Oliver, R. L. (1977). Effect of expectation and disconfirmation on postexposure product evaluations: An alternative interpretation. </w:t>
      </w:r>
      <w:r w:rsidRPr="00AC1F7D">
        <w:rPr>
          <w:i/>
          <w:iCs/>
          <w:noProof/>
          <w:sz w:val="24"/>
        </w:rPr>
        <w:t>Journal of Applied Psychology</w:t>
      </w:r>
      <w:r w:rsidRPr="00AC1F7D">
        <w:rPr>
          <w:noProof/>
          <w:sz w:val="24"/>
        </w:rPr>
        <w:t xml:space="preserve">, </w:t>
      </w:r>
      <w:r w:rsidRPr="00AC1F7D">
        <w:rPr>
          <w:i/>
          <w:iCs/>
          <w:noProof/>
          <w:sz w:val="24"/>
        </w:rPr>
        <w:t>62</w:t>
      </w:r>
      <w:r w:rsidRPr="00AC1F7D">
        <w:rPr>
          <w:noProof/>
          <w:sz w:val="24"/>
        </w:rPr>
        <w:t>(4), 480–486. doi:10.1037//0021-9010.62.4.480</w:t>
      </w:r>
    </w:p>
    <w:p w14:paraId="03D0FEAB" w14:textId="77777777" w:rsidR="00AC1F7D" w:rsidRPr="00AC1F7D" w:rsidRDefault="00AC1F7D">
      <w:pPr>
        <w:pStyle w:val="NormalWeb"/>
        <w:ind w:left="480" w:hanging="480"/>
        <w:divId w:val="1663384982"/>
        <w:rPr>
          <w:noProof/>
          <w:sz w:val="24"/>
        </w:rPr>
      </w:pPr>
      <w:r w:rsidRPr="00AC1F7D">
        <w:rPr>
          <w:noProof/>
          <w:sz w:val="24"/>
        </w:rPr>
        <w:lastRenderedPageBreak/>
        <w:t xml:space="preserve">Oliver, R. L. (1980). A cognitive model of the antecedents and consequences of satisfaction decisions. </w:t>
      </w:r>
      <w:r w:rsidRPr="00AC1F7D">
        <w:rPr>
          <w:i/>
          <w:iCs/>
          <w:noProof/>
          <w:sz w:val="24"/>
        </w:rPr>
        <w:t>Journal of Marketing Research</w:t>
      </w:r>
      <w:r w:rsidRPr="00AC1F7D">
        <w:rPr>
          <w:noProof/>
          <w:sz w:val="24"/>
        </w:rPr>
        <w:t>. Retrieved from http://www.jstor.org/stable/3150499</w:t>
      </w:r>
    </w:p>
    <w:p w14:paraId="03C68C30" w14:textId="77777777" w:rsidR="00AC1F7D" w:rsidRPr="00AC1F7D" w:rsidRDefault="00AC1F7D">
      <w:pPr>
        <w:pStyle w:val="NormalWeb"/>
        <w:ind w:left="480" w:hanging="480"/>
        <w:divId w:val="1663384982"/>
        <w:rPr>
          <w:noProof/>
          <w:sz w:val="24"/>
        </w:rPr>
      </w:pPr>
      <w:r w:rsidRPr="00AC1F7D">
        <w:rPr>
          <w:noProof/>
          <w:sz w:val="24"/>
        </w:rPr>
        <w:t xml:space="preserve">Oncu, S., &amp; Cakir, H. (2011). Research in online learning environments: Priorities and methodologies. </w:t>
      </w:r>
      <w:r w:rsidRPr="00AC1F7D">
        <w:rPr>
          <w:i/>
          <w:iCs/>
          <w:noProof/>
          <w:sz w:val="24"/>
        </w:rPr>
        <w:t>Computers &amp; Education</w:t>
      </w:r>
      <w:r w:rsidRPr="00AC1F7D">
        <w:rPr>
          <w:noProof/>
          <w:sz w:val="24"/>
        </w:rPr>
        <w:t xml:space="preserve">, </w:t>
      </w:r>
      <w:r w:rsidRPr="00AC1F7D">
        <w:rPr>
          <w:i/>
          <w:iCs/>
          <w:noProof/>
          <w:sz w:val="24"/>
        </w:rPr>
        <w:t>57</w:t>
      </w:r>
      <w:r w:rsidRPr="00AC1F7D">
        <w:rPr>
          <w:noProof/>
          <w:sz w:val="24"/>
        </w:rPr>
        <w:t>(1), 1098–1108. doi:10.1016/j.compedu.2010.12.009</w:t>
      </w:r>
    </w:p>
    <w:p w14:paraId="72FCCB67" w14:textId="77777777" w:rsidR="00AC1F7D" w:rsidRPr="00AC1F7D" w:rsidRDefault="00AC1F7D">
      <w:pPr>
        <w:pStyle w:val="NormalWeb"/>
        <w:ind w:left="480" w:hanging="480"/>
        <w:divId w:val="1663384982"/>
        <w:rPr>
          <w:noProof/>
          <w:sz w:val="24"/>
        </w:rPr>
      </w:pPr>
      <w:r w:rsidRPr="00AC1F7D">
        <w:rPr>
          <w:noProof/>
          <w:sz w:val="24"/>
        </w:rPr>
        <w:t xml:space="preserve">Pace, S. (2004). A grounded theory of the flow experiences of Web users. </w:t>
      </w:r>
      <w:r w:rsidRPr="00AC1F7D">
        <w:rPr>
          <w:i/>
          <w:iCs/>
          <w:noProof/>
          <w:sz w:val="24"/>
        </w:rPr>
        <w:t>International Journal of Human-Computer Studies</w:t>
      </w:r>
      <w:r w:rsidRPr="00AC1F7D">
        <w:rPr>
          <w:noProof/>
          <w:sz w:val="24"/>
        </w:rPr>
        <w:t xml:space="preserve">, </w:t>
      </w:r>
      <w:r w:rsidRPr="00AC1F7D">
        <w:rPr>
          <w:i/>
          <w:iCs/>
          <w:noProof/>
          <w:sz w:val="24"/>
        </w:rPr>
        <w:t>60</w:t>
      </w:r>
      <w:r w:rsidRPr="00AC1F7D">
        <w:rPr>
          <w:noProof/>
          <w:sz w:val="24"/>
        </w:rPr>
        <w:t>(3), 327–363. doi:10.1016/j.ijhcs.2003.08.005</w:t>
      </w:r>
    </w:p>
    <w:p w14:paraId="67141092" w14:textId="77777777" w:rsidR="00AC1F7D" w:rsidRPr="00AC1F7D" w:rsidRDefault="00AC1F7D">
      <w:pPr>
        <w:pStyle w:val="NormalWeb"/>
        <w:ind w:left="480" w:hanging="480"/>
        <w:divId w:val="1663384982"/>
        <w:rPr>
          <w:noProof/>
          <w:sz w:val="24"/>
        </w:rPr>
      </w:pPr>
      <w:r w:rsidRPr="00AC1F7D">
        <w:rPr>
          <w:noProof/>
          <w:sz w:val="24"/>
        </w:rPr>
        <w:t xml:space="preserve">Papert, S. (1980). </w:t>
      </w:r>
      <w:r w:rsidRPr="00AC1F7D">
        <w:rPr>
          <w:i/>
          <w:iCs/>
          <w:noProof/>
          <w:sz w:val="24"/>
        </w:rPr>
        <w:t>Mindstorms: Children, computers, and powerful ideas</w:t>
      </w:r>
      <w:r w:rsidRPr="00AC1F7D">
        <w:rPr>
          <w:noProof/>
          <w:sz w:val="24"/>
        </w:rPr>
        <w:t>. Basic Books, Inc.</w:t>
      </w:r>
    </w:p>
    <w:p w14:paraId="07CCAF72" w14:textId="77777777" w:rsidR="00AC1F7D" w:rsidRPr="00AC1F7D" w:rsidRDefault="00AC1F7D">
      <w:pPr>
        <w:pStyle w:val="NormalWeb"/>
        <w:ind w:left="480" w:hanging="480"/>
        <w:divId w:val="1663384982"/>
        <w:rPr>
          <w:noProof/>
          <w:sz w:val="24"/>
        </w:rPr>
      </w:pPr>
      <w:r w:rsidRPr="00AC1F7D">
        <w:rPr>
          <w:noProof/>
          <w:sz w:val="24"/>
        </w:rPr>
        <w:t>Pedhazur, E. J. (1997). Multiple regression in behavioral research: Explanation and prediction.</w:t>
      </w:r>
    </w:p>
    <w:p w14:paraId="52736C4C" w14:textId="77777777" w:rsidR="00AC1F7D" w:rsidRPr="00AC1F7D" w:rsidRDefault="00AC1F7D">
      <w:pPr>
        <w:pStyle w:val="NormalWeb"/>
        <w:ind w:left="480" w:hanging="480"/>
        <w:divId w:val="1663384982"/>
        <w:rPr>
          <w:noProof/>
          <w:sz w:val="24"/>
        </w:rPr>
      </w:pPr>
      <w:r w:rsidRPr="00AC1F7D">
        <w:rPr>
          <w:noProof/>
          <w:sz w:val="24"/>
        </w:rPr>
        <w:t xml:space="preserve">Piaget, J., &amp; Roberts, G. A. (1976). </w:t>
      </w:r>
      <w:r w:rsidRPr="00AC1F7D">
        <w:rPr>
          <w:i/>
          <w:iCs/>
          <w:noProof/>
          <w:sz w:val="24"/>
        </w:rPr>
        <w:t>To understand is to invent: The future of education</w:t>
      </w:r>
      <w:r w:rsidRPr="00AC1F7D">
        <w:rPr>
          <w:noProof/>
          <w:sz w:val="24"/>
        </w:rPr>
        <w:t>. Penguin Books.</w:t>
      </w:r>
    </w:p>
    <w:p w14:paraId="310E8F2E" w14:textId="77777777" w:rsidR="00AC1F7D" w:rsidRPr="00AC1F7D" w:rsidRDefault="00AC1F7D">
      <w:pPr>
        <w:pStyle w:val="NormalWeb"/>
        <w:ind w:left="480" w:hanging="480"/>
        <w:divId w:val="1663384982"/>
        <w:rPr>
          <w:noProof/>
          <w:sz w:val="24"/>
        </w:rPr>
      </w:pPr>
      <w:r w:rsidRPr="00AC1F7D">
        <w:rPr>
          <w:noProof/>
          <w:sz w:val="24"/>
        </w:rPr>
        <w:t xml:space="preserve">Podsakoff, P. M., MacKenzie, S. B., Lee, J.-Y., &amp; Podsakoff, N. P. (2003). Common method biases in behavioral research: a critical review of the literature and recommended remedies. </w:t>
      </w:r>
      <w:r w:rsidRPr="00AC1F7D">
        <w:rPr>
          <w:i/>
          <w:iCs/>
          <w:noProof/>
          <w:sz w:val="24"/>
        </w:rPr>
        <w:t>The Journal of Applied Psychology</w:t>
      </w:r>
      <w:r w:rsidRPr="00AC1F7D">
        <w:rPr>
          <w:noProof/>
          <w:sz w:val="24"/>
        </w:rPr>
        <w:t xml:space="preserve">, </w:t>
      </w:r>
      <w:r w:rsidRPr="00AC1F7D">
        <w:rPr>
          <w:i/>
          <w:iCs/>
          <w:noProof/>
          <w:sz w:val="24"/>
        </w:rPr>
        <w:t>88</w:t>
      </w:r>
      <w:r w:rsidRPr="00AC1F7D">
        <w:rPr>
          <w:noProof/>
          <w:sz w:val="24"/>
        </w:rPr>
        <w:t>(5), 879–903. doi:10.1037/0021-9010.88.5.879</w:t>
      </w:r>
    </w:p>
    <w:p w14:paraId="16979CF3" w14:textId="77777777" w:rsidR="00AC1F7D" w:rsidRPr="00AC1F7D" w:rsidRDefault="00AC1F7D">
      <w:pPr>
        <w:pStyle w:val="NormalWeb"/>
        <w:ind w:left="480" w:hanging="480"/>
        <w:divId w:val="1663384982"/>
        <w:rPr>
          <w:noProof/>
          <w:sz w:val="24"/>
        </w:rPr>
      </w:pPr>
      <w:r w:rsidRPr="00AC1F7D">
        <w:rPr>
          <w:noProof/>
          <w:sz w:val="24"/>
        </w:rPr>
        <w:t xml:space="preserve">Podsakoff, P. M., &amp; Organ, D. W. (1986). Self-reports in organizational research: Problems and prospects. </w:t>
      </w:r>
      <w:r w:rsidRPr="00AC1F7D">
        <w:rPr>
          <w:i/>
          <w:iCs/>
          <w:noProof/>
          <w:sz w:val="24"/>
        </w:rPr>
        <w:t>Journal of Management</w:t>
      </w:r>
      <w:r w:rsidRPr="00AC1F7D">
        <w:rPr>
          <w:noProof/>
          <w:sz w:val="24"/>
        </w:rPr>
        <w:t xml:space="preserve">, </w:t>
      </w:r>
      <w:r w:rsidRPr="00AC1F7D">
        <w:rPr>
          <w:i/>
          <w:iCs/>
          <w:noProof/>
          <w:sz w:val="24"/>
        </w:rPr>
        <w:t>12</w:t>
      </w:r>
      <w:r w:rsidRPr="00AC1F7D">
        <w:rPr>
          <w:noProof/>
          <w:sz w:val="24"/>
        </w:rPr>
        <w:t>(4), 531–544.</w:t>
      </w:r>
    </w:p>
    <w:p w14:paraId="516CC375" w14:textId="77777777" w:rsidR="00AC1F7D" w:rsidRPr="00AC1F7D" w:rsidRDefault="00AC1F7D">
      <w:pPr>
        <w:pStyle w:val="NormalWeb"/>
        <w:ind w:left="480" w:hanging="480"/>
        <w:divId w:val="1663384982"/>
        <w:rPr>
          <w:noProof/>
          <w:sz w:val="24"/>
        </w:rPr>
      </w:pPr>
      <w:r w:rsidRPr="00AC1F7D">
        <w:rPr>
          <w:noProof/>
          <w:sz w:val="24"/>
        </w:rPr>
        <w:t xml:space="preserve">Polites, G. L., Roberts, N., &amp; Thatcher, J. (2012). Conceptualizing models using multidimensional constructs: a review and guidelines for their use. </w:t>
      </w:r>
      <w:r w:rsidRPr="00AC1F7D">
        <w:rPr>
          <w:i/>
          <w:iCs/>
          <w:noProof/>
          <w:sz w:val="24"/>
        </w:rPr>
        <w:t>European Journal of Information Systems</w:t>
      </w:r>
      <w:r w:rsidRPr="00AC1F7D">
        <w:rPr>
          <w:noProof/>
          <w:sz w:val="24"/>
        </w:rPr>
        <w:t xml:space="preserve">, </w:t>
      </w:r>
      <w:r w:rsidRPr="00AC1F7D">
        <w:rPr>
          <w:i/>
          <w:iCs/>
          <w:noProof/>
          <w:sz w:val="24"/>
        </w:rPr>
        <w:t>21</w:t>
      </w:r>
      <w:r w:rsidRPr="00AC1F7D">
        <w:rPr>
          <w:noProof/>
          <w:sz w:val="24"/>
        </w:rPr>
        <w:t>(1), 22–48. doi:10.1057/ejis.2011.10</w:t>
      </w:r>
    </w:p>
    <w:p w14:paraId="54934DA6" w14:textId="77777777" w:rsidR="00AC1F7D" w:rsidRPr="00AC1F7D" w:rsidRDefault="00AC1F7D">
      <w:pPr>
        <w:pStyle w:val="NormalWeb"/>
        <w:ind w:left="480" w:hanging="480"/>
        <w:divId w:val="1663384982"/>
        <w:rPr>
          <w:noProof/>
          <w:sz w:val="24"/>
        </w:rPr>
      </w:pPr>
      <w:r w:rsidRPr="00AC1F7D">
        <w:rPr>
          <w:noProof/>
          <w:sz w:val="24"/>
        </w:rPr>
        <w:t xml:space="preserve">Prensky, M. (2001). True believers: Digital game-based learning in the military. </w:t>
      </w:r>
      <w:r w:rsidRPr="00AC1F7D">
        <w:rPr>
          <w:i/>
          <w:iCs/>
          <w:noProof/>
          <w:sz w:val="24"/>
        </w:rPr>
        <w:t>Learning Circuits</w:t>
      </w:r>
      <w:r w:rsidRPr="00AC1F7D">
        <w:rPr>
          <w:noProof/>
          <w:sz w:val="24"/>
        </w:rPr>
        <w:t>, 1–18. Retrieved from http://www.marcprensky.com/writing/Prensky - Digital Game-Based Learning-Ch10-Military.pdf</w:t>
      </w:r>
    </w:p>
    <w:p w14:paraId="3216B398" w14:textId="77777777" w:rsidR="00AC1F7D" w:rsidRPr="00AC1F7D" w:rsidRDefault="00AC1F7D">
      <w:pPr>
        <w:pStyle w:val="NormalWeb"/>
        <w:ind w:left="480" w:hanging="480"/>
        <w:divId w:val="1663384982"/>
        <w:rPr>
          <w:noProof/>
          <w:sz w:val="24"/>
        </w:rPr>
      </w:pPr>
      <w:r w:rsidRPr="00AC1F7D">
        <w:rPr>
          <w:noProof/>
          <w:sz w:val="24"/>
        </w:rPr>
        <w:t xml:space="preserve">Przybylski, A. K., Rigby, C. S., &amp; Ryan, R. M. (2010). A motivational model of video game engagement. </w:t>
      </w:r>
      <w:r w:rsidRPr="00AC1F7D">
        <w:rPr>
          <w:i/>
          <w:iCs/>
          <w:noProof/>
          <w:sz w:val="24"/>
        </w:rPr>
        <w:t>Review of General Psychology</w:t>
      </w:r>
      <w:r w:rsidRPr="00AC1F7D">
        <w:rPr>
          <w:noProof/>
          <w:sz w:val="24"/>
        </w:rPr>
        <w:t xml:space="preserve">, </w:t>
      </w:r>
      <w:r w:rsidRPr="00AC1F7D">
        <w:rPr>
          <w:i/>
          <w:iCs/>
          <w:noProof/>
          <w:sz w:val="24"/>
        </w:rPr>
        <w:t>14</w:t>
      </w:r>
      <w:r w:rsidRPr="00AC1F7D">
        <w:rPr>
          <w:noProof/>
          <w:sz w:val="24"/>
        </w:rPr>
        <w:t>(2), 154–166. doi:10.1037/a0019440</w:t>
      </w:r>
    </w:p>
    <w:p w14:paraId="2BF4A357" w14:textId="77777777" w:rsidR="00AC1F7D" w:rsidRPr="00AC1F7D" w:rsidRDefault="00AC1F7D">
      <w:pPr>
        <w:pStyle w:val="NormalWeb"/>
        <w:ind w:left="480" w:hanging="480"/>
        <w:divId w:val="1663384982"/>
        <w:rPr>
          <w:noProof/>
          <w:sz w:val="24"/>
        </w:rPr>
      </w:pPr>
      <w:r w:rsidRPr="00AC1F7D">
        <w:rPr>
          <w:noProof/>
          <w:sz w:val="24"/>
        </w:rPr>
        <w:t xml:space="preserve">Qin, Z., Johnson, D. W., &amp; Johnson, R. T. (1995). Cooperative versus Competitive Efforts and Problem Solving. </w:t>
      </w:r>
      <w:r w:rsidRPr="00AC1F7D">
        <w:rPr>
          <w:i/>
          <w:iCs/>
          <w:noProof/>
          <w:sz w:val="24"/>
        </w:rPr>
        <w:t>Review of Educational Research</w:t>
      </w:r>
      <w:r w:rsidRPr="00AC1F7D">
        <w:rPr>
          <w:noProof/>
          <w:sz w:val="24"/>
        </w:rPr>
        <w:t xml:space="preserve">, </w:t>
      </w:r>
      <w:r w:rsidRPr="00AC1F7D">
        <w:rPr>
          <w:i/>
          <w:iCs/>
          <w:noProof/>
          <w:sz w:val="24"/>
        </w:rPr>
        <w:t>65</w:t>
      </w:r>
      <w:r w:rsidRPr="00AC1F7D">
        <w:rPr>
          <w:noProof/>
          <w:sz w:val="24"/>
        </w:rPr>
        <w:t>(2), 129. doi:10.2307/1170710</w:t>
      </w:r>
    </w:p>
    <w:p w14:paraId="632B0144" w14:textId="77777777" w:rsidR="00AC1F7D" w:rsidRPr="00AC1F7D" w:rsidRDefault="00AC1F7D">
      <w:pPr>
        <w:pStyle w:val="NormalWeb"/>
        <w:ind w:left="480" w:hanging="480"/>
        <w:divId w:val="1663384982"/>
        <w:rPr>
          <w:noProof/>
          <w:sz w:val="24"/>
        </w:rPr>
      </w:pPr>
      <w:r w:rsidRPr="00AC1F7D">
        <w:rPr>
          <w:noProof/>
          <w:sz w:val="24"/>
        </w:rPr>
        <w:t xml:space="preserve">Raju, P. S. (1980). Optimum Stimulation Level: Its Relationship to Personality, Demographics, and Exploratory Behavior. </w:t>
      </w:r>
      <w:r w:rsidRPr="00AC1F7D">
        <w:rPr>
          <w:i/>
          <w:iCs/>
          <w:noProof/>
          <w:sz w:val="24"/>
        </w:rPr>
        <w:t>Journal of Consumer Research</w:t>
      </w:r>
      <w:r w:rsidRPr="00AC1F7D">
        <w:rPr>
          <w:noProof/>
          <w:sz w:val="24"/>
        </w:rPr>
        <w:t xml:space="preserve">, </w:t>
      </w:r>
      <w:r w:rsidRPr="00AC1F7D">
        <w:rPr>
          <w:i/>
          <w:iCs/>
          <w:noProof/>
          <w:sz w:val="24"/>
        </w:rPr>
        <w:t>7</w:t>
      </w:r>
      <w:r w:rsidRPr="00AC1F7D">
        <w:rPr>
          <w:noProof/>
          <w:sz w:val="24"/>
        </w:rPr>
        <w:t>(3), 272. doi:10.1086/208815</w:t>
      </w:r>
    </w:p>
    <w:p w14:paraId="03DC848B" w14:textId="77777777" w:rsidR="00AC1F7D" w:rsidRPr="00AC1F7D" w:rsidRDefault="00AC1F7D">
      <w:pPr>
        <w:pStyle w:val="NormalWeb"/>
        <w:ind w:left="480" w:hanging="480"/>
        <w:divId w:val="1663384982"/>
        <w:rPr>
          <w:noProof/>
          <w:sz w:val="24"/>
        </w:rPr>
      </w:pPr>
      <w:r w:rsidRPr="00AC1F7D">
        <w:rPr>
          <w:noProof/>
          <w:sz w:val="24"/>
        </w:rPr>
        <w:t xml:space="preserve">Ratan, R., &amp; Ritterfeld, U. (2009). Classifying serious games. </w:t>
      </w:r>
      <w:r w:rsidRPr="00AC1F7D">
        <w:rPr>
          <w:i/>
          <w:iCs/>
          <w:noProof/>
          <w:sz w:val="24"/>
        </w:rPr>
        <w:t>Serious Games: Mechanisms and Effects</w:t>
      </w:r>
      <w:r w:rsidRPr="00AC1F7D">
        <w:rPr>
          <w:noProof/>
          <w:sz w:val="24"/>
        </w:rPr>
        <w:t>, 10–24.</w:t>
      </w:r>
    </w:p>
    <w:p w14:paraId="3DD57F1F" w14:textId="77777777" w:rsidR="00AC1F7D" w:rsidRPr="00AC1F7D" w:rsidRDefault="00AC1F7D">
      <w:pPr>
        <w:pStyle w:val="NormalWeb"/>
        <w:ind w:left="480" w:hanging="480"/>
        <w:divId w:val="1663384982"/>
        <w:rPr>
          <w:noProof/>
          <w:sz w:val="24"/>
        </w:rPr>
      </w:pPr>
      <w:r w:rsidRPr="00AC1F7D">
        <w:rPr>
          <w:noProof/>
          <w:sz w:val="24"/>
        </w:rPr>
        <w:lastRenderedPageBreak/>
        <w:t xml:space="preserve">Ravaja, N., Saari, T., Turpeinen, M., Laarni, J., Salminen, M., &amp; Kivikangas, M. (2006). Spatial Presence and Emotions during Video Game Playing: Does It Matter with Whom You Play? </w:t>
      </w:r>
      <w:r w:rsidRPr="00AC1F7D">
        <w:rPr>
          <w:i/>
          <w:iCs/>
          <w:noProof/>
          <w:sz w:val="24"/>
        </w:rPr>
        <w:t>Presence: Teleoperators and Virtual Environments</w:t>
      </w:r>
      <w:r w:rsidRPr="00AC1F7D">
        <w:rPr>
          <w:noProof/>
          <w:sz w:val="24"/>
        </w:rPr>
        <w:t xml:space="preserve">, </w:t>
      </w:r>
      <w:r w:rsidRPr="00AC1F7D">
        <w:rPr>
          <w:i/>
          <w:iCs/>
          <w:noProof/>
          <w:sz w:val="24"/>
        </w:rPr>
        <w:t>15</w:t>
      </w:r>
      <w:r w:rsidRPr="00AC1F7D">
        <w:rPr>
          <w:noProof/>
          <w:sz w:val="24"/>
        </w:rPr>
        <w:t>(4), 381–392. doi:10.1162/pres.15.4.381</w:t>
      </w:r>
    </w:p>
    <w:p w14:paraId="427A8BB3" w14:textId="77777777" w:rsidR="00AC1F7D" w:rsidRPr="00AC1F7D" w:rsidRDefault="00AC1F7D">
      <w:pPr>
        <w:pStyle w:val="NormalWeb"/>
        <w:ind w:left="480" w:hanging="480"/>
        <w:divId w:val="1663384982"/>
        <w:rPr>
          <w:noProof/>
          <w:sz w:val="24"/>
        </w:rPr>
      </w:pPr>
      <w:r w:rsidRPr="00AC1F7D">
        <w:rPr>
          <w:noProof/>
          <w:sz w:val="24"/>
        </w:rPr>
        <w:t xml:space="preserve">Reeve, J., &amp; Deci, E. L. (1996). Elements of the Competitive Situation that Affect Intrinsic Motivation. </w:t>
      </w:r>
      <w:r w:rsidRPr="00AC1F7D">
        <w:rPr>
          <w:i/>
          <w:iCs/>
          <w:noProof/>
          <w:sz w:val="24"/>
        </w:rPr>
        <w:t>Personality and Social Psychology Bulletin</w:t>
      </w:r>
      <w:r w:rsidRPr="00AC1F7D">
        <w:rPr>
          <w:noProof/>
          <w:sz w:val="24"/>
        </w:rPr>
        <w:t xml:space="preserve">, </w:t>
      </w:r>
      <w:r w:rsidRPr="00AC1F7D">
        <w:rPr>
          <w:i/>
          <w:iCs/>
          <w:noProof/>
          <w:sz w:val="24"/>
        </w:rPr>
        <w:t>22</w:t>
      </w:r>
      <w:r w:rsidRPr="00AC1F7D">
        <w:rPr>
          <w:noProof/>
          <w:sz w:val="24"/>
        </w:rPr>
        <w:t>(1), 24–33. doi:10.1177/0146167296221003</w:t>
      </w:r>
    </w:p>
    <w:p w14:paraId="724E17C8" w14:textId="77777777" w:rsidR="00AC1F7D" w:rsidRPr="00AC1F7D" w:rsidRDefault="00AC1F7D">
      <w:pPr>
        <w:pStyle w:val="NormalWeb"/>
        <w:ind w:left="480" w:hanging="480"/>
        <w:divId w:val="1663384982"/>
        <w:rPr>
          <w:noProof/>
          <w:sz w:val="24"/>
        </w:rPr>
      </w:pPr>
      <w:r w:rsidRPr="00AC1F7D">
        <w:rPr>
          <w:noProof/>
          <w:sz w:val="24"/>
        </w:rPr>
        <w:t xml:space="preserve">Reeves, B., &amp; Read, J. L. (2009). </w:t>
      </w:r>
      <w:r w:rsidRPr="00AC1F7D">
        <w:rPr>
          <w:i/>
          <w:iCs/>
          <w:noProof/>
          <w:sz w:val="24"/>
        </w:rPr>
        <w:t>Total engagement: using games and virtual worlds to change the way people work and businesses compete</w:t>
      </w:r>
      <w:r w:rsidRPr="00AC1F7D">
        <w:rPr>
          <w:noProof/>
          <w:sz w:val="24"/>
        </w:rPr>
        <w:t>. Harvard Business School Press.</w:t>
      </w:r>
    </w:p>
    <w:p w14:paraId="38F357FB" w14:textId="77777777" w:rsidR="00AC1F7D" w:rsidRPr="00AC1F7D" w:rsidRDefault="00AC1F7D">
      <w:pPr>
        <w:pStyle w:val="NormalWeb"/>
        <w:ind w:left="480" w:hanging="480"/>
        <w:divId w:val="1663384982"/>
        <w:rPr>
          <w:noProof/>
          <w:sz w:val="24"/>
        </w:rPr>
      </w:pPr>
      <w:r w:rsidRPr="00AC1F7D">
        <w:rPr>
          <w:noProof/>
          <w:sz w:val="24"/>
        </w:rPr>
        <w:t xml:space="preserve">Rigby, C. S., &amp; Przybylski, a. K. (2009). Virtual worlds and the learner hero: How today’s video games can inform tomorrow's digital learning environments. </w:t>
      </w:r>
      <w:r w:rsidRPr="00AC1F7D">
        <w:rPr>
          <w:i/>
          <w:iCs/>
          <w:noProof/>
          <w:sz w:val="24"/>
        </w:rPr>
        <w:t>Theory and Research in Education</w:t>
      </w:r>
      <w:r w:rsidRPr="00AC1F7D">
        <w:rPr>
          <w:noProof/>
          <w:sz w:val="24"/>
        </w:rPr>
        <w:t xml:space="preserve">, </w:t>
      </w:r>
      <w:r w:rsidRPr="00AC1F7D">
        <w:rPr>
          <w:i/>
          <w:iCs/>
          <w:noProof/>
          <w:sz w:val="24"/>
        </w:rPr>
        <w:t>7</w:t>
      </w:r>
      <w:r w:rsidRPr="00AC1F7D">
        <w:rPr>
          <w:noProof/>
          <w:sz w:val="24"/>
        </w:rPr>
        <w:t>(2), 214–223. doi:10.1177/1477878509104326</w:t>
      </w:r>
    </w:p>
    <w:p w14:paraId="6A8309A1" w14:textId="77777777" w:rsidR="00AC1F7D" w:rsidRPr="00AC1F7D" w:rsidRDefault="00AC1F7D">
      <w:pPr>
        <w:pStyle w:val="NormalWeb"/>
        <w:ind w:left="480" w:hanging="480"/>
        <w:divId w:val="1663384982"/>
        <w:rPr>
          <w:noProof/>
          <w:sz w:val="24"/>
        </w:rPr>
      </w:pPr>
      <w:r w:rsidRPr="00AC1F7D">
        <w:rPr>
          <w:noProof/>
          <w:sz w:val="24"/>
        </w:rPr>
        <w:t xml:space="preserve">Ritterfeld, U., Cody, M. J., &amp; Vorderer, P. (2009). </w:t>
      </w:r>
      <w:r w:rsidRPr="00AC1F7D">
        <w:rPr>
          <w:i/>
          <w:iCs/>
          <w:noProof/>
          <w:sz w:val="24"/>
        </w:rPr>
        <w:t>Serious games: Mechanisms and effects</w:t>
      </w:r>
      <w:r w:rsidRPr="00AC1F7D">
        <w:rPr>
          <w:noProof/>
          <w:sz w:val="24"/>
        </w:rPr>
        <w:t>. Taylor &amp; Francis.</w:t>
      </w:r>
    </w:p>
    <w:p w14:paraId="40155056" w14:textId="77777777" w:rsidR="00AC1F7D" w:rsidRPr="00AC1F7D" w:rsidRDefault="00AC1F7D">
      <w:pPr>
        <w:pStyle w:val="NormalWeb"/>
        <w:ind w:left="480" w:hanging="480"/>
        <w:divId w:val="1663384982"/>
        <w:rPr>
          <w:noProof/>
          <w:sz w:val="24"/>
        </w:rPr>
      </w:pPr>
      <w:r w:rsidRPr="00AC1F7D">
        <w:rPr>
          <w:noProof/>
          <w:sz w:val="24"/>
        </w:rPr>
        <w:t xml:space="preserve">Robbins, T. W. (1997). Arousal systems and attentional processes. </w:t>
      </w:r>
      <w:r w:rsidRPr="00AC1F7D">
        <w:rPr>
          <w:i/>
          <w:iCs/>
          <w:noProof/>
          <w:sz w:val="24"/>
        </w:rPr>
        <w:t>Biological Psychology</w:t>
      </w:r>
      <w:r w:rsidRPr="00AC1F7D">
        <w:rPr>
          <w:noProof/>
          <w:sz w:val="24"/>
        </w:rPr>
        <w:t xml:space="preserve">, </w:t>
      </w:r>
      <w:r w:rsidRPr="00AC1F7D">
        <w:rPr>
          <w:i/>
          <w:iCs/>
          <w:noProof/>
          <w:sz w:val="24"/>
        </w:rPr>
        <w:t>45</w:t>
      </w:r>
      <w:r w:rsidRPr="00AC1F7D">
        <w:rPr>
          <w:noProof/>
          <w:sz w:val="24"/>
        </w:rPr>
        <w:t>(1-3), 57–71. Retrieved from http://www.ncbi.nlm.nih.gov/pubmed/9083644</w:t>
      </w:r>
    </w:p>
    <w:p w14:paraId="0CB7CDD5" w14:textId="77777777" w:rsidR="00AC1F7D" w:rsidRPr="00AC1F7D" w:rsidRDefault="00AC1F7D">
      <w:pPr>
        <w:pStyle w:val="NormalWeb"/>
        <w:ind w:left="480" w:hanging="480"/>
        <w:divId w:val="1663384982"/>
        <w:rPr>
          <w:noProof/>
          <w:sz w:val="24"/>
        </w:rPr>
      </w:pPr>
      <w:r w:rsidRPr="00AC1F7D">
        <w:rPr>
          <w:noProof/>
          <w:sz w:val="24"/>
        </w:rPr>
        <w:t xml:space="preserve">Ross, R. G., &amp; den Haag, E. (1957). </w:t>
      </w:r>
      <w:r w:rsidRPr="00AC1F7D">
        <w:rPr>
          <w:i/>
          <w:iCs/>
          <w:noProof/>
          <w:sz w:val="24"/>
        </w:rPr>
        <w:t>The fabric of society</w:t>
      </w:r>
      <w:r w:rsidRPr="00AC1F7D">
        <w:rPr>
          <w:noProof/>
          <w:sz w:val="24"/>
        </w:rPr>
        <w:t>. Harcourt, Brace &amp; Company.</w:t>
      </w:r>
    </w:p>
    <w:p w14:paraId="02602F03" w14:textId="77777777" w:rsidR="00AC1F7D" w:rsidRPr="00AC1F7D" w:rsidRDefault="00AC1F7D">
      <w:pPr>
        <w:pStyle w:val="NormalWeb"/>
        <w:ind w:left="480" w:hanging="480"/>
        <w:divId w:val="1663384982"/>
        <w:rPr>
          <w:noProof/>
          <w:sz w:val="24"/>
        </w:rPr>
      </w:pPr>
      <w:r w:rsidRPr="00AC1F7D">
        <w:rPr>
          <w:noProof/>
          <w:sz w:val="24"/>
        </w:rPr>
        <w:t xml:space="preserve">Russell, J. a., Weiss, A., &amp; Mendelsohn, G. a. (1989). Affect Grid: A single-item scale of pleasure and arousal. </w:t>
      </w:r>
      <w:r w:rsidRPr="00AC1F7D">
        <w:rPr>
          <w:i/>
          <w:iCs/>
          <w:noProof/>
          <w:sz w:val="24"/>
        </w:rPr>
        <w:t>Journal of Personality and Social Psychology</w:t>
      </w:r>
      <w:r w:rsidRPr="00AC1F7D">
        <w:rPr>
          <w:noProof/>
          <w:sz w:val="24"/>
        </w:rPr>
        <w:t xml:space="preserve">, </w:t>
      </w:r>
      <w:r w:rsidRPr="00AC1F7D">
        <w:rPr>
          <w:i/>
          <w:iCs/>
          <w:noProof/>
          <w:sz w:val="24"/>
        </w:rPr>
        <w:t>57</w:t>
      </w:r>
      <w:r w:rsidRPr="00AC1F7D">
        <w:rPr>
          <w:noProof/>
          <w:sz w:val="24"/>
        </w:rPr>
        <w:t>(3), 493–502. doi:10.1037//0022-3514.57.3.493</w:t>
      </w:r>
    </w:p>
    <w:p w14:paraId="3EF83645" w14:textId="77777777" w:rsidR="00AC1F7D" w:rsidRPr="00AC1F7D" w:rsidRDefault="00AC1F7D">
      <w:pPr>
        <w:pStyle w:val="NormalWeb"/>
        <w:ind w:left="480" w:hanging="480"/>
        <w:divId w:val="1663384982"/>
        <w:rPr>
          <w:noProof/>
          <w:sz w:val="24"/>
        </w:rPr>
      </w:pPr>
      <w:r w:rsidRPr="00AC1F7D">
        <w:rPr>
          <w:noProof/>
          <w:sz w:val="24"/>
        </w:rPr>
        <w:t xml:space="preserve">Ryan, R. M., &amp; Deci, E. L. (2000a). Intrinsic and Extrinsic Motivations: Classic Definitions and New Directions. </w:t>
      </w:r>
      <w:r w:rsidRPr="00AC1F7D">
        <w:rPr>
          <w:i/>
          <w:iCs/>
          <w:noProof/>
          <w:sz w:val="24"/>
        </w:rPr>
        <w:t>Contemporary Educational Psychology</w:t>
      </w:r>
      <w:r w:rsidRPr="00AC1F7D">
        <w:rPr>
          <w:noProof/>
          <w:sz w:val="24"/>
        </w:rPr>
        <w:t xml:space="preserve">, </w:t>
      </w:r>
      <w:r w:rsidRPr="00AC1F7D">
        <w:rPr>
          <w:i/>
          <w:iCs/>
          <w:noProof/>
          <w:sz w:val="24"/>
        </w:rPr>
        <w:t>25</w:t>
      </w:r>
      <w:r w:rsidRPr="00AC1F7D">
        <w:rPr>
          <w:noProof/>
          <w:sz w:val="24"/>
        </w:rPr>
        <w:t>(1), 54–67. doi:10.1006/ceps.1999.1020</w:t>
      </w:r>
    </w:p>
    <w:p w14:paraId="5346C70A" w14:textId="77777777" w:rsidR="00AC1F7D" w:rsidRPr="00AC1F7D" w:rsidRDefault="00AC1F7D">
      <w:pPr>
        <w:pStyle w:val="NormalWeb"/>
        <w:ind w:left="480" w:hanging="480"/>
        <w:divId w:val="1663384982"/>
        <w:rPr>
          <w:noProof/>
          <w:sz w:val="24"/>
        </w:rPr>
      </w:pPr>
      <w:r w:rsidRPr="00AC1F7D">
        <w:rPr>
          <w:noProof/>
          <w:sz w:val="24"/>
        </w:rPr>
        <w:t xml:space="preserve">Ryan, R. M., &amp; Deci, E. L. (2000b). Self-determination theory and the facilitation of intrinsic motivation, social development, and well-being. </w:t>
      </w:r>
      <w:r w:rsidRPr="00AC1F7D">
        <w:rPr>
          <w:i/>
          <w:iCs/>
          <w:noProof/>
          <w:sz w:val="24"/>
        </w:rPr>
        <w:t>The American Psychologist</w:t>
      </w:r>
      <w:r w:rsidRPr="00AC1F7D">
        <w:rPr>
          <w:noProof/>
          <w:sz w:val="24"/>
        </w:rPr>
        <w:t xml:space="preserve">, </w:t>
      </w:r>
      <w:r w:rsidRPr="00AC1F7D">
        <w:rPr>
          <w:i/>
          <w:iCs/>
          <w:noProof/>
          <w:sz w:val="24"/>
        </w:rPr>
        <w:t>55</w:t>
      </w:r>
      <w:r w:rsidRPr="00AC1F7D">
        <w:rPr>
          <w:noProof/>
          <w:sz w:val="24"/>
        </w:rPr>
        <w:t>(1), 68–78. Retrieved from http://www.ncbi.nlm.nih.gov/pubmed/11392867</w:t>
      </w:r>
    </w:p>
    <w:p w14:paraId="5D4EB089" w14:textId="77777777" w:rsidR="00AC1F7D" w:rsidRPr="00AC1F7D" w:rsidRDefault="00AC1F7D">
      <w:pPr>
        <w:pStyle w:val="NormalWeb"/>
        <w:ind w:left="480" w:hanging="480"/>
        <w:divId w:val="1663384982"/>
        <w:rPr>
          <w:noProof/>
          <w:sz w:val="24"/>
        </w:rPr>
      </w:pPr>
      <w:r w:rsidRPr="00AC1F7D">
        <w:rPr>
          <w:noProof/>
          <w:sz w:val="24"/>
        </w:rPr>
        <w:t xml:space="preserve">Ryan, R. M., Rigby, C. S., &amp; Przybylski, A. (2006). The Motivational Pull of Video Games: A Self-Determination Theory Approach. </w:t>
      </w:r>
      <w:r w:rsidRPr="00AC1F7D">
        <w:rPr>
          <w:i/>
          <w:iCs/>
          <w:noProof/>
          <w:sz w:val="24"/>
        </w:rPr>
        <w:t>Motivation and Emotion</w:t>
      </w:r>
      <w:r w:rsidRPr="00AC1F7D">
        <w:rPr>
          <w:noProof/>
          <w:sz w:val="24"/>
        </w:rPr>
        <w:t xml:space="preserve">, </w:t>
      </w:r>
      <w:r w:rsidRPr="00AC1F7D">
        <w:rPr>
          <w:i/>
          <w:iCs/>
          <w:noProof/>
          <w:sz w:val="24"/>
        </w:rPr>
        <w:t>30</w:t>
      </w:r>
      <w:r w:rsidRPr="00AC1F7D">
        <w:rPr>
          <w:noProof/>
          <w:sz w:val="24"/>
        </w:rPr>
        <w:t>(4), 344–360. doi:10.1007/s11031-006-9051-8</w:t>
      </w:r>
    </w:p>
    <w:p w14:paraId="2ED752CF" w14:textId="77777777" w:rsidR="00AC1F7D" w:rsidRPr="00AC1F7D" w:rsidRDefault="00AC1F7D">
      <w:pPr>
        <w:pStyle w:val="NormalWeb"/>
        <w:ind w:left="480" w:hanging="480"/>
        <w:divId w:val="1663384982"/>
        <w:rPr>
          <w:noProof/>
          <w:sz w:val="24"/>
        </w:rPr>
      </w:pPr>
      <w:r w:rsidRPr="00AC1F7D">
        <w:rPr>
          <w:noProof/>
          <w:sz w:val="24"/>
        </w:rPr>
        <w:t xml:space="preserve">Sánchez, J., &amp; Olivares, R. (2011). Problem solving and collaboration using mobile serious games. </w:t>
      </w:r>
      <w:r w:rsidRPr="00AC1F7D">
        <w:rPr>
          <w:i/>
          <w:iCs/>
          <w:noProof/>
          <w:sz w:val="24"/>
        </w:rPr>
        <w:t>Computers &amp; Education</w:t>
      </w:r>
      <w:r w:rsidRPr="00AC1F7D">
        <w:rPr>
          <w:noProof/>
          <w:sz w:val="24"/>
        </w:rPr>
        <w:t xml:space="preserve">, </w:t>
      </w:r>
      <w:r w:rsidRPr="00AC1F7D">
        <w:rPr>
          <w:i/>
          <w:iCs/>
          <w:noProof/>
          <w:sz w:val="24"/>
        </w:rPr>
        <w:t>57</w:t>
      </w:r>
      <w:r w:rsidRPr="00AC1F7D">
        <w:rPr>
          <w:noProof/>
          <w:sz w:val="24"/>
        </w:rPr>
        <w:t>(3), 1943–1952. doi:10.1016/j.compedu.2011.04.012</w:t>
      </w:r>
    </w:p>
    <w:p w14:paraId="15909D47" w14:textId="77777777" w:rsidR="00AC1F7D" w:rsidRPr="00AC1F7D" w:rsidRDefault="00AC1F7D">
      <w:pPr>
        <w:pStyle w:val="NormalWeb"/>
        <w:ind w:left="480" w:hanging="480"/>
        <w:divId w:val="1663384982"/>
        <w:rPr>
          <w:noProof/>
          <w:sz w:val="24"/>
        </w:rPr>
      </w:pPr>
      <w:r w:rsidRPr="00AC1F7D">
        <w:rPr>
          <w:noProof/>
          <w:sz w:val="24"/>
        </w:rPr>
        <w:t xml:space="preserve">Sawyer, B., &amp; Smith, P. (2008). Serious games taxonomy. In </w:t>
      </w:r>
      <w:r w:rsidRPr="00AC1F7D">
        <w:rPr>
          <w:i/>
          <w:iCs/>
          <w:noProof/>
          <w:sz w:val="24"/>
        </w:rPr>
        <w:t>Slides from the Serious Games Summit at the Game Developers Conference</w:t>
      </w:r>
      <w:r w:rsidRPr="00AC1F7D">
        <w:rPr>
          <w:noProof/>
          <w:sz w:val="24"/>
        </w:rPr>
        <w:t>.</w:t>
      </w:r>
    </w:p>
    <w:p w14:paraId="67EE6A9B" w14:textId="77777777" w:rsidR="00AC1F7D" w:rsidRPr="00AC1F7D" w:rsidRDefault="00AC1F7D">
      <w:pPr>
        <w:pStyle w:val="NormalWeb"/>
        <w:ind w:left="480" w:hanging="480"/>
        <w:divId w:val="1663384982"/>
        <w:rPr>
          <w:noProof/>
          <w:sz w:val="24"/>
        </w:rPr>
      </w:pPr>
      <w:r w:rsidRPr="00AC1F7D">
        <w:rPr>
          <w:noProof/>
          <w:sz w:val="24"/>
        </w:rPr>
        <w:lastRenderedPageBreak/>
        <w:t xml:space="preserve">Seok, S., &amp; DaCosta, B. (2014). Distinguishing Addiction From High Engagement: An Investigation Into the Social Lives of Adolescent and Young Adult Massively Multiplayer Online Game Players. </w:t>
      </w:r>
      <w:r w:rsidRPr="00AC1F7D">
        <w:rPr>
          <w:i/>
          <w:iCs/>
          <w:noProof/>
          <w:sz w:val="24"/>
        </w:rPr>
        <w:t>Games and Culture</w:t>
      </w:r>
      <w:r w:rsidRPr="00AC1F7D">
        <w:rPr>
          <w:noProof/>
          <w:sz w:val="24"/>
        </w:rPr>
        <w:t xml:space="preserve">, </w:t>
      </w:r>
      <w:r w:rsidRPr="00AC1F7D">
        <w:rPr>
          <w:i/>
          <w:iCs/>
          <w:noProof/>
          <w:sz w:val="24"/>
        </w:rPr>
        <w:t>9</w:t>
      </w:r>
      <w:r w:rsidRPr="00AC1F7D">
        <w:rPr>
          <w:noProof/>
          <w:sz w:val="24"/>
        </w:rPr>
        <w:t>(4), 227–254. doi:10.1177/1555412014538811</w:t>
      </w:r>
    </w:p>
    <w:p w14:paraId="407CB6E4" w14:textId="77777777" w:rsidR="00AC1F7D" w:rsidRPr="00AC1F7D" w:rsidRDefault="00AC1F7D">
      <w:pPr>
        <w:pStyle w:val="NormalWeb"/>
        <w:ind w:left="480" w:hanging="480"/>
        <w:divId w:val="1663384982"/>
        <w:rPr>
          <w:noProof/>
          <w:sz w:val="24"/>
        </w:rPr>
      </w:pPr>
      <w:r w:rsidRPr="00AC1F7D">
        <w:rPr>
          <w:noProof/>
          <w:sz w:val="24"/>
        </w:rPr>
        <w:t xml:space="preserve">Sepehr, S., &amp; Head, M. (2011). The Role of Competitiveness in the Cognitive Absorption of Video Games. </w:t>
      </w:r>
      <w:r w:rsidRPr="00AC1F7D">
        <w:rPr>
          <w:i/>
          <w:iCs/>
          <w:noProof/>
          <w:sz w:val="24"/>
        </w:rPr>
        <w:t>The 10th Pre-ICIS Annual Workshop on HCI Research in MIS</w:t>
      </w:r>
      <w:r w:rsidRPr="00AC1F7D">
        <w:rPr>
          <w:noProof/>
          <w:sz w:val="24"/>
        </w:rPr>
        <w:t>. Retrieved from http://aisel.aisnet.org/sighci2011/7/</w:t>
      </w:r>
    </w:p>
    <w:p w14:paraId="0B8128F7" w14:textId="77777777" w:rsidR="00AC1F7D" w:rsidRPr="00AC1F7D" w:rsidRDefault="00AC1F7D">
      <w:pPr>
        <w:pStyle w:val="NormalWeb"/>
        <w:ind w:left="480" w:hanging="480"/>
        <w:divId w:val="1663384982"/>
        <w:rPr>
          <w:noProof/>
          <w:sz w:val="24"/>
        </w:rPr>
      </w:pPr>
      <w:r w:rsidRPr="00AC1F7D">
        <w:rPr>
          <w:noProof/>
          <w:sz w:val="24"/>
        </w:rPr>
        <w:t xml:space="preserve">Sepehr, S., &amp; Head, M. (2012a). A Meta-Analysis of The Effect of Flow on Attitude and Intention to Use of IT Systems. In </w:t>
      </w:r>
      <w:r w:rsidRPr="00AC1F7D">
        <w:rPr>
          <w:i/>
          <w:iCs/>
          <w:noProof/>
          <w:sz w:val="24"/>
        </w:rPr>
        <w:t>Administrative Sciences Association of Canada (ASAC)</w:t>
      </w:r>
      <w:r w:rsidRPr="00AC1F7D">
        <w:rPr>
          <w:noProof/>
          <w:sz w:val="24"/>
        </w:rPr>
        <w:t>. Halifax.</w:t>
      </w:r>
    </w:p>
    <w:p w14:paraId="750D40ED" w14:textId="77777777" w:rsidR="00AC1F7D" w:rsidRPr="00AC1F7D" w:rsidRDefault="00AC1F7D">
      <w:pPr>
        <w:pStyle w:val="NormalWeb"/>
        <w:ind w:left="480" w:hanging="480"/>
        <w:divId w:val="1663384982"/>
        <w:rPr>
          <w:noProof/>
          <w:sz w:val="24"/>
        </w:rPr>
      </w:pPr>
      <w:r w:rsidRPr="00AC1F7D">
        <w:rPr>
          <w:noProof/>
          <w:sz w:val="24"/>
        </w:rPr>
        <w:t xml:space="preserve">Sepehr, S., &amp; Head, M. (2012b). Dualistic Model of Passionate Video Gameplay: Addiction or Flow? In </w:t>
      </w:r>
      <w:r w:rsidRPr="00AC1F7D">
        <w:rPr>
          <w:i/>
          <w:iCs/>
          <w:noProof/>
          <w:sz w:val="24"/>
        </w:rPr>
        <w:t>the 11th Pre-ICIS Annual Workshop on HCI Research in MIS</w:t>
      </w:r>
      <w:r w:rsidRPr="00AC1F7D">
        <w:rPr>
          <w:noProof/>
          <w:sz w:val="24"/>
        </w:rPr>
        <w:t>. Orlando, Florida, USA, December 16, 2012. Retrieved from http://aisel.aisnet.org/sighci2012/13/</w:t>
      </w:r>
    </w:p>
    <w:p w14:paraId="1880C2F4" w14:textId="77777777" w:rsidR="00AC1F7D" w:rsidRPr="00AC1F7D" w:rsidRDefault="00AC1F7D">
      <w:pPr>
        <w:pStyle w:val="NormalWeb"/>
        <w:ind w:left="480" w:hanging="480"/>
        <w:divId w:val="1663384982"/>
        <w:rPr>
          <w:noProof/>
          <w:sz w:val="24"/>
        </w:rPr>
      </w:pPr>
      <w:r w:rsidRPr="00AC1F7D">
        <w:rPr>
          <w:noProof/>
          <w:sz w:val="24"/>
        </w:rPr>
        <w:t xml:space="preserve">Sepehr, S., &amp; Head, M. (2013a). Competition as an element of gamification for learning: an exploratory longitudinal investigation. In </w:t>
      </w:r>
      <w:r w:rsidRPr="00AC1F7D">
        <w:rPr>
          <w:i/>
          <w:iCs/>
          <w:noProof/>
          <w:sz w:val="24"/>
        </w:rPr>
        <w:t>Proceedings of the First International Conference on Gameful Design, Research, and Applications</w:t>
      </w:r>
      <w:r w:rsidRPr="00AC1F7D">
        <w:rPr>
          <w:noProof/>
          <w:sz w:val="24"/>
        </w:rPr>
        <w:t xml:space="preserve"> (pp. 2–9).</w:t>
      </w:r>
    </w:p>
    <w:p w14:paraId="1EC3D20D" w14:textId="77777777" w:rsidR="00AC1F7D" w:rsidRPr="00AC1F7D" w:rsidRDefault="00AC1F7D">
      <w:pPr>
        <w:pStyle w:val="NormalWeb"/>
        <w:ind w:left="480" w:hanging="480"/>
        <w:divId w:val="1663384982"/>
        <w:rPr>
          <w:noProof/>
          <w:sz w:val="24"/>
        </w:rPr>
      </w:pPr>
      <w:r w:rsidRPr="00AC1F7D">
        <w:rPr>
          <w:noProof/>
          <w:sz w:val="24"/>
        </w:rPr>
        <w:t xml:space="preserve">Sepehr, S., &amp; Head, M. (2013b). Online Video Game Addiction: A Review and an Information Systems Research Agenda. In </w:t>
      </w:r>
      <w:r w:rsidRPr="00AC1F7D">
        <w:rPr>
          <w:i/>
          <w:iCs/>
          <w:noProof/>
          <w:sz w:val="24"/>
        </w:rPr>
        <w:t>the Nineteenth Americas Conference on Information Systems,</w:t>
      </w:r>
      <w:r w:rsidRPr="00AC1F7D">
        <w:rPr>
          <w:noProof/>
          <w:sz w:val="24"/>
        </w:rPr>
        <w:t xml:space="preserve"> (pp. 1–11). Chicago, Illinois. Retrieved from http://aisel.aisnet.org/amcis2013/HumanComputerInteraction/GeneralPresentations/3/</w:t>
      </w:r>
    </w:p>
    <w:p w14:paraId="595DF42B" w14:textId="77777777" w:rsidR="00AC1F7D" w:rsidRPr="00AC1F7D" w:rsidRDefault="00AC1F7D">
      <w:pPr>
        <w:pStyle w:val="NormalWeb"/>
        <w:ind w:left="480" w:hanging="480"/>
        <w:divId w:val="1663384982"/>
        <w:rPr>
          <w:noProof/>
          <w:sz w:val="24"/>
        </w:rPr>
      </w:pPr>
      <w:r w:rsidRPr="00AC1F7D">
        <w:rPr>
          <w:noProof/>
          <w:sz w:val="24"/>
        </w:rPr>
        <w:t xml:space="preserve">Sherry, J. L., Lucas, K., Greenberg, B. S., &amp; Lachlan, K. (2006). Video game uses and gratifications as predictors of use and game preference. </w:t>
      </w:r>
      <w:r w:rsidRPr="00AC1F7D">
        <w:rPr>
          <w:i/>
          <w:iCs/>
          <w:noProof/>
          <w:sz w:val="24"/>
        </w:rPr>
        <w:t>Playing Video Games: Motives, Responses, and Consequences</w:t>
      </w:r>
      <w:r w:rsidRPr="00AC1F7D">
        <w:rPr>
          <w:noProof/>
          <w:sz w:val="24"/>
        </w:rPr>
        <w:t>, 213–224.</w:t>
      </w:r>
    </w:p>
    <w:p w14:paraId="046CFF59" w14:textId="77777777" w:rsidR="00AC1F7D" w:rsidRPr="00AC1F7D" w:rsidRDefault="00AC1F7D">
      <w:pPr>
        <w:pStyle w:val="NormalWeb"/>
        <w:ind w:left="480" w:hanging="480"/>
        <w:divId w:val="1663384982"/>
        <w:rPr>
          <w:noProof/>
          <w:sz w:val="24"/>
        </w:rPr>
      </w:pPr>
      <w:r w:rsidRPr="00AC1F7D">
        <w:rPr>
          <w:noProof/>
          <w:sz w:val="24"/>
        </w:rPr>
        <w:t xml:space="preserve">Shin, N. (2006). Online learner’s “flow” experience: an empirical study. </w:t>
      </w:r>
      <w:r w:rsidRPr="00AC1F7D">
        <w:rPr>
          <w:i/>
          <w:iCs/>
          <w:noProof/>
          <w:sz w:val="24"/>
        </w:rPr>
        <w:t>British Journal of Educational Technology</w:t>
      </w:r>
      <w:r w:rsidRPr="00AC1F7D">
        <w:rPr>
          <w:noProof/>
          <w:sz w:val="24"/>
        </w:rPr>
        <w:t xml:space="preserve">, </w:t>
      </w:r>
      <w:r w:rsidRPr="00AC1F7D">
        <w:rPr>
          <w:i/>
          <w:iCs/>
          <w:noProof/>
          <w:sz w:val="24"/>
        </w:rPr>
        <w:t>37</w:t>
      </w:r>
      <w:r w:rsidRPr="00AC1F7D">
        <w:rPr>
          <w:noProof/>
          <w:sz w:val="24"/>
        </w:rPr>
        <w:t>(5), 705–720. doi:10.1111/j.1467-8535.2006.00641.x</w:t>
      </w:r>
    </w:p>
    <w:p w14:paraId="648CB81F" w14:textId="77777777" w:rsidR="00AC1F7D" w:rsidRPr="00AC1F7D" w:rsidRDefault="00AC1F7D">
      <w:pPr>
        <w:pStyle w:val="NormalWeb"/>
        <w:ind w:left="480" w:hanging="480"/>
        <w:divId w:val="1663384982"/>
        <w:rPr>
          <w:noProof/>
          <w:sz w:val="24"/>
        </w:rPr>
      </w:pPr>
      <w:r w:rsidRPr="00AC1F7D">
        <w:rPr>
          <w:noProof/>
          <w:sz w:val="24"/>
        </w:rPr>
        <w:t xml:space="preserve">Siekpe, J. (2005). An examination of the multidimensionality of flow construct in a computer-mediated environment. </w:t>
      </w:r>
      <w:r w:rsidRPr="00AC1F7D">
        <w:rPr>
          <w:i/>
          <w:iCs/>
          <w:noProof/>
          <w:sz w:val="24"/>
        </w:rPr>
        <w:t>Journal of Electronic Commerce Research</w:t>
      </w:r>
      <w:r w:rsidRPr="00AC1F7D">
        <w:rPr>
          <w:noProof/>
          <w:sz w:val="24"/>
        </w:rPr>
        <w:t xml:space="preserve">, </w:t>
      </w:r>
      <w:r w:rsidRPr="00AC1F7D">
        <w:rPr>
          <w:i/>
          <w:iCs/>
          <w:noProof/>
          <w:sz w:val="24"/>
        </w:rPr>
        <w:t>6</w:t>
      </w:r>
      <w:r w:rsidRPr="00AC1F7D">
        <w:rPr>
          <w:noProof/>
          <w:sz w:val="24"/>
        </w:rPr>
        <w:t>(1), 31–43. Retrieved from http://citeseerx.ist.psu.edu/viewdoc/download?doi=10.1.1.125.5308&amp;amp;rep=rep1&amp;amp;type=pdf</w:t>
      </w:r>
    </w:p>
    <w:p w14:paraId="05805F59" w14:textId="77777777" w:rsidR="00AC1F7D" w:rsidRPr="00AC1F7D" w:rsidRDefault="00AC1F7D">
      <w:pPr>
        <w:pStyle w:val="NormalWeb"/>
        <w:ind w:left="480" w:hanging="480"/>
        <w:divId w:val="1663384982"/>
        <w:rPr>
          <w:noProof/>
          <w:sz w:val="24"/>
        </w:rPr>
      </w:pPr>
      <w:r w:rsidRPr="00AC1F7D">
        <w:rPr>
          <w:noProof/>
          <w:sz w:val="24"/>
        </w:rPr>
        <w:t>Sitzmann, T. (2011). A meta</w:t>
      </w:r>
      <w:r w:rsidRPr="00AC1F7D">
        <w:rPr>
          <w:rFonts w:ascii="Myriad Pro Semibold" w:hAnsi="Myriad Pro Semibold" w:cs="Myriad Pro Semibold"/>
          <w:noProof/>
          <w:sz w:val="24"/>
        </w:rPr>
        <w:t>‐</w:t>
      </w:r>
      <w:r w:rsidRPr="00AC1F7D">
        <w:rPr>
          <w:noProof/>
          <w:sz w:val="24"/>
        </w:rPr>
        <w:t>analytic examination of the instructional effectiveness of computer</w:t>
      </w:r>
      <w:r w:rsidRPr="00AC1F7D">
        <w:rPr>
          <w:rFonts w:ascii="Myriad Pro Semibold" w:hAnsi="Myriad Pro Semibold" w:cs="Myriad Pro Semibold"/>
          <w:noProof/>
          <w:sz w:val="24"/>
        </w:rPr>
        <w:t>‐</w:t>
      </w:r>
      <w:r w:rsidRPr="00AC1F7D">
        <w:rPr>
          <w:noProof/>
          <w:sz w:val="24"/>
        </w:rPr>
        <w:t xml:space="preserve">based simulation games. </w:t>
      </w:r>
      <w:r w:rsidRPr="00AC1F7D">
        <w:rPr>
          <w:i/>
          <w:iCs/>
          <w:noProof/>
          <w:sz w:val="24"/>
        </w:rPr>
        <w:t>Personnel Psychology</w:t>
      </w:r>
      <w:r w:rsidRPr="00AC1F7D">
        <w:rPr>
          <w:noProof/>
          <w:sz w:val="24"/>
        </w:rPr>
        <w:t xml:space="preserve">, </w:t>
      </w:r>
      <w:r w:rsidRPr="00AC1F7D">
        <w:rPr>
          <w:i/>
          <w:iCs/>
          <w:noProof/>
          <w:sz w:val="24"/>
        </w:rPr>
        <w:t>64</w:t>
      </w:r>
      <w:r w:rsidRPr="00AC1F7D">
        <w:rPr>
          <w:noProof/>
          <w:sz w:val="24"/>
        </w:rPr>
        <w:t>(2), 489–528. Retrieved from http://onlinelibrary.wiley.com/doi/10.1111/j.1744-6570.2011.01190.x/full</w:t>
      </w:r>
    </w:p>
    <w:p w14:paraId="28D683E5" w14:textId="77777777" w:rsidR="00AC1F7D" w:rsidRPr="00AC1F7D" w:rsidRDefault="00AC1F7D">
      <w:pPr>
        <w:pStyle w:val="NormalWeb"/>
        <w:ind w:left="480" w:hanging="480"/>
        <w:divId w:val="1663384982"/>
        <w:rPr>
          <w:noProof/>
          <w:sz w:val="24"/>
        </w:rPr>
      </w:pPr>
      <w:r w:rsidRPr="00AC1F7D">
        <w:rPr>
          <w:noProof/>
          <w:sz w:val="24"/>
        </w:rPr>
        <w:t xml:space="preserve">Skoric, M. M., Teo, L. L. C., &amp; Neo, R. L. (2009). Children and video games: addiction, engagement, and scholastic achievement. </w:t>
      </w:r>
      <w:r w:rsidRPr="00AC1F7D">
        <w:rPr>
          <w:i/>
          <w:iCs/>
          <w:noProof/>
          <w:sz w:val="24"/>
        </w:rPr>
        <w:t>Cyberpsychology &amp; Behavior</w:t>
      </w:r>
      <w:r w:rsidRPr="00AC1F7D">
        <w:rPr>
          <w:rFonts w:ascii="Times New Roman" w:hAnsi="Times New Roman"/>
          <w:i/>
          <w:iCs/>
          <w:noProof/>
          <w:sz w:val="24"/>
        </w:rPr>
        <w:t> </w:t>
      </w:r>
      <w:r w:rsidRPr="00AC1F7D">
        <w:rPr>
          <w:i/>
          <w:iCs/>
          <w:noProof/>
          <w:sz w:val="24"/>
        </w:rPr>
        <w:t>: The Impact of the Internet, Multimedia and Virtual Reality on Behavior and Society</w:t>
      </w:r>
      <w:r w:rsidRPr="00AC1F7D">
        <w:rPr>
          <w:noProof/>
          <w:sz w:val="24"/>
        </w:rPr>
        <w:t xml:space="preserve">, </w:t>
      </w:r>
      <w:r w:rsidRPr="00AC1F7D">
        <w:rPr>
          <w:i/>
          <w:iCs/>
          <w:noProof/>
          <w:sz w:val="24"/>
        </w:rPr>
        <w:t>12</w:t>
      </w:r>
      <w:r w:rsidRPr="00AC1F7D">
        <w:rPr>
          <w:noProof/>
          <w:sz w:val="24"/>
        </w:rPr>
        <w:t>(5), 567–72. doi:10.1089/cpb.2009.0079</w:t>
      </w:r>
    </w:p>
    <w:p w14:paraId="488EA243" w14:textId="77777777" w:rsidR="00AC1F7D" w:rsidRPr="00AC1F7D" w:rsidRDefault="00AC1F7D">
      <w:pPr>
        <w:pStyle w:val="NormalWeb"/>
        <w:ind w:left="480" w:hanging="480"/>
        <w:divId w:val="1663384982"/>
        <w:rPr>
          <w:noProof/>
          <w:sz w:val="24"/>
        </w:rPr>
      </w:pPr>
      <w:r w:rsidRPr="00AC1F7D">
        <w:rPr>
          <w:noProof/>
          <w:sz w:val="24"/>
        </w:rPr>
        <w:lastRenderedPageBreak/>
        <w:t xml:space="preserve">Song, H., Kim, J., Tenzek, K. E., &amp; Lee, K. M. (2013). The effects of competition and competitiveness upon intrinsic motivation in exergames. </w:t>
      </w:r>
      <w:r w:rsidRPr="00AC1F7D">
        <w:rPr>
          <w:i/>
          <w:iCs/>
          <w:noProof/>
          <w:sz w:val="24"/>
        </w:rPr>
        <w:t>Computers in Human Behavior</w:t>
      </w:r>
      <w:r w:rsidRPr="00AC1F7D">
        <w:rPr>
          <w:noProof/>
          <w:sz w:val="24"/>
        </w:rPr>
        <w:t xml:space="preserve">, </w:t>
      </w:r>
      <w:r w:rsidRPr="00AC1F7D">
        <w:rPr>
          <w:i/>
          <w:iCs/>
          <w:noProof/>
          <w:sz w:val="24"/>
        </w:rPr>
        <w:t>29</w:t>
      </w:r>
      <w:r w:rsidRPr="00AC1F7D">
        <w:rPr>
          <w:noProof/>
          <w:sz w:val="24"/>
        </w:rPr>
        <w:t>(4), 1702–1708. doi:10.1016/j.chb.2013.01.042</w:t>
      </w:r>
    </w:p>
    <w:p w14:paraId="22F3B56A" w14:textId="77777777" w:rsidR="00AC1F7D" w:rsidRPr="00AC1F7D" w:rsidRDefault="00AC1F7D">
      <w:pPr>
        <w:pStyle w:val="NormalWeb"/>
        <w:ind w:left="480" w:hanging="480"/>
        <w:divId w:val="1663384982"/>
        <w:rPr>
          <w:noProof/>
          <w:sz w:val="24"/>
        </w:rPr>
      </w:pPr>
      <w:r w:rsidRPr="00AC1F7D">
        <w:rPr>
          <w:noProof/>
          <w:sz w:val="24"/>
        </w:rPr>
        <w:t xml:space="preserve">Spence, J., &amp; Helmreich, R. (1983). Achievement-Related Motives and Behaviors. </w:t>
      </w:r>
      <w:r w:rsidRPr="00AC1F7D">
        <w:rPr>
          <w:i/>
          <w:iCs/>
          <w:noProof/>
          <w:sz w:val="24"/>
        </w:rPr>
        <w:t>Achievement and Achievement Motives: Psychological …</w:t>
      </w:r>
      <w:r w:rsidRPr="00AC1F7D">
        <w:rPr>
          <w:noProof/>
          <w:sz w:val="24"/>
        </w:rPr>
        <w:t>. Retrieved from http://scholar.google.com/scholar?hl=en&amp;btnG=Search&amp;q=intitle:Achievement-Related+Motives+and+Behaviors#0</w:t>
      </w:r>
    </w:p>
    <w:p w14:paraId="7A836B83" w14:textId="77777777" w:rsidR="00AC1F7D" w:rsidRPr="00AC1F7D" w:rsidRDefault="00AC1F7D">
      <w:pPr>
        <w:pStyle w:val="NormalWeb"/>
        <w:ind w:left="480" w:hanging="480"/>
        <w:divId w:val="1663384982"/>
        <w:rPr>
          <w:noProof/>
          <w:sz w:val="24"/>
        </w:rPr>
      </w:pPr>
      <w:r w:rsidRPr="00AC1F7D">
        <w:rPr>
          <w:noProof/>
          <w:sz w:val="24"/>
        </w:rPr>
        <w:t xml:space="preserve">Sterman, J. (1992). Flight simulators for management education. </w:t>
      </w:r>
      <w:r w:rsidRPr="00AC1F7D">
        <w:rPr>
          <w:i/>
          <w:iCs/>
          <w:noProof/>
          <w:sz w:val="24"/>
        </w:rPr>
        <w:t>OR/MS Today</w:t>
      </w:r>
      <w:r w:rsidRPr="00AC1F7D">
        <w:rPr>
          <w:noProof/>
          <w:sz w:val="24"/>
        </w:rPr>
        <w:t>. Retrieved from http://www.uni-klu.ac.at/users/gossimit/pap/guest/beer.pdf</w:t>
      </w:r>
    </w:p>
    <w:p w14:paraId="1EC06FC9" w14:textId="77777777" w:rsidR="00AC1F7D" w:rsidRPr="00AC1F7D" w:rsidRDefault="00AC1F7D">
      <w:pPr>
        <w:pStyle w:val="NormalWeb"/>
        <w:ind w:left="480" w:hanging="480"/>
        <w:divId w:val="1663384982"/>
        <w:rPr>
          <w:noProof/>
          <w:sz w:val="24"/>
        </w:rPr>
      </w:pPr>
      <w:r w:rsidRPr="00AC1F7D">
        <w:rPr>
          <w:noProof/>
          <w:sz w:val="24"/>
        </w:rPr>
        <w:t xml:space="preserve">Stevens, J. P. (2012). </w:t>
      </w:r>
      <w:r w:rsidRPr="00AC1F7D">
        <w:rPr>
          <w:i/>
          <w:iCs/>
          <w:noProof/>
          <w:sz w:val="24"/>
        </w:rPr>
        <w:t>Applied multivariate statistics for the social sciences</w:t>
      </w:r>
      <w:r w:rsidRPr="00AC1F7D">
        <w:rPr>
          <w:noProof/>
          <w:sz w:val="24"/>
        </w:rPr>
        <w:t>. Routledge.</w:t>
      </w:r>
    </w:p>
    <w:p w14:paraId="578D3AC6" w14:textId="77777777" w:rsidR="00AC1F7D" w:rsidRPr="00AC1F7D" w:rsidRDefault="00AC1F7D">
      <w:pPr>
        <w:pStyle w:val="NormalWeb"/>
        <w:ind w:left="480" w:hanging="480"/>
        <w:divId w:val="1663384982"/>
        <w:rPr>
          <w:noProof/>
          <w:sz w:val="24"/>
        </w:rPr>
      </w:pPr>
      <w:r w:rsidRPr="00AC1F7D">
        <w:rPr>
          <w:noProof/>
          <w:sz w:val="24"/>
        </w:rPr>
        <w:t xml:space="preserve">Straub, D. W., &amp; Karahanna, E. (1998). Knowledge Worker Communications and Recipient Availability: Toward a Task Closure Explanation of Media Choice. </w:t>
      </w:r>
      <w:r w:rsidRPr="00AC1F7D">
        <w:rPr>
          <w:i/>
          <w:iCs/>
          <w:noProof/>
          <w:sz w:val="24"/>
        </w:rPr>
        <w:t>Organization Science</w:t>
      </w:r>
      <w:r w:rsidRPr="00AC1F7D">
        <w:rPr>
          <w:noProof/>
          <w:sz w:val="24"/>
        </w:rPr>
        <w:t xml:space="preserve">, </w:t>
      </w:r>
      <w:r w:rsidRPr="00AC1F7D">
        <w:rPr>
          <w:i/>
          <w:iCs/>
          <w:noProof/>
          <w:sz w:val="24"/>
        </w:rPr>
        <w:t>9</w:t>
      </w:r>
      <w:r w:rsidRPr="00AC1F7D">
        <w:rPr>
          <w:noProof/>
          <w:sz w:val="24"/>
        </w:rPr>
        <w:t>(2), 160–175. doi:10.1287/orsc.9.2.160</w:t>
      </w:r>
    </w:p>
    <w:p w14:paraId="6014A614" w14:textId="77777777" w:rsidR="00AC1F7D" w:rsidRPr="00AC1F7D" w:rsidRDefault="00AC1F7D">
      <w:pPr>
        <w:pStyle w:val="NormalWeb"/>
        <w:ind w:left="480" w:hanging="480"/>
        <w:divId w:val="1663384982"/>
        <w:rPr>
          <w:noProof/>
          <w:sz w:val="24"/>
        </w:rPr>
      </w:pPr>
      <w:r w:rsidRPr="00AC1F7D">
        <w:rPr>
          <w:noProof/>
          <w:sz w:val="24"/>
        </w:rPr>
        <w:t xml:space="preserve">Susi, T., Johannesson, M., &amp; Backlund, P. (2007). Serious games--An overview. </w:t>
      </w:r>
      <w:r w:rsidRPr="00AC1F7D">
        <w:rPr>
          <w:i/>
          <w:iCs/>
          <w:noProof/>
          <w:sz w:val="24"/>
        </w:rPr>
        <w:t>Skövde: University of Skövde (Technical Report HS-IKI-TR-07-001)</w:t>
      </w:r>
      <w:r w:rsidRPr="00AC1F7D">
        <w:rPr>
          <w:noProof/>
          <w:sz w:val="24"/>
        </w:rPr>
        <w:t>. Retrieved from http://www.autzones.com/din6000/textes/semaine12/SusiEtAl(2005).pdf</w:t>
      </w:r>
    </w:p>
    <w:p w14:paraId="1334398A" w14:textId="77777777" w:rsidR="00AC1F7D" w:rsidRPr="00AC1F7D" w:rsidRDefault="00AC1F7D">
      <w:pPr>
        <w:pStyle w:val="NormalWeb"/>
        <w:ind w:left="480" w:hanging="480"/>
        <w:divId w:val="1663384982"/>
        <w:rPr>
          <w:noProof/>
          <w:sz w:val="24"/>
        </w:rPr>
      </w:pPr>
      <w:r w:rsidRPr="00AC1F7D">
        <w:rPr>
          <w:noProof/>
          <w:sz w:val="24"/>
        </w:rPr>
        <w:t xml:space="preserve">Sweetser, P., &amp; Wyeth, P. (2005). GameFlow: a model for evaluating player enjoyment in games. </w:t>
      </w:r>
      <w:r w:rsidRPr="00AC1F7D">
        <w:rPr>
          <w:i/>
          <w:iCs/>
          <w:noProof/>
          <w:sz w:val="24"/>
        </w:rPr>
        <w:t>Computers in Entertainment (CIE)</w:t>
      </w:r>
      <w:r w:rsidRPr="00AC1F7D">
        <w:rPr>
          <w:noProof/>
          <w:sz w:val="24"/>
        </w:rPr>
        <w:t xml:space="preserve">, </w:t>
      </w:r>
      <w:r w:rsidRPr="00AC1F7D">
        <w:rPr>
          <w:i/>
          <w:iCs/>
          <w:noProof/>
          <w:sz w:val="24"/>
        </w:rPr>
        <w:t>3</w:t>
      </w:r>
      <w:r w:rsidRPr="00AC1F7D">
        <w:rPr>
          <w:noProof/>
          <w:sz w:val="24"/>
        </w:rPr>
        <w:t>(3), 1–24. Retrieved from http://dl.acm.org/citation.cfm?id=1077246.1077253</w:t>
      </w:r>
    </w:p>
    <w:p w14:paraId="559028AA" w14:textId="77777777" w:rsidR="00AC1F7D" w:rsidRPr="00AC1F7D" w:rsidRDefault="00AC1F7D">
      <w:pPr>
        <w:pStyle w:val="NormalWeb"/>
        <w:ind w:left="480" w:hanging="480"/>
        <w:divId w:val="1663384982"/>
        <w:rPr>
          <w:noProof/>
          <w:sz w:val="24"/>
        </w:rPr>
      </w:pPr>
      <w:r w:rsidRPr="00AC1F7D">
        <w:rPr>
          <w:noProof/>
          <w:sz w:val="24"/>
        </w:rPr>
        <w:t>Tabachnick, B., &amp; Fidell, L. (2001). Using multivariate statistics. Retrieved from http://www.ulb.tu-darmstadt.de/tocs/135813948.pdf</w:t>
      </w:r>
    </w:p>
    <w:p w14:paraId="1674F12E" w14:textId="77777777" w:rsidR="00AC1F7D" w:rsidRPr="00AC1F7D" w:rsidRDefault="00AC1F7D">
      <w:pPr>
        <w:pStyle w:val="NormalWeb"/>
        <w:ind w:left="480" w:hanging="480"/>
        <w:divId w:val="1663384982"/>
        <w:rPr>
          <w:noProof/>
          <w:sz w:val="24"/>
        </w:rPr>
      </w:pPr>
      <w:r w:rsidRPr="00AC1F7D">
        <w:rPr>
          <w:noProof/>
          <w:sz w:val="24"/>
        </w:rPr>
        <w:t xml:space="preserve">Tauer, J. M., &amp; Harackiewicz, J. M. (1999). Winning Isn’t Everything: Competition, Achievement Orientation, and Intrinsic Motivation•. </w:t>
      </w:r>
      <w:r w:rsidRPr="00AC1F7D">
        <w:rPr>
          <w:i/>
          <w:iCs/>
          <w:noProof/>
          <w:sz w:val="24"/>
        </w:rPr>
        <w:t>Journal of Experimental Social Psychology</w:t>
      </w:r>
      <w:r w:rsidRPr="00AC1F7D">
        <w:rPr>
          <w:noProof/>
          <w:sz w:val="24"/>
        </w:rPr>
        <w:t xml:space="preserve">, </w:t>
      </w:r>
      <w:r w:rsidRPr="00AC1F7D">
        <w:rPr>
          <w:i/>
          <w:iCs/>
          <w:noProof/>
          <w:sz w:val="24"/>
        </w:rPr>
        <w:t>35</w:t>
      </w:r>
      <w:r w:rsidRPr="00AC1F7D">
        <w:rPr>
          <w:noProof/>
          <w:sz w:val="24"/>
        </w:rPr>
        <w:t>(3), 209–238. Retrieved from http://www.sciencedirect.com/science/article/pii/S0022103199913835</w:t>
      </w:r>
    </w:p>
    <w:p w14:paraId="1F552903" w14:textId="77777777" w:rsidR="00AC1F7D" w:rsidRPr="00AC1F7D" w:rsidRDefault="00AC1F7D">
      <w:pPr>
        <w:pStyle w:val="NormalWeb"/>
        <w:ind w:left="480" w:hanging="480"/>
        <w:divId w:val="1663384982"/>
        <w:rPr>
          <w:noProof/>
          <w:sz w:val="24"/>
        </w:rPr>
      </w:pPr>
      <w:r w:rsidRPr="00AC1F7D">
        <w:rPr>
          <w:noProof/>
          <w:sz w:val="24"/>
        </w:rPr>
        <w:t xml:space="preserve">Tauer, J. M., &amp; Harackiewicz, J. M. (2004). The effects of cooperation and competition on intrinsic motivation and performance. </w:t>
      </w:r>
      <w:r w:rsidRPr="00AC1F7D">
        <w:rPr>
          <w:i/>
          <w:iCs/>
          <w:noProof/>
          <w:sz w:val="24"/>
        </w:rPr>
        <w:t>Journal of Personality and Social Psychology</w:t>
      </w:r>
      <w:r w:rsidRPr="00AC1F7D">
        <w:rPr>
          <w:noProof/>
          <w:sz w:val="24"/>
        </w:rPr>
        <w:t xml:space="preserve">, </w:t>
      </w:r>
      <w:r w:rsidRPr="00AC1F7D">
        <w:rPr>
          <w:i/>
          <w:iCs/>
          <w:noProof/>
          <w:sz w:val="24"/>
        </w:rPr>
        <w:t>86</w:t>
      </w:r>
      <w:r w:rsidRPr="00AC1F7D">
        <w:rPr>
          <w:noProof/>
          <w:sz w:val="24"/>
        </w:rPr>
        <w:t>(6), 849–61. doi:10.1037/0022-3514.86.6.849</w:t>
      </w:r>
    </w:p>
    <w:p w14:paraId="21130D84" w14:textId="77777777" w:rsidR="00AC1F7D" w:rsidRPr="00AC1F7D" w:rsidRDefault="00AC1F7D">
      <w:pPr>
        <w:pStyle w:val="NormalWeb"/>
        <w:ind w:left="480" w:hanging="480"/>
        <w:divId w:val="1663384982"/>
        <w:rPr>
          <w:noProof/>
          <w:sz w:val="24"/>
        </w:rPr>
      </w:pPr>
      <w:r w:rsidRPr="00AC1F7D">
        <w:rPr>
          <w:noProof/>
          <w:sz w:val="24"/>
        </w:rPr>
        <w:t xml:space="preserve">Titz, K., Andrus, D., Miller, J., &amp; others. (2001). Hedonistic differences between mechanical game players and table game players: an exploratory investigation on the road to a comprehensive theory for gambling. </w:t>
      </w:r>
      <w:r w:rsidRPr="00AC1F7D">
        <w:rPr>
          <w:i/>
          <w:iCs/>
          <w:noProof/>
          <w:sz w:val="24"/>
        </w:rPr>
        <w:t>UNLV Gaming Research &amp; Review Journal</w:t>
      </w:r>
      <w:r w:rsidRPr="00AC1F7D">
        <w:rPr>
          <w:noProof/>
          <w:sz w:val="24"/>
        </w:rPr>
        <w:t xml:space="preserve">, </w:t>
      </w:r>
      <w:r w:rsidRPr="00AC1F7D">
        <w:rPr>
          <w:i/>
          <w:iCs/>
          <w:noProof/>
          <w:sz w:val="24"/>
        </w:rPr>
        <w:t>6</w:t>
      </w:r>
      <w:r w:rsidRPr="00AC1F7D">
        <w:rPr>
          <w:noProof/>
          <w:sz w:val="24"/>
        </w:rPr>
        <w:t>(1), 23–32. Retrieved from http://www.cabdirect.org/abstracts/20023161454.html</w:t>
      </w:r>
    </w:p>
    <w:p w14:paraId="72FA47FB" w14:textId="77777777" w:rsidR="00AC1F7D" w:rsidRPr="00AC1F7D" w:rsidRDefault="00AC1F7D">
      <w:pPr>
        <w:pStyle w:val="NormalWeb"/>
        <w:ind w:left="480" w:hanging="480"/>
        <w:divId w:val="1663384982"/>
        <w:rPr>
          <w:noProof/>
          <w:sz w:val="24"/>
        </w:rPr>
      </w:pPr>
      <w:r w:rsidRPr="00AC1F7D">
        <w:rPr>
          <w:noProof/>
          <w:sz w:val="24"/>
        </w:rPr>
        <w:t xml:space="preserve">Turel, O., Serenko, A., &amp; Giles, P. (2011). Integrating Technology Addiction and Use: An Empirical Investigation of Online Auction Websites. </w:t>
      </w:r>
      <w:r w:rsidRPr="00AC1F7D">
        <w:rPr>
          <w:i/>
          <w:iCs/>
          <w:noProof/>
          <w:sz w:val="24"/>
        </w:rPr>
        <w:t>MIS Quarterly</w:t>
      </w:r>
      <w:r w:rsidRPr="00AC1F7D">
        <w:rPr>
          <w:noProof/>
          <w:sz w:val="24"/>
        </w:rPr>
        <w:t>. Retrieved from http://aisel.aisnet.org/amcis2009/395/</w:t>
      </w:r>
    </w:p>
    <w:p w14:paraId="06A86FE2" w14:textId="77777777" w:rsidR="00AC1F7D" w:rsidRPr="00AC1F7D" w:rsidRDefault="00AC1F7D">
      <w:pPr>
        <w:pStyle w:val="NormalWeb"/>
        <w:ind w:left="480" w:hanging="480"/>
        <w:divId w:val="1663384982"/>
        <w:rPr>
          <w:noProof/>
          <w:sz w:val="24"/>
        </w:rPr>
      </w:pPr>
      <w:r w:rsidRPr="00AC1F7D">
        <w:rPr>
          <w:noProof/>
          <w:sz w:val="24"/>
        </w:rPr>
        <w:lastRenderedPageBreak/>
        <w:t xml:space="preserve">Twenge, J. M. (2006). </w:t>
      </w:r>
      <w:r w:rsidRPr="00AC1F7D">
        <w:rPr>
          <w:i/>
          <w:iCs/>
          <w:noProof/>
          <w:sz w:val="24"/>
        </w:rPr>
        <w:t>Generation me: Why today’s young Americans are more confident, assertive, entitled--and more miserable than ever before</w:t>
      </w:r>
      <w:r w:rsidRPr="00AC1F7D">
        <w:rPr>
          <w:noProof/>
          <w:sz w:val="24"/>
        </w:rPr>
        <w:t>. (Simon and Schuster, Ed.). Free Press.</w:t>
      </w:r>
    </w:p>
    <w:p w14:paraId="06D8E2C8" w14:textId="77777777" w:rsidR="00AC1F7D" w:rsidRPr="00AC1F7D" w:rsidRDefault="00AC1F7D">
      <w:pPr>
        <w:pStyle w:val="NormalWeb"/>
        <w:ind w:left="480" w:hanging="480"/>
        <w:divId w:val="1663384982"/>
        <w:rPr>
          <w:noProof/>
          <w:sz w:val="24"/>
        </w:rPr>
      </w:pPr>
      <w:r w:rsidRPr="00AC1F7D">
        <w:rPr>
          <w:noProof/>
          <w:sz w:val="24"/>
        </w:rPr>
        <w:t xml:space="preserve">Twenge, J. M., Campbell, W. K., &amp; Freeman, E. C. (2012). Generational differences in young adults’ life goals, concern for others, and civic orientation, 1966-2009. </w:t>
      </w:r>
      <w:r w:rsidRPr="00AC1F7D">
        <w:rPr>
          <w:i/>
          <w:iCs/>
          <w:noProof/>
          <w:sz w:val="24"/>
        </w:rPr>
        <w:t>Journal of Personality and Social Psychology</w:t>
      </w:r>
      <w:r w:rsidRPr="00AC1F7D">
        <w:rPr>
          <w:noProof/>
          <w:sz w:val="24"/>
        </w:rPr>
        <w:t xml:space="preserve">, </w:t>
      </w:r>
      <w:r w:rsidRPr="00AC1F7D">
        <w:rPr>
          <w:i/>
          <w:iCs/>
          <w:noProof/>
          <w:sz w:val="24"/>
        </w:rPr>
        <w:t>102</w:t>
      </w:r>
      <w:r w:rsidRPr="00AC1F7D">
        <w:rPr>
          <w:noProof/>
          <w:sz w:val="24"/>
        </w:rPr>
        <w:t>(5), 1045–62. doi:10.1037/a0027408</w:t>
      </w:r>
    </w:p>
    <w:p w14:paraId="4980D68B" w14:textId="77777777" w:rsidR="00AC1F7D" w:rsidRPr="00AC1F7D" w:rsidRDefault="00AC1F7D">
      <w:pPr>
        <w:pStyle w:val="NormalWeb"/>
        <w:ind w:left="480" w:hanging="480"/>
        <w:divId w:val="1663384982"/>
        <w:rPr>
          <w:noProof/>
          <w:sz w:val="24"/>
        </w:rPr>
      </w:pPr>
      <w:r w:rsidRPr="00AC1F7D">
        <w:rPr>
          <w:noProof/>
          <w:sz w:val="24"/>
        </w:rPr>
        <w:t xml:space="preserve">Udvari, S., &amp; Schneider, B. (2000). Competition and the adjustment of gifted children: A matter of motivation. </w:t>
      </w:r>
      <w:r w:rsidRPr="00AC1F7D">
        <w:rPr>
          <w:i/>
          <w:iCs/>
          <w:noProof/>
          <w:sz w:val="24"/>
        </w:rPr>
        <w:t>Roeper Review</w:t>
      </w:r>
      <w:r w:rsidRPr="00AC1F7D">
        <w:rPr>
          <w:noProof/>
          <w:sz w:val="24"/>
        </w:rPr>
        <w:t xml:space="preserve">, </w:t>
      </w:r>
      <w:r w:rsidRPr="00AC1F7D">
        <w:rPr>
          <w:i/>
          <w:iCs/>
          <w:noProof/>
          <w:sz w:val="24"/>
        </w:rPr>
        <w:t>22</w:t>
      </w:r>
      <w:r w:rsidRPr="00AC1F7D">
        <w:rPr>
          <w:noProof/>
          <w:sz w:val="24"/>
        </w:rPr>
        <w:t>(4), 212–216. doi:10.1080/02783190009554040</w:t>
      </w:r>
    </w:p>
    <w:p w14:paraId="6EB35BB3" w14:textId="77777777" w:rsidR="00AC1F7D" w:rsidRPr="00AC1F7D" w:rsidRDefault="00AC1F7D">
      <w:pPr>
        <w:pStyle w:val="NormalWeb"/>
        <w:ind w:left="480" w:hanging="480"/>
        <w:divId w:val="1663384982"/>
        <w:rPr>
          <w:noProof/>
          <w:sz w:val="24"/>
        </w:rPr>
      </w:pPr>
      <w:r w:rsidRPr="00AC1F7D">
        <w:rPr>
          <w:noProof/>
          <w:sz w:val="24"/>
        </w:rPr>
        <w:t xml:space="preserve">Vallerand, R. J., Gauvin, L. I., &amp; Halliwell, W. R. (1986a). Effects of zero-sum competition on children’s intrinsic motivation and perceived competence. </w:t>
      </w:r>
      <w:r w:rsidRPr="00AC1F7D">
        <w:rPr>
          <w:i/>
          <w:iCs/>
          <w:noProof/>
          <w:sz w:val="24"/>
        </w:rPr>
        <w:t>The Journal of Social Psychology</w:t>
      </w:r>
      <w:r w:rsidRPr="00AC1F7D">
        <w:rPr>
          <w:noProof/>
          <w:sz w:val="24"/>
        </w:rPr>
        <w:t xml:space="preserve">, </w:t>
      </w:r>
      <w:r w:rsidRPr="00AC1F7D">
        <w:rPr>
          <w:i/>
          <w:iCs/>
          <w:noProof/>
          <w:sz w:val="24"/>
        </w:rPr>
        <w:t>126</w:t>
      </w:r>
      <w:r w:rsidRPr="00AC1F7D">
        <w:rPr>
          <w:noProof/>
          <w:sz w:val="24"/>
        </w:rPr>
        <w:t>(4), 465–472. Retrieved from http://www.tandfonline.com/doi/abs/10.1080/00224545.1986.9713614</w:t>
      </w:r>
    </w:p>
    <w:p w14:paraId="71D1CD9F" w14:textId="77777777" w:rsidR="00AC1F7D" w:rsidRPr="00AC1F7D" w:rsidRDefault="00AC1F7D">
      <w:pPr>
        <w:pStyle w:val="NormalWeb"/>
        <w:ind w:left="480" w:hanging="480"/>
        <w:divId w:val="1663384982"/>
        <w:rPr>
          <w:noProof/>
          <w:sz w:val="24"/>
        </w:rPr>
      </w:pPr>
      <w:r w:rsidRPr="00AC1F7D">
        <w:rPr>
          <w:noProof/>
          <w:sz w:val="24"/>
        </w:rPr>
        <w:t xml:space="preserve">Vallerand, R. J., Gauvin, L. I., &amp; Halliwell, W. R. (1986b). Negative Elfects of Competition on Children’s Intrinsic Motivation. </w:t>
      </w:r>
      <w:r w:rsidRPr="00AC1F7D">
        <w:rPr>
          <w:i/>
          <w:iCs/>
          <w:noProof/>
          <w:sz w:val="24"/>
        </w:rPr>
        <w:t>Social Psychology</w:t>
      </w:r>
      <w:r w:rsidRPr="00AC1F7D">
        <w:rPr>
          <w:noProof/>
          <w:sz w:val="24"/>
        </w:rPr>
        <w:t>.</w:t>
      </w:r>
    </w:p>
    <w:p w14:paraId="18CA46AC" w14:textId="77777777" w:rsidR="00AC1F7D" w:rsidRPr="00AC1F7D" w:rsidRDefault="00AC1F7D">
      <w:pPr>
        <w:pStyle w:val="NormalWeb"/>
        <w:ind w:left="480" w:hanging="480"/>
        <w:divId w:val="1663384982"/>
        <w:rPr>
          <w:noProof/>
          <w:sz w:val="24"/>
        </w:rPr>
      </w:pPr>
      <w:r w:rsidRPr="00AC1F7D">
        <w:rPr>
          <w:noProof/>
          <w:sz w:val="24"/>
        </w:rPr>
        <w:t xml:space="preserve">Vallerand, R. J., &amp; Losier, G. F. (1999). An integrative analysis of intrinsic and extrinsic motivation in sport. </w:t>
      </w:r>
      <w:r w:rsidRPr="00AC1F7D">
        <w:rPr>
          <w:i/>
          <w:iCs/>
          <w:noProof/>
          <w:sz w:val="24"/>
        </w:rPr>
        <w:t>Journal of Applied Sport Psychology</w:t>
      </w:r>
      <w:r w:rsidRPr="00AC1F7D">
        <w:rPr>
          <w:noProof/>
          <w:sz w:val="24"/>
        </w:rPr>
        <w:t xml:space="preserve">, </w:t>
      </w:r>
      <w:r w:rsidRPr="00AC1F7D">
        <w:rPr>
          <w:i/>
          <w:iCs/>
          <w:noProof/>
          <w:sz w:val="24"/>
        </w:rPr>
        <w:t>11</w:t>
      </w:r>
      <w:r w:rsidRPr="00AC1F7D">
        <w:rPr>
          <w:noProof/>
          <w:sz w:val="24"/>
        </w:rPr>
        <w:t>(1), 142–169. Retrieved from http://www.tandfonline.com/doi/abs/10.1080/10413209908402956</w:t>
      </w:r>
    </w:p>
    <w:p w14:paraId="2305FC58" w14:textId="77777777" w:rsidR="00AC1F7D" w:rsidRPr="00AC1F7D" w:rsidRDefault="00AC1F7D">
      <w:pPr>
        <w:pStyle w:val="NormalWeb"/>
        <w:ind w:left="480" w:hanging="480"/>
        <w:divId w:val="1663384982"/>
        <w:rPr>
          <w:noProof/>
          <w:sz w:val="24"/>
        </w:rPr>
      </w:pPr>
      <w:r w:rsidRPr="00AC1F7D">
        <w:rPr>
          <w:noProof/>
          <w:sz w:val="24"/>
        </w:rPr>
        <w:t xml:space="preserve">Van der Heijden, H. (2004). User Acceptance of Hedonic Information Systems. </w:t>
      </w:r>
      <w:r w:rsidRPr="00AC1F7D">
        <w:rPr>
          <w:i/>
          <w:iCs/>
          <w:noProof/>
          <w:sz w:val="24"/>
        </w:rPr>
        <w:t>MIS Quarterly</w:t>
      </w:r>
      <w:r w:rsidRPr="00AC1F7D">
        <w:rPr>
          <w:noProof/>
          <w:sz w:val="24"/>
        </w:rPr>
        <w:t xml:space="preserve">, </w:t>
      </w:r>
      <w:r w:rsidRPr="00AC1F7D">
        <w:rPr>
          <w:i/>
          <w:iCs/>
          <w:noProof/>
          <w:sz w:val="24"/>
        </w:rPr>
        <w:t>28</w:t>
      </w:r>
      <w:r w:rsidRPr="00AC1F7D">
        <w:rPr>
          <w:noProof/>
          <w:sz w:val="24"/>
        </w:rPr>
        <w:t>(4), 695–704. Retrieved from http://www.jstor.org/stable/25148660</w:t>
      </w:r>
    </w:p>
    <w:p w14:paraId="37AE76DD" w14:textId="77777777" w:rsidR="00AC1F7D" w:rsidRPr="00AC1F7D" w:rsidRDefault="00AC1F7D">
      <w:pPr>
        <w:pStyle w:val="NormalWeb"/>
        <w:ind w:left="480" w:hanging="480"/>
        <w:divId w:val="1663384982"/>
        <w:rPr>
          <w:noProof/>
          <w:sz w:val="24"/>
        </w:rPr>
      </w:pPr>
      <w:r w:rsidRPr="00AC1F7D">
        <w:rPr>
          <w:noProof/>
          <w:sz w:val="24"/>
        </w:rPr>
        <w:t xml:space="preserve">Van der Zee, D.-J., Holkenborg, B., &amp; Robinson, S. (2012). Conceptual modeling for simulation-based serious gaming. </w:t>
      </w:r>
      <w:r w:rsidRPr="00AC1F7D">
        <w:rPr>
          <w:i/>
          <w:iCs/>
          <w:noProof/>
          <w:sz w:val="24"/>
        </w:rPr>
        <w:t>Decision Support Systems</w:t>
      </w:r>
      <w:r w:rsidRPr="00AC1F7D">
        <w:rPr>
          <w:noProof/>
          <w:sz w:val="24"/>
        </w:rPr>
        <w:t>. doi:10.1016/j.dss.2012.03.006</w:t>
      </w:r>
    </w:p>
    <w:p w14:paraId="3B12CD49" w14:textId="77777777" w:rsidR="00AC1F7D" w:rsidRPr="00AC1F7D" w:rsidRDefault="00AC1F7D">
      <w:pPr>
        <w:pStyle w:val="NormalWeb"/>
        <w:ind w:left="480" w:hanging="480"/>
        <w:divId w:val="1663384982"/>
        <w:rPr>
          <w:noProof/>
          <w:sz w:val="24"/>
        </w:rPr>
      </w:pPr>
      <w:r w:rsidRPr="00AC1F7D">
        <w:rPr>
          <w:noProof/>
          <w:sz w:val="24"/>
        </w:rPr>
        <w:t xml:space="preserve">Van Eck, R. (2006). Digital game-based learning: It’s not just the digital natives who are restless. </w:t>
      </w:r>
      <w:r w:rsidRPr="00AC1F7D">
        <w:rPr>
          <w:i/>
          <w:iCs/>
          <w:noProof/>
          <w:sz w:val="24"/>
        </w:rPr>
        <w:t>EDUCAUSE Review</w:t>
      </w:r>
      <w:r w:rsidRPr="00AC1F7D">
        <w:rPr>
          <w:noProof/>
          <w:sz w:val="24"/>
        </w:rPr>
        <w:t xml:space="preserve">, </w:t>
      </w:r>
      <w:r w:rsidRPr="00AC1F7D">
        <w:rPr>
          <w:i/>
          <w:iCs/>
          <w:noProof/>
          <w:sz w:val="24"/>
        </w:rPr>
        <w:t>41</w:t>
      </w:r>
      <w:r w:rsidRPr="00AC1F7D">
        <w:rPr>
          <w:noProof/>
          <w:sz w:val="24"/>
        </w:rPr>
        <w:t>(2), 16. Retrieved from http://dl.acm.org/citation.cfm?id=950596</w:t>
      </w:r>
    </w:p>
    <w:p w14:paraId="5B5A2A8E" w14:textId="77777777" w:rsidR="00AC1F7D" w:rsidRPr="00AC1F7D" w:rsidRDefault="00AC1F7D">
      <w:pPr>
        <w:pStyle w:val="NormalWeb"/>
        <w:ind w:left="480" w:hanging="480"/>
        <w:divId w:val="1663384982"/>
        <w:rPr>
          <w:noProof/>
          <w:sz w:val="24"/>
        </w:rPr>
      </w:pPr>
      <w:r w:rsidRPr="00AC1F7D">
        <w:rPr>
          <w:noProof/>
          <w:sz w:val="24"/>
        </w:rPr>
        <w:t xml:space="preserve">Vansteenkiste, M., &amp; Deci, E. L. (2003). Competitively contingent rewards and intrinsic motivation: Can losers remain motivated? </w:t>
      </w:r>
      <w:r w:rsidRPr="00AC1F7D">
        <w:rPr>
          <w:i/>
          <w:iCs/>
          <w:noProof/>
          <w:sz w:val="24"/>
        </w:rPr>
        <w:t>Motivation and Emotion</w:t>
      </w:r>
      <w:r w:rsidRPr="00AC1F7D">
        <w:rPr>
          <w:noProof/>
          <w:sz w:val="24"/>
        </w:rPr>
        <w:t xml:space="preserve">, </w:t>
      </w:r>
      <w:r w:rsidRPr="00AC1F7D">
        <w:rPr>
          <w:i/>
          <w:iCs/>
          <w:noProof/>
          <w:sz w:val="24"/>
        </w:rPr>
        <w:t>27</w:t>
      </w:r>
      <w:r w:rsidRPr="00AC1F7D">
        <w:rPr>
          <w:noProof/>
          <w:sz w:val="24"/>
        </w:rPr>
        <w:t>(4), 273–299. Retrieved from http://link.springer.com/article/10.1023/A:1026259005264</w:t>
      </w:r>
    </w:p>
    <w:p w14:paraId="2D1F7CE7" w14:textId="77777777" w:rsidR="00AC1F7D" w:rsidRPr="00AC1F7D" w:rsidRDefault="00AC1F7D">
      <w:pPr>
        <w:pStyle w:val="NormalWeb"/>
        <w:ind w:left="480" w:hanging="480"/>
        <w:divId w:val="1663384982"/>
        <w:rPr>
          <w:noProof/>
          <w:sz w:val="24"/>
        </w:rPr>
      </w:pPr>
      <w:r w:rsidRPr="00AC1F7D">
        <w:rPr>
          <w:noProof/>
          <w:sz w:val="24"/>
        </w:rPr>
        <w:t xml:space="preserve">Vorderer, P., Hartmann, T., &amp; Klimmt, C. (2003a). Explaining the enjoyment of playing video games: the role of competition. In </w:t>
      </w:r>
      <w:r w:rsidRPr="00AC1F7D">
        <w:rPr>
          <w:i/>
          <w:iCs/>
          <w:noProof/>
          <w:sz w:val="24"/>
        </w:rPr>
        <w:t>Proceedings of the second international conference on Entertainment computing</w:t>
      </w:r>
      <w:r w:rsidRPr="00AC1F7D">
        <w:rPr>
          <w:noProof/>
          <w:sz w:val="24"/>
        </w:rPr>
        <w:t xml:space="preserve"> (pp. 1–9).</w:t>
      </w:r>
    </w:p>
    <w:p w14:paraId="2C07724D" w14:textId="77777777" w:rsidR="00AC1F7D" w:rsidRPr="00AC1F7D" w:rsidRDefault="00AC1F7D">
      <w:pPr>
        <w:pStyle w:val="NormalWeb"/>
        <w:ind w:left="480" w:hanging="480"/>
        <w:divId w:val="1663384982"/>
        <w:rPr>
          <w:noProof/>
          <w:sz w:val="24"/>
        </w:rPr>
      </w:pPr>
      <w:r w:rsidRPr="00AC1F7D">
        <w:rPr>
          <w:noProof/>
          <w:sz w:val="24"/>
        </w:rPr>
        <w:t xml:space="preserve">Vorderer, P., Hartmann, T., &amp; Klimmt, C. (2003b). Proceedings of the second international conference on Entertainment computing. </w:t>
      </w:r>
      <w:r w:rsidRPr="00AC1F7D">
        <w:rPr>
          <w:i/>
          <w:iCs/>
          <w:noProof/>
          <w:sz w:val="24"/>
        </w:rPr>
        <w:t>Proceedings of the Second International Conference on Entertainment Computing</w:t>
      </w:r>
      <w:r w:rsidRPr="00AC1F7D">
        <w:rPr>
          <w:noProof/>
          <w:sz w:val="24"/>
        </w:rPr>
        <w:t>, 1–9. Retrieved from http://dl.acm.org/citation.cfm?id=958735</w:t>
      </w:r>
    </w:p>
    <w:p w14:paraId="34B8B948" w14:textId="77777777" w:rsidR="00AC1F7D" w:rsidRPr="00AC1F7D" w:rsidRDefault="00AC1F7D">
      <w:pPr>
        <w:pStyle w:val="NormalWeb"/>
        <w:ind w:left="480" w:hanging="480"/>
        <w:divId w:val="1663384982"/>
        <w:rPr>
          <w:noProof/>
          <w:sz w:val="24"/>
        </w:rPr>
      </w:pPr>
      <w:r w:rsidRPr="00AC1F7D">
        <w:rPr>
          <w:noProof/>
          <w:sz w:val="24"/>
        </w:rPr>
        <w:lastRenderedPageBreak/>
        <w:t xml:space="preserve">Vorderer, P., Klimmt, C., &amp; Ritterfeld, U. (2004). Enjoyment: At the Heart of Media Entertainment. </w:t>
      </w:r>
      <w:r w:rsidRPr="00AC1F7D">
        <w:rPr>
          <w:i/>
          <w:iCs/>
          <w:noProof/>
          <w:sz w:val="24"/>
        </w:rPr>
        <w:t>Communication Theory</w:t>
      </w:r>
      <w:r w:rsidRPr="00AC1F7D">
        <w:rPr>
          <w:noProof/>
          <w:sz w:val="24"/>
        </w:rPr>
        <w:t xml:space="preserve">, </w:t>
      </w:r>
      <w:r w:rsidRPr="00AC1F7D">
        <w:rPr>
          <w:i/>
          <w:iCs/>
          <w:noProof/>
          <w:sz w:val="24"/>
        </w:rPr>
        <w:t>14</w:t>
      </w:r>
      <w:r w:rsidRPr="00AC1F7D">
        <w:rPr>
          <w:noProof/>
          <w:sz w:val="24"/>
        </w:rPr>
        <w:t>(4), 388–408. doi:10.1111/j.1468-2885.2004.tb00321.x</w:t>
      </w:r>
    </w:p>
    <w:p w14:paraId="2DA8D9AC" w14:textId="77777777" w:rsidR="00AC1F7D" w:rsidRPr="00AC1F7D" w:rsidRDefault="00AC1F7D">
      <w:pPr>
        <w:pStyle w:val="NormalWeb"/>
        <w:ind w:left="480" w:hanging="480"/>
        <w:divId w:val="1663384982"/>
        <w:rPr>
          <w:noProof/>
          <w:sz w:val="24"/>
        </w:rPr>
      </w:pPr>
      <w:r w:rsidRPr="00AC1F7D">
        <w:rPr>
          <w:noProof/>
          <w:sz w:val="24"/>
        </w:rPr>
        <w:t>Vygotsky, L. S. (1978). Mind and society: The development of higher mental processes. Cambridge, MA: Harvard University Press.</w:t>
      </w:r>
    </w:p>
    <w:p w14:paraId="41B35F25" w14:textId="77777777" w:rsidR="00AC1F7D" w:rsidRPr="00AC1F7D" w:rsidRDefault="00AC1F7D">
      <w:pPr>
        <w:pStyle w:val="NormalWeb"/>
        <w:ind w:left="480" w:hanging="480"/>
        <w:divId w:val="1663384982"/>
        <w:rPr>
          <w:noProof/>
          <w:sz w:val="24"/>
        </w:rPr>
      </w:pPr>
      <w:r w:rsidRPr="00AC1F7D">
        <w:rPr>
          <w:noProof/>
          <w:sz w:val="24"/>
        </w:rPr>
        <w:t xml:space="preserve">Wakefield, R. L., &amp; Whitten, D. (2006). Mobile computing: a user study on hedonic/utilitarian mobile device usage. </w:t>
      </w:r>
      <w:r w:rsidRPr="00AC1F7D">
        <w:rPr>
          <w:i/>
          <w:iCs/>
          <w:noProof/>
          <w:sz w:val="24"/>
        </w:rPr>
        <w:t>European Journal of Information Systems</w:t>
      </w:r>
      <w:r w:rsidRPr="00AC1F7D">
        <w:rPr>
          <w:noProof/>
          <w:sz w:val="24"/>
        </w:rPr>
        <w:t xml:space="preserve">, </w:t>
      </w:r>
      <w:r w:rsidRPr="00AC1F7D">
        <w:rPr>
          <w:i/>
          <w:iCs/>
          <w:noProof/>
          <w:sz w:val="24"/>
        </w:rPr>
        <w:t>15</w:t>
      </w:r>
      <w:r w:rsidRPr="00AC1F7D">
        <w:rPr>
          <w:noProof/>
          <w:sz w:val="24"/>
        </w:rPr>
        <w:t>(3), 292–300. doi:10.1057/palgrave.ejis.3000619</w:t>
      </w:r>
    </w:p>
    <w:p w14:paraId="1955E91B" w14:textId="77777777" w:rsidR="00AC1F7D" w:rsidRPr="00AC1F7D" w:rsidRDefault="00AC1F7D">
      <w:pPr>
        <w:pStyle w:val="NormalWeb"/>
        <w:ind w:left="480" w:hanging="480"/>
        <w:divId w:val="1663384982"/>
        <w:rPr>
          <w:noProof/>
          <w:sz w:val="24"/>
        </w:rPr>
      </w:pPr>
      <w:r w:rsidRPr="00AC1F7D">
        <w:rPr>
          <w:noProof/>
          <w:sz w:val="24"/>
        </w:rPr>
        <w:t xml:space="preserve">Webster, J., &amp; Ho, H. (1997). Audience engagement in multimedia presentations. </w:t>
      </w:r>
      <w:r w:rsidRPr="00AC1F7D">
        <w:rPr>
          <w:i/>
          <w:iCs/>
          <w:noProof/>
          <w:sz w:val="24"/>
        </w:rPr>
        <w:t>ACM SIGMIS Database</w:t>
      </w:r>
      <w:r w:rsidRPr="00AC1F7D">
        <w:rPr>
          <w:noProof/>
          <w:sz w:val="24"/>
        </w:rPr>
        <w:t xml:space="preserve">, </w:t>
      </w:r>
      <w:r w:rsidRPr="00AC1F7D">
        <w:rPr>
          <w:i/>
          <w:iCs/>
          <w:noProof/>
          <w:sz w:val="24"/>
        </w:rPr>
        <w:t>28</w:t>
      </w:r>
      <w:r w:rsidRPr="00AC1F7D">
        <w:rPr>
          <w:noProof/>
          <w:sz w:val="24"/>
        </w:rPr>
        <w:t>(2), 63–77. doi:10.1145/264701.264706</w:t>
      </w:r>
    </w:p>
    <w:p w14:paraId="0FDC8269" w14:textId="77777777" w:rsidR="00AC1F7D" w:rsidRPr="00AC1F7D" w:rsidRDefault="00AC1F7D">
      <w:pPr>
        <w:pStyle w:val="NormalWeb"/>
        <w:ind w:left="480" w:hanging="480"/>
        <w:divId w:val="1663384982"/>
        <w:rPr>
          <w:noProof/>
          <w:sz w:val="24"/>
        </w:rPr>
      </w:pPr>
      <w:r w:rsidRPr="00AC1F7D">
        <w:rPr>
          <w:noProof/>
          <w:sz w:val="24"/>
        </w:rPr>
        <w:t xml:space="preserve">Webster, J., &amp; Martocchio, J. J. (1992). Microcomputer Playfulness: Development of a Measure with Workplace Implications. </w:t>
      </w:r>
      <w:r w:rsidRPr="00AC1F7D">
        <w:rPr>
          <w:i/>
          <w:iCs/>
          <w:noProof/>
          <w:sz w:val="24"/>
        </w:rPr>
        <w:t>MIS Quarterly</w:t>
      </w:r>
      <w:r w:rsidRPr="00AC1F7D">
        <w:rPr>
          <w:noProof/>
          <w:sz w:val="24"/>
        </w:rPr>
        <w:t xml:space="preserve">, </w:t>
      </w:r>
      <w:r w:rsidRPr="00AC1F7D">
        <w:rPr>
          <w:i/>
          <w:iCs/>
          <w:noProof/>
          <w:sz w:val="24"/>
        </w:rPr>
        <w:t>16</w:t>
      </w:r>
      <w:r w:rsidRPr="00AC1F7D">
        <w:rPr>
          <w:noProof/>
          <w:sz w:val="24"/>
        </w:rPr>
        <w:t>(2), 201–226. doi:10.2307/249576</w:t>
      </w:r>
    </w:p>
    <w:p w14:paraId="1983A234" w14:textId="77777777" w:rsidR="00AC1F7D" w:rsidRPr="00AC1F7D" w:rsidRDefault="00AC1F7D">
      <w:pPr>
        <w:pStyle w:val="NormalWeb"/>
        <w:ind w:left="480" w:hanging="480"/>
        <w:divId w:val="1663384982"/>
        <w:rPr>
          <w:noProof/>
          <w:sz w:val="24"/>
        </w:rPr>
      </w:pPr>
      <w:r w:rsidRPr="00AC1F7D">
        <w:rPr>
          <w:noProof/>
          <w:sz w:val="24"/>
        </w:rPr>
        <w:t xml:space="preserve">Weibel, D., Wissmath, B., Habegger, S., Steiner, Y., &amp; Groner, R. (2008). Playing online games against computer- vs. human-controlled opponents: Effects on presence, flow, and enjoyment. </w:t>
      </w:r>
      <w:r w:rsidRPr="00AC1F7D">
        <w:rPr>
          <w:i/>
          <w:iCs/>
          <w:noProof/>
          <w:sz w:val="24"/>
        </w:rPr>
        <w:t>Computers in Human Behavior</w:t>
      </w:r>
      <w:r w:rsidRPr="00AC1F7D">
        <w:rPr>
          <w:noProof/>
          <w:sz w:val="24"/>
        </w:rPr>
        <w:t xml:space="preserve">, </w:t>
      </w:r>
      <w:r w:rsidRPr="00AC1F7D">
        <w:rPr>
          <w:i/>
          <w:iCs/>
          <w:noProof/>
          <w:sz w:val="24"/>
        </w:rPr>
        <w:t>24</w:t>
      </w:r>
      <w:r w:rsidRPr="00AC1F7D">
        <w:rPr>
          <w:noProof/>
          <w:sz w:val="24"/>
        </w:rPr>
        <w:t>(5), 2274–2291. doi:10.1016/j.chb.2007.11.002</w:t>
      </w:r>
    </w:p>
    <w:p w14:paraId="69F2773C" w14:textId="77777777" w:rsidR="00AC1F7D" w:rsidRPr="00AC1F7D" w:rsidRDefault="00AC1F7D">
      <w:pPr>
        <w:pStyle w:val="NormalWeb"/>
        <w:ind w:left="480" w:hanging="480"/>
        <w:divId w:val="1663384982"/>
        <w:rPr>
          <w:noProof/>
          <w:sz w:val="24"/>
        </w:rPr>
      </w:pPr>
      <w:r w:rsidRPr="00AC1F7D">
        <w:rPr>
          <w:noProof/>
          <w:sz w:val="24"/>
        </w:rPr>
        <w:t xml:space="preserve">Weibel, D., Wissmath, B., Habegger, S., Steiner, Y., &amp; Groner, R. (2008). Playing online games against computer- vs. human-controlled opponents: Effects on presence, flow, and enjoyment. </w:t>
      </w:r>
      <w:r w:rsidRPr="00AC1F7D">
        <w:rPr>
          <w:i/>
          <w:iCs/>
          <w:noProof/>
          <w:sz w:val="24"/>
        </w:rPr>
        <w:t>Computers in Human Behavior</w:t>
      </w:r>
      <w:r w:rsidRPr="00AC1F7D">
        <w:rPr>
          <w:noProof/>
          <w:sz w:val="24"/>
        </w:rPr>
        <w:t xml:space="preserve">, </w:t>
      </w:r>
      <w:r w:rsidRPr="00AC1F7D">
        <w:rPr>
          <w:i/>
          <w:iCs/>
          <w:noProof/>
          <w:sz w:val="24"/>
        </w:rPr>
        <w:t>24</w:t>
      </w:r>
      <w:r w:rsidRPr="00AC1F7D">
        <w:rPr>
          <w:noProof/>
          <w:sz w:val="24"/>
        </w:rPr>
        <w:t>(5), 2274–2291. doi:10.1016/j.chb.2007.11.002</w:t>
      </w:r>
    </w:p>
    <w:p w14:paraId="15D52A8A" w14:textId="77777777" w:rsidR="00AC1F7D" w:rsidRPr="00AC1F7D" w:rsidRDefault="00AC1F7D">
      <w:pPr>
        <w:pStyle w:val="NormalWeb"/>
        <w:ind w:left="480" w:hanging="480"/>
        <w:divId w:val="1663384982"/>
        <w:rPr>
          <w:noProof/>
          <w:sz w:val="24"/>
        </w:rPr>
      </w:pPr>
      <w:r w:rsidRPr="00AC1F7D">
        <w:rPr>
          <w:noProof/>
          <w:sz w:val="24"/>
        </w:rPr>
        <w:t xml:space="preserve">Weinberg, R. S., &amp; Jackson, A. (1979). Competition and Extrinsic Rewards: Effect on Intrinsic Motivation and Attribution. </w:t>
      </w:r>
      <w:r w:rsidRPr="00AC1F7D">
        <w:rPr>
          <w:i/>
          <w:iCs/>
          <w:noProof/>
          <w:sz w:val="24"/>
        </w:rPr>
        <w:t>Research Quarterly</w:t>
      </w:r>
      <w:r w:rsidRPr="00AC1F7D">
        <w:rPr>
          <w:noProof/>
          <w:sz w:val="24"/>
        </w:rPr>
        <w:t xml:space="preserve">, </w:t>
      </w:r>
      <w:r w:rsidRPr="00AC1F7D">
        <w:rPr>
          <w:i/>
          <w:iCs/>
          <w:noProof/>
          <w:sz w:val="24"/>
        </w:rPr>
        <w:t>50</w:t>
      </w:r>
      <w:r w:rsidRPr="00AC1F7D">
        <w:rPr>
          <w:noProof/>
          <w:sz w:val="24"/>
        </w:rPr>
        <w:t>(3), 494–502.</w:t>
      </w:r>
    </w:p>
    <w:p w14:paraId="2DCDBFA2" w14:textId="77777777" w:rsidR="00AC1F7D" w:rsidRPr="00AC1F7D" w:rsidRDefault="00AC1F7D">
      <w:pPr>
        <w:pStyle w:val="NormalWeb"/>
        <w:ind w:left="480" w:hanging="480"/>
        <w:divId w:val="1663384982"/>
        <w:rPr>
          <w:noProof/>
          <w:sz w:val="24"/>
        </w:rPr>
      </w:pPr>
      <w:r w:rsidRPr="00AC1F7D">
        <w:rPr>
          <w:noProof/>
          <w:sz w:val="24"/>
        </w:rPr>
        <w:t xml:space="preserve">Wetzels, M., Odekerken-Schroder, G., &amp; Van Oppen, C. (2009). Using PLS path modeling for assessing hierarchical construct models: guidelines and empirical illustration. </w:t>
      </w:r>
      <w:r w:rsidRPr="00AC1F7D">
        <w:rPr>
          <w:i/>
          <w:iCs/>
          <w:noProof/>
          <w:sz w:val="24"/>
        </w:rPr>
        <w:t>Management Information Systems Quarterly</w:t>
      </w:r>
      <w:r w:rsidRPr="00AC1F7D">
        <w:rPr>
          <w:noProof/>
          <w:sz w:val="24"/>
        </w:rPr>
        <w:t xml:space="preserve">, </w:t>
      </w:r>
      <w:r w:rsidRPr="00AC1F7D">
        <w:rPr>
          <w:i/>
          <w:iCs/>
          <w:noProof/>
          <w:sz w:val="24"/>
        </w:rPr>
        <w:t>33</w:t>
      </w:r>
      <w:r w:rsidRPr="00AC1F7D">
        <w:rPr>
          <w:noProof/>
          <w:sz w:val="24"/>
        </w:rPr>
        <w:t>(1), 11.</w:t>
      </w:r>
    </w:p>
    <w:p w14:paraId="493D78FA" w14:textId="77777777" w:rsidR="00AC1F7D" w:rsidRPr="00AC1F7D" w:rsidRDefault="00AC1F7D">
      <w:pPr>
        <w:pStyle w:val="NormalWeb"/>
        <w:ind w:left="480" w:hanging="480"/>
        <w:divId w:val="1663384982"/>
        <w:rPr>
          <w:noProof/>
          <w:sz w:val="24"/>
        </w:rPr>
      </w:pPr>
      <w:r w:rsidRPr="00AC1F7D">
        <w:rPr>
          <w:noProof/>
          <w:sz w:val="24"/>
        </w:rPr>
        <w:t xml:space="preserve">Williams, D., Yee, N., &amp; Caplan, S. E. (2008). Who plays, how much, and why? Debunking the stereotypical gamer profile. </w:t>
      </w:r>
      <w:r w:rsidRPr="00AC1F7D">
        <w:rPr>
          <w:i/>
          <w:iCs/>
          <w:noProof/>
          <w:sz w:val="24"/>
        </w:rPr>
        <w:t>Journal of Computer-Mediated Communication</w:t>
      </w:r>
      <w:r w:rsidRPr="00AC1F7D">
        <w:rPr>
          <w:noProof/>
          <w:sz w:val="24"/>
        </w:rPr>
        <w:t xml:space="preserve">, </w:t>
      </w:r>
      <w:r w:rsidRPr="00AC1F7D">
        <w:rPr>
          <w:i/>
          <w:iCs/>
          <w:noProof/>
          <w:sz w:val="24"/>
        </w:rPr>
        <w:t>13</w:t>
      </w:r>
      <w:r w:rsidRPr="00AC1F7D">
        <w:rPr>
          <w:noProof/>
          <w:sz w:val="24"/>
        </w:rPr>
        <w:t>(4), 993–1018. doi:10.1111/j.1083-6101.2008.00428.x</w:t>
      </w:r>
    </w:p>
    <w:p w14:paraId="5656E177" w14:textId="77777777" w:rsidR="00AC1F7D" w:rsidRPr="00AC1F7D" w:rsidRDefault="00AC1F7D">
      <w:pPr>
        <w:pStyle w:val="NormalWeb"/>
        <w:ind w:left="480" w:hanging="480"/>
        <w:divId w:val="1663384982"/>
        <w:rPr>
          <w:noProof/>
          <w:sz w:val="24"/>
        </w:rPr>
      </w:pPr>
      <w:r w:rsidRPr="00AC1F7D">
        <w:rPr>
          <w:noProof/>
          <w:sz w:val="24"/>
        </w:rPr>
        <w:t xml:space="preserve">Wixom, B. H., &amp; Todd, P. a. (2005). A Theoretical Integration of User Satisfaction and Technology Acceptance. </w:t>
      </w:r>
      <w:r w:rsidRPr="00AC1F7D">
        <w:rPr>
          <w:i/>
          <w:iCs/>
          <w:noProof/>
          <w:sz w:val="24"/>
        </w:rPr>
        <w:t>Information Systems Research</w:t>
      </w:r>
      <w:r w:rsidRPr="00AC1F7D">
        <w:rPr>
          <w:noProof/>
          <w:sz w:val="24"/>
        </w:rPr>
        <w:t xml:space="preserve">, </w:t>
      </w:r>
      <w:r w:rsidRPr="00AC1F7D">
        <w:rPr>
          <w:i/>
          <w:iCs/>
          <w:noProof/>
          <w:sz w:val="24"/>
        </w:rPr>
        <w:t>16</w:t>
      </w:r>
      <w:r w:rsidRPr="00AC1F7D">
        <w:rPr>
          <w:noProof/>
          <w:sz w:val="24"/>
        </w:rPr>
        <w:t>(1), 85–102. doi:10.1287/isre.1050.0042</w:t>
      </w:r>
    </w:p>
    <w:p w14:paraId="5E14797B" w14:textId="77777777" w:rsidR="00AC1F7D" w:rsidRPr="00AC1F7D" w:rsidRDefault="00AC1F7D">
      <w:pPr>
        <w:pStyle w:val="NormalWeb"/>
        <w:ind w:left="480" w:hanging="480"/>
        <w:divId w:val="1663384982"/>
        <w:rPr>
          <w:noProof/>
          <w:sz w:val="24"/>
        </w:rPr>
      </w:pPr>
      <w:r w:rsidRPr="00AC1F7D">
        <w:rPr>
          <w:noProof/>
          <w:sz w:val="24"/>
        </w:rPr>
        <w:t xml:space="preserve">Wood, R. T. a, Griffiths, M. D., &amp; Parke, A. (2007). Experiences of time loss among videogame players: an empirical study. </w:t>
      </w:r>
      <w:r w:rsidRPr="00AC1F7D">
        <w:rPr>
          <w:i/>
          <w:iCs/>
          <w:noProof/>
          <w:sz w:val="24"/>
        </w:rPr>
        <w:t>Cyberpsychology &amp; Behavior</w:t>
      </w:r>
      <w:r w:rsidRPr="00AC1F7D">
        <w:rPr>
          <w:rFonts w:ascii="Times New Roman" w:hAnsi="Times New Roman"/>
          <w:i/>
          <w:iCs/>
          <w:noProof/>
          <w:sz w:val="24"/>
        </w:rPr>
        <w:t> </w:t>
      </w:r>
      <w:r w:rsidRPr="00AC1F7D">
        <w:rPr>
          <w:i/>
          <w:iCs/>
          <w:noProof/>
          <w:sz w:val="24"/>
        </w:rPr>
        <w:t>: The Impact of the Internet, Multimedia and Virtual Reality on Behavior and Society</w:t>
      </w:r>
      <w:r w:rsidRPr="00AC1F7D">
        <w:rPr>
          <w:noProof/>
          <w:sz w:val="24"/>
        </w:rPr>
        <w:t xml:space="preserve">, </w:t>
      </w:r>
      <w:r w:rsidRPr="00AC1F7D">
        <w:rPr>
          <w:i/>
          <w:iCs/>
          <w:noProof/>
          <w:sz w:val="24"/>
        </w:rPr>
        <w:t>10</w:t>
      </w:r>
      <w:r w:rsidRPr="00AC1F7D">
        <w:rPr>
          <w:noProof/>
          <w:sz w:val="24"/>
        </w:rPr>
        <w:t>(1), 38–44. doi:10.1089/cpb.2006.9994</w:t>
      </w:r>
    </w:p>
    <w:p w14:paraId="52854910" w14:textId="77777777" w:rsidR="00AC1F7D" w:rsidRPr="00AC1F7D" w:rsidRDefault="00AC1F7D">
      <w:pPr>
        <w:pStyle w:val="NormalWeb"/>
        <w:ind w:left="480" w:hanging="480"/>
        <w:divId w:val="1663384982"/>
        <w:rPr>
          <w:noProof/>
          <w:sz w:val="24"/>
        </w:rPr>
      </w:pPr>
      <w:r w:rsidRPr="00AC1F7D">
        <w:rPr>
          <w:noProof/>
          <w:sz w:val="24"/>
        </w:rPr>
        <w:lastRenderedPageBreak/>
        <w:t xml:space="preserve">Wu, J. H., Wang, S. C., &amp; Tsai, H. H. (2009). Why Do Players Stick to a Specific Online Game? The Users and Gratifications Perspective. In </w:t>
      </w:r>
      <w:r w:rsidRPr="00AC1F7D">
        <w:rPr>
          <w:i/>
          <w:iCs/>
          <w:noProof/>
          <w:sz w:val="24"/>
        </w:rPr>
        <w:t>AMERICAS CONFERENCE ON INFORMATION SYSTEMS (AMCIS)</w:t>
      </w:r>
      <w:r w:rsidRPr="00AC1F7D">
        <w:rPr>
          <w:noProof/>
          <w:sz w:val="24"/>
        </w:rPr>
        <w:t>. Retrieved from http://aisel.aisnet.org/amcis2009/351/</w:t>
      </w:r>
    </w:p>
    <w:p w14:paraId="5E50BB6F" w14:textId="77777777" w:rsidR="00AC1F7D" w:rsidRPr="00AC1F7D" w:rsidRDefault="00AC1F7D">
      <w:pPr>
        <w:pStyle w:val="NormalWeb"/>
        <w:ind w:left="480" w:hanging="480"/>
        <w:divId w:val="1663384982"/>
        <w:rPr>
          <w:noProof/>
          <w:sz w:val="24"/>
        </w:rPr>
      </w:pPr>
      <w:r w:rsidRPr="00AC1F7D">
        <w:rPr>
          <w:noProof/>
          <w:sz w:val="24"/>
        </w:rPr>
        <w:t xml:space="preserve">Xia Skadberg, Y., &amp; Kimmel, J. R. (2004). Visitors’ Flow experience while browsing a web site: its measurement, contributing factors and consequences. </w:t>
      </w:r>
      <w:r w:rsidRPr="00AC1F7D">
        <w:rPr>
          <w:i/>
          <w:iCs/>
          <w:noProof/>
          <w:sz w:val="24"/>
        </w:rPr>
        <w:t>Computers in Human Behavior</w:t>
      </w:r>
      <w:r w:rsidRPr="00AC1F7D">
        <w:rPr>
          <w:noProof/>
          <w:sz w:val="24"/>
        </w:rPr>
        <w:t xml:space="preserve">, </w:t>
      </w:r>
      <w:r w:rsidRPr="00AC1F7D">
        <w:rPr>
          <w:i/>
          <w:iCs/>
          <w:noProof/>
          <w:sz w:val="24"/>
        </w:rPr>
        <w:t>20</w:t>
      </w:r>
      <w:r w:rsidRPr="00AC1F7D">
        <w:rPr>
          <w:noProof/>
          <w:sz w:val="24"/>
        </w:rPr>
        <w:t>(3), 403–422. doi:10.1016/S0747-5632(03)00050-5</w:t>
      </w:r>
    </w:p>
    <w:p w14:paraId="5A337C3F" w14:textId="77777777" w:rsidR="00AC1F7D" w:rsidRPr="00AC1F7D" w:rsidRDefault="00AC1F7D">
      <w:pPr>
        <w:pStyle w:val="NormalWeb"/>
        <w:ind w:left="480" w:hanging="480"/>
        <w:divId w:val="1663384982"/>
        <w:rPr>
          <w:noProof/>
          <w:sz w:val="24"/>
        </w:rPr>
      </w:pPr>
      <w:r w:rsidRPr="00AC1F7D">
        <w:rPr>
          <w:noProof/>
          <w:sz w:val="24"/>
        </w:rPr>
        <w:t xml:space="preserve">Yee, N. (2006). Motivations for play in online games. </w:t>
      </w:r>
      <w:r w:rsidRPr="00AC1F7D">
        <w:rPr>
          <w:i/>
          <w:iCs/>
          <w:noProof/>
          <w:sz w:val="24"/>
        </w:rPr>
        <w:t>Cyberpsychology &amp; Behavior</w:t>
      </w:r>
      <w:r w:rsidRPr="00AC1F7D">
        <w:rPr>
          <w:rFonts w:ascii="Times New Roman" w:hAnsi="Times New Roman"/>
          <w:i/>
          <w:iCs/>
          <w:noProof/>
          <w:sz w:val="24"/>
        </w:rPr>
        <w:t> </w:t>
      </w:r>
      <w:r w:rsidRPr="00AC1F7D">
        <w:rPr>
          <w:i/>
          <w:iCs/>
          <w:noProof/>
          <w:sz w:val="24"/>
        </w:rPr>
        <w:t>: The Impact of the Internet, Multimedia and Virtual Reality on Behavior and Society</w:t>
      </w:r>
      <w:r w:rsidRPr="00AC1F7D">
        <w:rPr>
          <w:noProof/>
          <w:sz w:val="24"/>
        </w:rPr>
        <w:t xml:space="preserve">, </w:t>
      </w:r>
      <w:r w:rsidRPr="00AC1F7D">
        <w:rPr>
          <w:i/>
          <w:iCs/>
          <w:noProof/>
          <w:sz w:val="24"/>
        </w:rPr>
        <w:t>9</w:t>
      </w:r>
      <w:r w:rsidRPr="00AC1F7D">
        <w:rPr>
          <w:noProof/>
          <w:sz w:val="24"/>
        </w:rPr>
        <w:t>(6), 772–5. doi:10.1089/cpb.2006.9.772</w:t>
      </w:r>
    </w:p>
    <w:p w14:paraId="04325E73" w14:textId="77777777" w:rsidR="00AC1F7D" w:rsidRPr="00AC1F7D" w:rsidRDefault="00AC1F7D">
      <w:pPr>
        <w:pStyle w:val="NormalWeb"/>
        <w:ind w:left="480" w:hanging="480"/>
        <w:divId w:val="1663384982"/>
        <w:rPr>
          <w:noProof/>
          <w:sz w:val="24"/>
        </w:rPr>
      </w:pPr>
      <w:r w:rsidRPr="00AC1F7D">
        <w:rPr>
          <w:noProof/>
          <w:sz w:val="24"/>
        </w:rPr>
        <w:t xml:space="preserve">Young, M. F., Slota, S., Cutter, a. B., Jalette, G., Mullin, G., Lai, B., … Yukhymenko, M. (2012). Our Princess Is in Another Castle: A Review of Trends in Serious Gaming for Education. </w:t>
      </w:r>
      <w:r w:rsidRPr="00AC1F7D">
        <w:rPr>
          <w:i/>
          <w:iCs/>
          <w:noProof/>
          <w:sz w:val="24"/>
        </w:rPr>
        <w:t>Review of Educational Research</w:t>
      </w:r>
      <w:r w:rsidRPr="00AC1F7D">
        <w:rPr>
          <w:noProof/>
          <w:sz w:val="24"/>
        </w:rPr>
        <w:t xml:space="preserve">, </w:t>
      </w:r>
      <w:r w:rsidRPr="00AC1F7D">
        <w:rPr>
          <w:i/>
          <w:iCs/>
          <w:noProof/>
          <w:sz w:val="24"/>
        </w:rPr>
        <w:t>82</w:t>
      </w:r>
      <w:r w:rsidRPr="00AC1F7D">
        <w:rPr>
          <w:noProof/>
          <w:sz w:val="24"/>
        </w:rPr>
        <w:t>(1), 61–89. doi:10.3102/0034654312436980</w:t>
      </w:r>
    </w:p>
    <w:p w14:paraId="1B5E01ED" w14:textId="77777777" w:rsidR="00AC1F7D" w:rsidRPr="00AC1F7D" w:rsidRDefault="00AC1F7D">
      <w:pPr>
        <w:pStyle w:val="NormalWeb"/>
        <w:ind w:left="480" w:hanging="480"/>
        <w:divId w:val="1663384982"/>
        <w:rPr>
          <w:noProof/>
          <w:sz w:val="24"/>
        </w:rPr>
      </w:pPr>
      <w:r w:rsidRPr="00AC1F7D">
        <w:rPr>
          <w:noProof/>
          <w:sz w:val="24"/>
        </w:rPr>
        <w:t xml:space="preserve">Zajonc, R. B. (1965). Social facilitation. </w:t>
      </w:r>
      <w:r w:rsidRPr="00AC1F7D">
        <w:rPr>
          <w:i/>
          <w:iCs/>
          <w:noProof/>
          <w:sz w:val="24"/>
        </w:rPr>
        <w:t>Science</w:t>
      </w:r>
      <w:r w:rsidRPr="00AC1F7D">
        <w:rPr>
          <w:noProof/>
          <w:sz w:val="24"/>
        </w:rPr>
        <w:t xml:space="preserve">, </w:t>
      </w:r>
      <w:r w:rsidRPr="00AC1F7D">
        <w:rPr>
          <w:i/>
          <w:iCs/>
          <w:noProof/>
          <w:sz w:val="24"/>
        </w:rPr>
        <w:t>149</w:t>
      </w:r>
      <w:r w:rsidRPr="00AC1F7D">
        <w:rPr>
          <w:noProof/>
          <w:sz w:val="24"/>
        </w:rPr>
        <w:t>(3681), 269–274. Retrieved from http://neuron4.psych.ubc.ca/~schaller/Psyc591Readings/Zajonc1965.pdf</w:t>
      </w:r>
    </w:p>
    <w:p w14:paraId="597599C4" w14:textId="2BAB8F3C" w:rsidR="00FC3905" w:rsidRPr="00BC081A" w:rsidRDefault="00FC3905" w:rsidP="00AC1F7D">
      <w:pPr>
        <w:pStyle w:val="NormalWeb"/>
        <w:ind w:left="480" w:hanging="480"/>
        <w:divId w:val="1347825660"/>
        <w:rPr>
          <w:lang w:val="en-CA"/>
        </w:rPr>
      </w:pPr>
      <w:r w:rsidRPr="00BC081A">
        <w:rPr>
          <w:lang w:val="en-CA"/>
        </w:rPr>
        <w:fldChar w:fldCharType="end"/>
      </w:r>
    </w:p>
    <w:p w14:paraId="5C64CAF6" w14:textId="3777430A" w:rsidR="00572BE7" w:rsidRPr="00BC081A" w:rsidRDefault="00572BE7" w:rsidP="00FC3905">
      <w:pPr>
        <w:pStyle w:val="NormalWeb"/>
        <w:ind w:left="480" w:hanging="480"/>
        <w:divId w:val="971054312"/>
        <w:rPr>
          <w:lang w:val="en-CA"/>
        </w:rPr>
      </w:pPr>
      <w:r w:rsidRPr="00BC081A">
        <w:rPr>
          <w:lang w:val="en-CA"/>
        </w:rPr>
        <w:br w:type="page"/>
      </w:r>
    </w:p>
    <w:p w14:paraId="1DDCEA53" w14:textId="0665C681" w:rsidR="00FC38F5" w:rsidRPr="00BC081A" w:rsidRDefault="00B06C83" w:rsidP="00536F6A">
      <w:pPr>
        <w:pStyle w:val="AppendixHeading"/>
        <w:numPr>
          <w:ilvl w:val="0"/>
          <w:numId w:val="30"/>
        </w:numPr>
      </w:pPr>
      <w:r w:rsidRPr="00BC081A">
        <w:lastRenderedPageBreak/>
        <w:t xml:space="preserve">Further details on </w:t>
      </w:r>
      <w:r w:rsidR="005469B2">
        <w:t xml:space="preserve">THE </w:t>
      </w:r>
      <w:r w:rsidRPr="00BC081A">
        <w:t>Meta-Analysis Study o</w:t>
      </w:r>
      <w:r w:rsidR="005469B2">
        <w:t>F</w:t>
      </w:r>
      <w:r w:rsidRPr="00BC081A">
        <w:t xml:space="preserve"> Flow</w:t>
      </w:r>
    </w:p>
    <w:p w14:paraId="65BAFE81" w14:textId="77777777" w:rsidR="00B06C83" w:rsidRPr="00BC081A" w:rsidRDefault="00B06C83" w:rsidP="00FC38F5"/>
    <w:p w14:paraId="369E667F" w14:textId="4EEA91D2" w:rsidR="00B06C83" w:rsidRPr="00BC081A" w:rsidRDefault="00B06C83" w:rsidP="00B06C83">
      <w:r w:rsidRPr="00BC081A">
        <w:t xml:space="preserve">The use of hedonic IT systems has increasingly become a point of interest for researchers in the past decade. As various studies have shown before, the theory of flow can predict the intention of user to use hedonic systems </w:t>
      </w:r>
      <w:r w:rsidRPr="00BC081A">
        <w:rPr>
          <w:noProof/>
        </w:rPr>
        <w:t>(e.g. Agarwal &amp; Karahanna, 2000; Korzaan, 2003; Nah, Eschenbrenner, Wester, &amp; Park, 2010)</w:t>
      </w:r>
      <w:r w:rsidRPr="00BC081A">
        <w:t>. Different measurement instruments have been developed for measuring the state of flow/CA, in particular during the use of IT systems. These studies have examined the theory of flow by finding the antecedents and outcomes of this concept by employing the constructs developed to measure it. Through an extensive literature review, the most common use of the concept of flow</w:t>
      </w:r>
      <w:r w:rsidR="009C0EC9">
        <w:t xml:space="preserve"> was </w:t>
      </w:r>
      <w:r w:rsidR="009C0EC9" w:rsidRPr="00BC081A">
        <w:t>identified</w:t>
      </w:r>
      <w:r w:rsidRPr="00BC081A">
        <w:t xml:space="preserve">, which is the extension of the Technology Acceptance Model (TAM) </w:t>
      </w:r>
      <w:r w:rsidRPr="00BC081A">
        <w:rPr>
          <w:noProof/>
        </w:rPr>
        <w:t>(Davis, Bagozzi, &amp; Warshaw, 1989)</w:t>
      </w:r>
      <w:r w:rsidRPr="00BC081A">
        <w:t xml:space="preserve">, Theory of Reasoned Action (TRA) </w:t>
      </w:r>
      <w:r w:rsidRPr="00BC081A">
        <w:rPr>
          <w:noProof/>
        </w:rPr>
        <w:t>(Fishbein &amp; Ajzen, 1975)</w:t>
      </w:r>
      <w:r w:rsidRPr="00BC081A">
        <w:t xml:space="preserve"> and Theory of Planned Behaviour (TPB) </w:t>
      </w:r>
      <w:r w:rsidRPr="00BC081A">
        <w:rPr>
          <w:noProof/>
        </w:rPr>
        <w:t>(Ajzen, 1991)</w:t>
      </w:r>
      <w:r w:rsidRPr="00BC081A">
        <w:t xml:space="preserve">. In fact, there have been many different constructs that are connected to flow; but, the main theme of research is to predict the use of hedonic IT products by deploying the theory of flow. TAM is one of the most (if not the most) common and well-established models in the field of IS that has been used in other fields as well. TAM and TPB are based on TRA and all try to predict process of decision making of people for using a product based on their ‘intention to use’ a system, which in turn can be predicted by ‘attitude towards’ that product. </w:t>
      </w:r>
    </w:p>
    <w:p w14:paraId="75CEE4A9" w14:textId="26B8225D" w:rsidR="00B06C83" w:rsidRPr="00BC081A" w:rsidRDefault="00B06C83" w:rsidP="00B06C83">
      <w:r w:rsidRPr="00BC081A">
        <w:t>In contrast to the original TAM, subsequent models such as TAM2 and UTAUT (Unified Theory of Acceptance and Use of Technology</w:t>
      </w:r>
      <w:proofErr w:type="gramStart"/>
      <w:r w:rsidRPr="00BC081A">
        <w:t>),</w:t>
      </w:r>
      <w:proofErr w:type="gramEnd"/>
      <w:r w:rsidRPr="00BC081A">
        <w:t xml:space="preserve"> have claimed that the construct of attitude could be removed from technology adoption models for the purpose of parsimony </w:t>
      </w:r>
      <w:r w:rsidRPr="00BC081A">
        <w:rPr>
          <w:noProof/>
        </w:rPr>
        <w:t>(Venkatesh, Morris, Davis, &amp; Davis, 2003; Venkatesh &amp; Davis, 2000)</w:t>
      </w:r>
      <w:r w:rsidRPr="00BC081A">
        <w:t>.</w:t>
      </w:r>
      <w:r w:rsidRPr="00BC081A">
        <w:rPr>
          <w:noProof/>
        </w:rPr>
        <w:t xml:space="preserve"> Venkatesh et al. (2003)</w:t>
      </w:r>
      <w:r w:rsidRPr="00BC081A">
        <w:t xml:space="preserve"> argue that the relationship between attitude and intention towards using technology is spurious. They show that this relationship can be eliminated given that the other constructs of UTAUT are present. </w:t>
      </w:r>
      <w:r w:rsidRPr="00BC081A">
        <w:lastRenderedPageBreak/>
        <w:t xml:space="preserve">However, more recently, scholars have included the construct of attitude in their models to evaluate user perception of technology use </w:t>
      </w:r>
      <w:r w:rsidRPr="00BC081A">
        <w:rPr>
          <w:noProof/>
        </w:rPr>
        <w:t>(e.g. Hassanein &amp; Head, 2007; Kim, 2009; Lin &amp; Bhattacherjee, 2010)</w:t>
      </w:r>
      <w:r w:rsidRPr="00BC081A">
        <w:t xml:space="preserve">. In situations where users are introduced to a new or fictitious technology or product, it may be unrealistic to inquire participants about their intention to use those products. To illustrate, </w:t>
      </w:r>
      <w:r w:rsidRPr="00BC081A">
        <w:rPr>
          <w:noProof/>
        </w:rPr>
        <w:t>Hassanein and Head's (2007)</w:t>
      </w:r>
      <w:r w:rsidRPr="00BC081A">
        <w:t xml:space="preserve"> study employs a fictitious e-commerce website to measure how much participants’ attitude towards products change based on manipulations on the website. As they stress, in such conditions, it may not be appropriate to ask for participants’ intention, as they may not be intending to purchase any product from that website regardless of their attitude towards those products. Similarly, when users interact with a hedonic product/website during an experiment where they would have little or no opportunity to use the product /website post-experiment, regardless of their attitude, it is infeasible for them to express their intention to use the IT artefact. Therefore, </w:t>
      </w:r>
      <w:r w:rsidR="009C0EC9">
        <w:t xml:space="preserve">it can be said </w:t>
      </w:r>
      <w:r w:rsidRPr="00BC081A">
        <w:t xml:space="preserve">that attitude is a construct that deserves more attention and should be considered in this meta-analysis. </w:t>
      </w:r>
    </w:p>
    <w:p w14:paraId="1D270F06" w14:textId="79D58495" w:rsidR="00B06C83" w:rsidRPr="00BC081A" w:rsidRDefault="00B06C83" w:rsidP="00B06C83">
      <w:r w:rsidRPr="00BC081A">
        <w:t xml:space="preserve">Based on the previous discussion on the theory of flow and its relation with TRA, TAM, and TPB, </w:t>
      </w:r>
      <w:r w:rsidR="009C0EC9">
        <w:t xml:space="preserve">it was decided </w:t>
      </w:r>
      <w:r w:rsidRPr="00BC081A">
        <w:t xml:space="preserve">to study this connection in more detail. In TAM, there are two other constructs, namely ‘perceived usefulness’ (PU) and ‘perceived ease of use’ (PEOU). PU and PEOU are the two main constructs that predict attitude towards an IT product. However, PU and PEOU are not widely used in the articles that measure the state of flow. In the hedonic context, it can be argued that PU may not be an influential construct due to the emotional experience of users that directs their decision towards using the system (which may actually non-rational or unplanned) </w:t>
      </w:r>
      <w:r w:rsidRPr="00BC081A">
        <w:rPr>
          <w:noProof/>
        </w:rPr>
        <w:t>(de Guinea &amp; Markus, 2009)</w:t>
      </w:r>
      <w:r w:rsidRPr="00BC081A">
        <w:t xml:space="preserve">. Since the studies reviewed for the purpose of this study are taken from various disciplines, which may not use the same theories, PU and PEOU were not chosen for this study. On the other hand, many of the studies employ TRA and/or TPB, in which </w:t>
      </w:r>
      <w:r w:rsidRPr="00BC081A">
        <w:lastRenderedPageBreak/>
        <w:t xml:space="preserve">the constructs of attitude and intention towards using a system, or some relevant concepts that can be used interchangeably. As previous studies have shown, flow/CA has a moderate to high effect on TAM constructs including attitude and intention to technology use </w:t>
      </w:r>
      <w:r w:rsidRPr="00BC081A">
        <w:rPr>
          <w:noProof/>
        </w:rPr>
        <w:t>(e.g. Agarwal &amp; Karahanna, 2000; Hsu &amp; Lu, 2004; Nah et al., 2010)</w:t>
      </w:r>
      <w:r w:rsidRPr="00BC081A">
        <w:t xml:space="preserve">. Therefore, in alignment with the previous studies, this study aims to find the correlation between the construct of flow in IT use, with attitude and intention towards use of IT systems.  </w:t>
      </w:r>
    </w:p>
    <w:p w14:paraId="7E7814BF" w14:textId="77777777" w:rsidR="00B06C83" w:rsidRPr="00BC081A" w:rsidRDefault="00B06C83" w:rsidP="00536F6A">
      <w:pPr>
        <w:pStyle w:val="Heading2"/>
        <w:numPr>
          <w:ilvl w:val="0"/>
          <w:numId w:val="0"/>
        </w:numPr>
        <w:ind w:left="576"/>
      </w:pPr>
      <w:bookmarkStart w:id="118" w:name="_Toc275209851"/>
      <w:r w:rsidRPr="00BC081A">
        <w:t>Operationalization Mode of Flow/CA</w:t>
      </w:r>
      <w:bookmarkEnd w:id="118"/>
    </w:p>
    <w:p w14:paraId="5FC0CCBC" w14:textId="1256E8FF" w:rsidR="00B06C83" w:rsidRPr="00BC081A" w:rsidRDefault="00B06C83" w:rsidP="00B06C83">
      <w:r w:rsidRPr="00BC081A">
        <w:rPr>
          <w:noProof/>
        </w:rPr>
        <w:t>Hoffman &amp; Novak (2009)</w:t>
      </w:r>
      <w:r w:rsidRPr="00BC081A">
        <w:t xml:space="preserve"> articulate that flow is conceptually defined and explained by </w:t>
      </w:r>
      <w:r w:rsidRPr="00BC081A">
        <w:rPr>
          <w:noProof/>
        </w:rPr>
        <w:t>Csikszentmihalyi (1991, 1997)</w:t>
      </w:r>
      <w:r w:rsidRPr="00BC081A">
        <w:t xml:space="preserve">, but it has not been operationalized consistently among all the studies. This is perhaps due to the fact that the concept of flow is defined very broadly </w:t>
      </w:r>
      <w:r w:rsidRPr="00BC081A">
        <w:rPr>
          <w:noProof/>
        </w:rPr>
        <w:t>(Choi et al., 2007)</w:t>
      </w:r>
      <w:r w:rsidRPr="00BC081A">
        <w:t xml:space="preserve"> as it entails various dimensions that can contribute to the feeling of being deeply involved and engaged in a task. To advance the research on theory of flow there is a need to clarify the operationalized constructs in empirical studies. Consequently, through this research, different operationalization methods of the concept of flow have been identified and categorized. </w:t>
      </w:r>
    </w:p>
    <w:p w14:paraId="027B3120" w14:textId="02F7DBBB" w:rsidR="00B06C83" w:rsidRPr="00BC081A" w:rsidRDefault="00B06C83" w:rsidP="00B06C83">
      <w:r w:rsidRPr="00BC081A">
        <w:t>The two main categories of measures of flow are unidimensional and multidimensional measures (</w:t>
      </w:r>
      <w:r w:rsidR="009C0EC9">
        <w:t xml:space="preserve">here </w:t>
      </w:r>
      <w:r w:rsidRPr="00BC081A">
        <w:t>refe</w:t>
      </w:r>
      <w:r w:rsidR="009C0EC9">
        <w:t>r</w:t>
      </w:r>
      <w:r w:rsidRPr="00BC081A">
        <w:t>r</w:t>
      </w:r>
      <w:r w:rsidR="009C0EC9">
        <w:t>ed</w:t>
      </w:r>
      <w:r w:rsidRPr="00BC081A">
        <w:t xml:space="preserve"> to them as operationalization modes). The former are the measures that give a narrative description of flow in the survey followed by a few item instrument (usually three) to directly record the perception of participants from the level of flow that they experience through the use of system </w:t>
      </w:r>
      <w:r w:rsidRPr="00BC081A">
        <w:rPr>
          <w:noProof/>
        </w:rPr>
        <w:t>(e.g. Hsu, 2004; Korzaan, 2003; Novak, Hoffman, &amp; Yung, 2000)</w:t>
      </w:r>
      <w:r w:rsidRPr="00BC081A">
        <w:t xml:space="preserve">. The multidimensional measures are the instruments that aim to aggregate different dimensions of flow such as enjoyment, concentration and transformation of time in one higher-order construct, namely flow or CA </w:t>
      </w:r>
      <w:r w:rsidRPr="00BC081A">
        <w:rPr>
          <w:noProof/>
        </w:rPr>
        <w:t>(e.g. Agarwal &amp; Karahanna, 2000; Saadé &amp; Bahli, 2005; Webster, Trevino, &amp; Ryan, 1993)</w:t>
      </w:r>
      <w:r w:rsidRPr="00BC081A">
        <w:t xml:space="preserve">. For further clarification on the difference between these constructs, please refer </w:t>
      </w:r>
      <w:r w:rsidRPr="00BC081A">
        <w:lastRenderedPageBreak/>
        <w:t xml:space="preserve">to Appendix A – selection of constructs used in the meta-analysis. Through the meta-analysis the method of operationalization of flow has been monitored constantly and analyzed through various steps in order to test the potential moderation effect. </w:t>
      </w:r>
    </w:p>
    <w:p w14:paraId="4B185085" w14:textId="612D0DDA" w:rsidR="00B06C83" w:rsidRPr="00BC081A" w:rsidRDefault="00B06C83" w:rsidP="00B06C83">
      <w:r w:rsidRPr="00BC081A">
        <w:t xml:space="preserve">Multidimensional constructs of flow (CA) tend to include different aspect of the concept of flow and explain the state of flow better. One can say that in it is necessary to include all the dimensions of this construct when </w:t>
      </w:r>
      <w:r w:rsidR="009C0EC9">
        <w:t xml:space="preserve">one </w:t>
      </w:r>
      <w:r w:rsidRPr="00BC081A">
        <w:t>want</w:t>
      </w:r>
      <w:r w:rsidR="009C0EC9">
        <w:t>s</w:t>
      </w:r>
      <w:r w:rsidRPr="00BC081A">
        <w:t xml:space="preserve"> to measure this state and its relation with other constructs. In other words, “each dimension captures a unique aspect of the theoretical concept and demonstrates a unique relationship to the overarching construct” </w:t>
      </w:r>
      <w:r w:rsidRPr="00BC081A">
        <w:rPr>
          <w:noProof/>
        </w:rPr>
        <w:t>(Polites, Roberts, &amp; Thatcher, 2012, p. 29)</w:t>
      </w:r>
      <w:r w:rsidRPr="00BC081A">
        <w:t xml:space="preserve">. As </w:t>
      </w:r>
      <w:r w:rsidRPr="00BC081A">
        <w:rPr>
          <w:noProof/>
        </w:rPr>
        <w:t>Ones &amp; Viswesvaran (1996)</w:t>
      </w:r>
      <w:r w:rsidRPr="00BC081A">
        <w:t xml:space="preserve"> have shown, broader constructs (measured through multiple dimensions) could have better prediction and explanation in certain contexts when compared to narrow measures</w:t>
      </w:r>
      <w:r w:rsidRPr="00BC081A">
        <w:rPr>
          <w:rStyle w:val="FootnoteReference"/>
        </w:rPr>
        <w:footnoteReference w:id="17"/>
      </w:r>
      <w:r w:rsidRPr="00BC081A">
        <w:t xml:space="preserve">. Thus, due to the higher-order nature of multidimensional measures of flow, which enables them to better represent the concept of flow, it is expected that the prediction power of these measurements will be higher than unidimensional measures. </w:t>
      </w:r>
    </w:p>
    <w:p w14:paraId="7ED5EB7C" w14:textId="2E9DF224" w:rsidR="00B06C83" w:rsidRPr="00BC081A" w:rsidRDefault="00B06C83" w:rsidP="00B06C83">
      <w:r w:rsidRPr="00BC081A">
        <w:t>The proposed research model of the study is presented in</w:t>
      </w:r>
      <w:r w:rsidR="00AD7177">
        <w:t xml:space="preserve"> </w:t>
      </w:r>
      <w:r w:rsidR="00AD7177">
        <w:fldChar w:fldCharType="begin"/>
      </w:r>
      <w:r w:rsidR="00AD7177">
        <w:instrText xml:space="preserve"> REF _Ref275207635 \h </w:instrText>
      </w:r>
      <w:r w:rsidR="00AD7177">
        <w:fldChar w:fldCharType="separate"/>
      </w:r>
      <w:r w:rsidR="008C71FB">
        <w:t xml:space="preserve">Figure </w:t>
      </w:r>
      <w:r w:rsidR="008C71FB">
        <w:rPr>
          <w:noProof/>
        </w:rPr>
        <w:t>12</w:t>
      </w:r>
      <w:r w:rsidR="00AD7177">
        <w:fldChar w:fldCharType="end"/>
      </w:r>
      <w:r w:rsidRPr="00BC081A">
        <w:t xml:space="preserve">. </w:t>
      </w:r>
    </w:p>
    <w:p w14:paraId="6FB7FDD6" w14:textId="77777777" w:rsidR="00B06C83" w:rsidRPr="00BC081A" w:rsidRDefault="00B06C83" w:rsidP="00B06C83">
      <w:pPr>
        <w:keepNext/>
        <w:jc w:val="center"/>
      </w:pPr>
      <w:r w:rsidRPr="00BC081A">
        <w:rPr>
          <w:noProof/>
          <w:lang w:val="en-US"/>
        </w:rPr>
        <w:lastRenderedPageBreak/>
        <w:drawing>
          <wp:inline distT="0" distB="0" distL="0" distR="0" wp14:anchorId="1C239368" wp14:editId="1BDAC46A">
            <wp:extent cx="2411717" cy="1630110"/>
            <wp:effectExtent l="0" t="0" r="190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2084" cy="1630358"/>
                    </a:xfrm>
                    <a:prstGeom prst="rect">
                      <a:avLst/>
                    </a:prstGeom>
                    <a:noFill/>
                    <a:ln>
                      <a:noFill/>
                    </a:ln>
                  </pic:spPr>
                </pic:pic>
              </a:graphicData>
            </a:graphic>
          </wp:inline>
        </w:drawing>
      </w:r>
    </w:p>
    <w:p w14:paraId="7B8E6512" w14:textId="4F8BEF52" w:rsidR="00B06C83" w:rsidRPr="00BC081A" w:rsidRDefault="00AD7177" w:rsidP="00C92D78">
      <w:pPr>
        <w:pStyle w:val="Caption"/>
      </w:pPr>
      <w:bookmarkStart w:id="119" w:name="_Ref275207635"/>
      <w:bookmarkStart w:id="120" w:name="_Toc278912302"/>
      <w:r>
        <w:t xml:space="preserve">Figure </w:t>
      </w:r>
      <w:r w:rsidR="007804FF">
        <w:fldChar w:fldCharType="begin"/>
      </w:r>
      <w:r w:rsidR="007804FF">
        <w:instrText xml:space="preserve"> SEQ Figure \* ARABIC </w:instrText>
      </w:r>
      <w:r w:rsidR="007804FF">
        <w:fldChar w:fldCharType="separate"/>
      </w:r>
      <w:r w:rsidR="008C71FB">
        <w:rPr>
          <w:noProof/>
        </w:rPr>
        <w:t>12</w:t>
      </w:r>
      <w:r w:rsidR="007804FF">
        <w:rPr>
          <w:noProof/>
        </w:rPr>
        <w:fldChar w:fldCharType="end"/>
      </w:r>
      <w:bookmarkEnd w:id="119"/>
      <w:r>
        <w:t xml:space="preserve"> – </w:t>
      </w:r>
      <w:r w:rsidR="00B06C83" w:rsidRPr="00BC081A">
        <w:t>Research Model</w:t>
      </w:r>
      <w:bookmarkEnd w:id="120"/>
    </w:p>
    <w:p w14:paraId="20C86492" w14:textId="2FFD11E2" w:rsidR="00B06C83" w:rsidRPr="00BC081A" w:rsidRDefault="00B06C83" w:rsidP="00B06C83">
      <w:r w:rsidRPr="00BC081A">
        <w:t xml:space="preserve">Respectively, </w:t>
      </w:r>
      <w:r w:rsidR="009C0EC9">
        <w:t xml:space="preserve">it is </w:t>
      </w:r>
      <w:r w:rsidRPr="00BC081A">
        <w:t>hypothesize</w:t>
      </w:r>
      <w:r w:rsidR="009C0EC9">
        <w:t>d</w:t>
      </w:r>
      <w:r w:rsidRPr="00BC081A">
        <w:t xml:space="preserve">: </w:t>
      </w:r>
    </w:p>
    <w:p w14:paraId="42C6EBD0" w14:textId="77777777" w:rsidR="00B06C83" w:rsidRPr="00BC081A" w:rsidRDefault="00B06C83" w:rsidP="00B06C83">
      <w:pPr>
        <w:rPr>
          <w:i/>
        </w:rPr>
      </w:pPr>
      <w:r w:rsidRPr="00BC081A">
        <w:rPr>
          <w:b/>
        </w:rPr>
        <w:t>H1</w:t>
      </w:r>
      <w:r w:rsidRPr="00BC081A">
        <w:t xml:space="preserve">: </w:t>
      </w:r>
      <w:r w:rsidRPr="00BC081A">
        <w:rPr>
          <w:i/>
        </w:rPr>
        <w:t>There is a medium to strong positive relationship between Flow/CA and Intention to Use of IT systems.</w:t>
      </w:r>
    </w:p>
    <w:p w14:paraId="64515BEF" w14:textId="77777777" w:rsidR="00B06C83" w:rsidRPr="00BC081A" w:rsidRDefault="00B06C83" w:rsidP="00B06C83">
      <w:pPr>
        <w:rPr>
          <w:i/>
        </w:rPr>
      </w:pPr>
      <w:r w:rsidRPr="00BC081A">
        <w:rPr>
          <w:b/>
        </w:rPr>
        <w:t>H2</w:t>
      </w:r>
      <w:r w:rsidRPr="00BC081A">
        <w:t xml:space="preserve">: </w:t>
      </w:r>
      <w:r w:rsidRPr="00BC081A">
        <w:rPr>
          <w:i/>
        </w:rPr>
        <w:t>There is a medium to strong positive relationship between Flow/CA and Attitude Towards Use of IT systems.</w:t>
      </w:r>
    </w:p>
    <w:p w14:paraId="2040C3B5" w14:textId="77777777" w:rsidR="00B06C83" w:rsidRPr="00BC081A" w:rsidRDefault="00B06C83" w:rsidP="00B06C83">
      <w:pPr>
        <w:rPr>
          <w:i/>
        </w:rPr>
      </w:pPr>
      <w:r w:rsidRPr="00BC081A">
        <w:rPr>
          <w:b/>
        </w:rPr>
        <w:t>H3a</w:t>
      </w:r>
      <w:r w:rsidRPr="00BC081A">
        <w:t xml:space="preserve">: </w:t>
      </w:r>
      <w:r w:rsidRPr="00BC081A">
        <w:rPr>
          <w:i/>
        </w:rPr>
        <w:t>Operationalization Mode of the concept of Flow/CA will moderate the relationship between this construct and Intention to Use of IT systems such that it will be higher for multidimensional representations of Flow/CA.</w:t>
      </w:r>
    </w:p>
    <w:p w14:paraId="6FA0AF19" w14:textId="77777777" w:rsidR="00B06C83" w:rsidRPr="00BC081A" w:rsidRDefault="00B06C83" w:rsidP="00B06C83">
      <w:r w:rsidRPr="00BC081A">
        <w:rPr>
          <w:b/>
        </w:rPr>
        <w:t>H3b</w:t>
      </w:r>
      <w:r w:rsidRPr="00BC081A">
        <w:t xml:space="preserve">: </w:t>
      </w:r>
      <w:r w:rsidRPr="00BC081A">
        <w:rPr>
          <w:i/>
        </w:rPr>
        <w:t>Operationalization Mode of the concept of Flow/CA will moderate the relationship between this construct and Attitude Towards Use of IT systems such that it will be higher for multidimensional representations of Flow/CA.</w:t>
      </w:r>
    </w:p>
    <w:p w14:paraId="026A42B4" w14:textId="77777777" w:rsidR="00B06C83" w:rsidRPr="00BC081A" w:rsidRDefault="00B06C83" w:rsidP="00536F6A">
      <w:pPr>
        <w:pStyle w:val="Heading2"/>
        <w:numPr>
          <w:ilvl w:val="0"/>
          <w:numId w:val="0"/>
        </w:numPr>
        <w:ind w:left="576"/>
      </w:pPr>
      <w:bookmarkStart w:id="121" w:name="_Toc275209852"/>
      <w:r w:rsidRPr="00BC081A">
        <w:t>Methodology</w:t>
      </w:r>
      <w:bookmarkEnd w:id="121"/>
    </w:p>
    <w:p w14:paraId="418DA72B" w14:textId="3A42D8F5" w:rsidR="00B06C83" w:rsidRPr="00BC081A" w:rsidRDefault="00B06C83" w:rsidP="00B06C83">
      <w:r w:rsidRPr="00BC081A">
        <w:t xml:space="preserve">In this study, meta-analysis technique </w:t>
      </w:r>
      <w:r w:rsidR="00D27F97">
        <w:t xml:space="preserve">was used </w:t>
      </w:r>
      <w:r w:rsidRPr="00BC081A">
        <w:rPr>
          <w:noProof/>
        </w:rPr>
        <w:t>(Glass, 1976; Hunter &amp; Schmidt, 1990)</w:t>
      </w:r>
      <w:r w:rsidRPr="00BC081A">
        <w:t xml:space="preserve"> to combine the results of previous studies in order to gather a clear explanation of the power of the construct of flow in predicting usage of IT systems. To the best of </w:t>
      </w:r>
      <w:r w:rsidR="009C0EC9">
        <w:t>my</w:t>
      </w:r>
      <w:r w:rsidRPr="00BC081A">
        <w:t xml:space="preserve"> knowledge, flow theory has become very popular recently, considering the increase in the number of papers that </w:t>
      </w:r>
      <w:r w:rsidRPr="00BC081A">
        <w:lastRenderedPageBreak/>
        <w:t>have been published in recent years</w:t>
      </w:r>
      <w:r w:rsidRPr="00BC081A">
        <w:rPr>
          <w:rStyle w:val="FootnoteReference"/>
        </w:rPr>
        <w:footnoteReference w:id="18"/>
      </w:r>
      <w:r w:rsidRPr="00BC081A">
        <w:t xml:space="preserve">. However, a meta-analysis has not been conducted on this theory with respect to its relationship to attitude and intention to use. </w:t>
      </w:r>
    </w:p>
    <w:p w14:paraId="7252E3CD" w14:textId="77777777" w:rsidR="00B06C83" w:rsidRPr="00BC081A" w:rsidRDefault="00B06C83" w:rsidP="00536F6A">
      <w:pPr>
        <w:pStyle w:val="Heading3"/>
        <w:numPr>
          <w:ilvl w:val="0"/>
          <w:numId w:val="0"/>
        </w:numPr>
        <w:ind w:left="720"/>
      </w:pPr>
      <w:bookmarkStart w:id="122" w:name="_Toc275209853"/>
      <w:r w:rsidRPr="00BC081A">
        <w:t>Sample</w:t>
      </w:r>
      <w:bookmarkEnd w:id="122"/>
    </w:p>
    <w:p w14:paraId="70FA35BE" w14:textId="6F249BB2" w:rsidR="00B06C83" w:rsidRPr="00BC081A" w:rsidRDefault="00B06C83" w:rsidP="00B06C83">
      <w:r w:rsidRPr="00BC081A">
        <w:t xml:space="preserve">The sample studies for this meta-analysis have been selected from several sources, including journals, books, dissertations, and conference proceedings. </w:t>
      </w:r>
      <w:r w:rsidR="00D27F97">
        <w:t xml:space="preserve">The effort was </w:t>
      </w:r>
      <w:r w:rsidRPr="00BC081A">
        <w:t xml:space="preserve">to capture all of the studies that </w:t>
      </w:r>
      <w:r w:rsidR="00D27F97">
        <w:t xml:space="preserve">were found </w:t>
      </w:r>
      <w:r w:rsidRPr="00BC081A">
        <w:t xml:space="preserve">in order to minimize the bias towards the effect size of a series of articles. To find appropriate articles, various databases (mentioned below) were searched and literature reviews on the theory of flow were used to capture all the relevant studies. The main challenge in finding relevant articles is that ‘flow’ is a term that is used for many other concepts such as flow in thermodynamics, which make the search for articles related to the theory of flow difficult. Therefore, some strategic approaches were also taken. For example, using Google Scholar, articles citing the seminal flow and CA </w:t>
      </w:r>
      <w:proofErr w:type="gramStart"/>
      <w:r w:rsidRPr="00BC081A">
        <w:t>works</w:t>
      </w:r>
      <w:proofErr w:type="gramEnd"/>
      <w:r w:rsidRPr="00BC081A">
        <w:t xml:space="preserve"> </w:t>
      </w:r>
      <w:r w:rsidRPr="00BC081A">
        <w:rPr>
          <w:noProof/>
        </w:rPr>
        <w:t>(Agarwal &amp; Karahanna, 2000; Csikszentmihalyi, 1991, 1997; Novak et al., 2000)</w:t>
      </w:r>
      <w:r w:rsidRPr="00BC081A">
        <w:t xml:space="preserve"> were followed recursively to develop an effective search strategy. Additionally, all the articles including the “flow” term in AIS Electronic Library (AISEL), Business Source Complete, some HCI journals (such as Computers in Human </w:t>
      </w:r>
      <w:proofErr w:type="spellStart"/>
      <w:r w:rsidRPr="00BC081A">
        <w:t>Behavior</w:t>
      </w:r>
      <w:proofErr w:type="spellEnd"/>
      <w:r w:rsidRPr="00BC081A">
        <w:t xml:space="preserve">), and HCI category of Google Scholar (2003+) were checked for relevance. Some reviews of flow theory </w:t>
      </w:r>
      <w:r w:rsidRPr="00BC081A">
        <w:rPr>
          <w:noProof/>
        </w:rPr>
        <w:t>(Agarwal &amp; Karahanna, 2000; Donna L. Hoffman &amp; Novak, 2009; Mahfouz &amp; Guo, 2011; F. Nah &amp; Eschenbrenner, 2011; Y. Poon, Wong, &amp; Zhang, 2006)</w:t>
      </w:r>
      <w:r w:rsidRPr="00BC081A">
        <w:t xml:space="preserve"> were consulted in order to extract all the related studies. This search methodology found more than 2000 journal articles, conference proceedings, and unpublished dissertations. As such, it is reasonable to indicate that source bias was minimized through this extensive methodology, to </w:t>
      </w:r>
      <w:r w:rsidRPr="00BC081A">
        <w:lastRenderedPageBreak/>
        <w:t xml:space="preserve">provide a reliable meta-analysis. Furthermore, to minimize the publication bias, an email </w:t>
      </w:r>
      <w:r w:rsidR="00D27F97">
        <w:t xml:space="preserve">was also sent </w:t>
      </w:r>
      <w:r w:rsidRPr="00BC081A">
        <w:t>to the largest IS academic mailing list (</w:t>
      </w:r>
      <w:proofErr w:type="spellStart"/>
      <w:r w:rsidRPr="00BC081A">
        <w:t>AISWorld</w:t>
      </w:r>
      <w:proofErr w:type="spellEnd"/>
      <w:r w:rsidRPr="00BC081A">
        <w:t xml:space="preserve">) to inquire about unpublished, proceedings, and working papers that might be related to </w:t>
      </w:r>
      <w:r w:rsidR="009C0EC9">
        <w:t>this</w:t>
      </w:r>
      <w:r w:rsidRPr="00BC081A">
        <w:t xml:space="preserve"> research. </w:t>
      </w:r>
    </w:p>
    <w:p w14:paraId="49ECA70B" w14:textId="77777777" w:rsidR="00B06C83" w:rsidRPr="00BC081A" w:rsidRDefault="00B06C83" w:rsidP="00B06C83">
      <w:r w:rsidRPr="00BC081A">
        <w:t xml:space="preserve">Among these studies, 153 were selected as potential studies for the meta-analysis based on their relevance to the flow theory or CA. From the 153 relevant studies, only 37 qualified for inclusion in the final analysis, based on the following selection criteria: </w:t>
      </w:r>
    </w:p>
    <w:p w14:paraId="16D135ED" w14:textId="77777777" w:rsidR="00B06C83" w:rsidRPr="00BC081A" w:rsidRDefault="00B06C83" w:rsidP="00536F6A">
      <w:pPr>
        <w:pStyle w:val="ListParagraph"/>
        <w:widowControl w:val="0"/>
        <w:numPr>
          <w:ilvl w:val="0"/>
          <w:numId w:val="32"/>
        </w:numPr>
        <w:spacing w:before="120" w:after="120"/>
      </w:pPr>
      <w:r w:rsidRPr="00BC081A">
        <w:t>The study should operationalize flow or CA and its impact on the intention to use or attitude towards use (or any construct that could be justified as measuring the same concept</w:t>
      </w:r>
      <w:r w:rsidRPr="00BC081A">
        <w:rPr>
          <w:rStyle w:val="FootnoteReference"/>
        </w:rPr>
        <w:footnoteReference w:id="19"/>
      </w:r>
      <w:r w:rsidRPr="00BC081A">
        <w:t xml:space="preserve">). </w:t>
      </w:r>
    </w:p>
    <w:p w14:paraId="730E9245" w14:textId="77777777" w:rsidR="00B06C83" w:rsidRPr="00BC081A" w:rsidRDefault="00B06C83" w:rsidP="00536F6A">
      <w:pPr>
        <w:pStyle w:val="ListParagraph"/>
        <w:widowControl w:val="0"/>
        <w:numPr>
          <w:ilvl w:val="0"/>
          <w:numId w:val="32"/>
        </w:numPr>
        <w:spacing w:before="120" w:after="120"/>
      </w:pPr>
      <w:r w:rsidRPr="00BC081A">
        <w:t>The study should report reliabilities of the above mentioned measurement instruments</w:t>
      </w:r>
      <w:r w:rsidRPr="00BC081A">
        <w:rPr>
          <w:rStyle w:val="FootnoteReference"/>
        </w:rPr>
        <w:footnoteReference w:id="20"/>
      </w:r>
      <w:r w:rsidRPr="00BC081A">
        <w:t xml:space="preserve">. </w:t>
      </w:r>
    </w:p>
    <w:p w14:paraId="110E64B8" w14:textId="77777777" w:rsidR="00B06C83" w:rsidRPr="00BC081A" w:rsidRDefault="00B06C83" w:rsidP="00536F6A">
      <w:pPr>
        <w:pStyle w:val="ListParagraph"/>
        <w:widowControl w:val="0"/>
        <w:numPr>
          <w:ilvl w:val="0"/>
          <w:numId w:val="32"/>
        </w:numPr>
        <w:spacing w:before="120" w:after="120"/>
      </w:pPr>
      <w:r w:rsidRPr="00BC081A">
        <w:t>Sample size of the study is reported</w:t>
      </w:r>
      <w:r w:rsidRPr="00BC081A">
        <w:rPr>
          <w:rStyle w:val="FootnoteReference"/>
        </w:rPr>
        <w:footnoteReference w:id="21"/>
      </w:r>
      <w:r w:rsidRPr="00BC081A">
        <w:t>.</w:t>
      </w:r>
    </w:p>
    <w:p w14:paraId="703A9FDD" w14:textId="77777777" w:rsidR="00B06C83" w:rsidRPr="00BC081A" w:rsidRDefault="00B06C83" w:rsidP="00536F6A">
      <w:pPr>
        <w:pStyle w:val="ListParagraph"/>
        <w:widowControl w:val="0"/>
        <w:numPr>
          <w:ilvl w:val="0"/>
          <w:numId w:val="32"/>
        </w:numPr>
        <w:spacing w:before="120" w:after="120"/>
      </w:pPr>
      <w:r w:rsidRPr="00BC081A">
        <w:t xml:space="preserve">The correlation among flow/CA and attitude toward use or intention to use should be present, including their values as </w:t>
      </w:r>
      <w:r w:rsidRPr="00BC081A">
        <w:rPr>
          <w:i/>
        </w:rPr>
        <w:t>r, r</w:t>
      </w:r>
      <w:r w:rsidRPr="00BC081A">
        <w:rPr>
          <w:i/>
          <w:vertAlign w:val="superscript"/>
        </w:rPr>
        <w:t>2</w:t>
      </w:r>
      <w:r w:rsidRPr="00BC081A">
        <w:t xml:space="preserve"> or any other scale that can be transformed to </w:t>
      </w:r>
      <w:r w:rsidRPr="00BC081A">
        <w:rPr>
          <w:i/>
        </w:rPr>
        <w:t>r</w:t>
      </w:r>
      <w:r w:rsidRPr="00BC081A">
        <w:t xml:space="preserve">. </w:t>
      </w:r>
    </w:p>
    <w:p w14:paraId="1413C3E5" w14:textId="77777777" w:rsidR="00B06C83" w:rsidRPr="00BC081A" w:rsidRDefault="00B06C83" w:rsidP="00B06C83">
      <w:r w:rsidRPr="00BC081A">
        <w:t xml:space="preserve">For some studies that qualified for selection but were missing one of the criteria above (e.g. correlation table), the authors were contacted to inquire about the missing data. However, no response was received from any of the authors. All the studies were monitored for independence by comparing the papers and their reported data. In a case where a particular author had published a series of conference proceedings and a journal paper that had used the same data set, only one was selected for inclusion in this meta-analysis. </w:t>
      </w:r>
    </w:p>
    <w:p w14:paraId="554EDD2A" w14:textId="77777777" w:rsidR="00B06C83" w:rsidRPr="00BC081A" w:rsidRDefault="00B06C83" w:rsidP="00B06C83">
      <w:r w:rsidRPr="00BC081A">
        <w:lastRenderedPageBreak/>
        <w:t xml:space="preserve">One study that qualified for analysis </w:t>
      </w:r>
      <w:r w:rsidRPr="00BC081A">
        <w:rPr>
          <w:noProof/>
        </w:rPr>
        <w:t>(P. Zhang, Li, &amp; Sun, 2006)</w:t>
      </w:r>
      <w:r w:rsidRPr="00BC081A">
        <w:t xml:space="preserve"> was removed from the analysis. The rationale for making this decision was that the correlation of flow and intention to use of system (in their case use of web) was unreasonably low compared to other studies. With further investigation, it was clarified that these authors had tested the construct of flow, which is a hedonic construct in nature, on student samples. Later on, they asked the students if they intended to use the university’s website. Intention to use the university’s website is clearly a utilitarian use because the use of that website is out of students’ control. Therefore, it is expected that regardless of student’s positive experience in using the university’s website they still would intend to use the system because they are expected to for their coursework. Thus, it would be expected that combining a hedonic measure within a utilitarian context would decrease its actual effect. Based on the same rationale (inappropriateness of this evaluation for such e-Learning contexts), three other studies </w:t>
      </w:r>
      <w:r w:rsidRPr="00BC081A">
        <w:rPr>
          <w:noProof/>
        </w:rPr>
        <w:t>(Choi et al., 2007; Lee, 2010; Saadé &amp; Bahli, 2005)</w:t>
      </w:r>
      <w:r w:rsidRPr="00BC081A">
        <w:t xml:space="preserve"> were removed from the final analysis, leaving us with 34 studies. </w:t>
      </w:r>
    </w:p>
    <w:p w14:paraId="4D877E35" w14:textId="77777777" w:rsidR="00B06C83" w:rsidRPr="00BC081A" w:rsidRDefault="00B06C83" w:rsidP="00B06C83">
      <w:r w:rsidRPr="00BC081A">
        <w:t xml:space="preserve">For the detailed information about the studies that were selected for this meta-analysis, please refer to Appendix B. </w:t>
      </w:r>
    </w:p>
    <w:p w14:paraId="62018AF2" w14:textId="77777777" w:rsidR="00B06C83" w:rsidRPr="00BC081A" w:rsidRDefault="00B06C83" w:rsidP="00536F6A">
      <w:pPr>
        <w:pStyle w:val="Heading2"/>
        <w:numPr>
          <w:ilvl w:val="0"/>
          <w:numId w:val="0"/>
        </w:numPr>
        <w:ind w:left="576"/>
      </w:pPr>
      <w:bookmarkStart w:id="123" w:name="_Toc275209854"/>
      <w:r w:rsidRPr="00BC081A">
        <w:t>Analysis</w:t>
      </w:r>
      <w:bookmarkEnd w:id="123"/>
    </w:p>
    <w:p w14:paraId="703C61FE" w14:textId="77777777" w:rsidR="00B06C83" w:rsidRPr="00BC081A" w:rsidRDefault="00B06C83" w:rsidP="00B06C83">
      <w:r w:rsidRPr="00BC081A">
        <w:t xml:space="preserve">All the studies that were selected for the meta-analysis were meticulously reviewed to extract the required data. The correlations (of flow with attitude and intension) and their reliabilities were recorded in a spreadsheet. For some studies, flow/CA was measured as a multidimensional construct and separate correlation values were not reported. But, the correlations were reported between the dimensions of that construct with other constructs (e.g. attitude or intention). For those studies, correlation of flow with attitude or intension was used using the following formula by measuring the correlation of the composite variable </w:t>
      </w:r>
      <w:r w:rsidRPr="00BC081A">
        <w:rPr>
          <w:noProof/>
        </w:rPr>
        <w:t>(Ley, 1972)</w:t>
      </w:r>
      <w:r w:rsidRPr="00BC081A">
        <w:t xml:space="preserve">: </w:t>
      </w:r>
    </w:p>
    <w:p w14:paraId="578845AF" w14:textId="77777777" w:rsidR="00B06C83" w:rsidRPr="00BC081A" w:rsidRDefault="00D517AC" w:rsidP="00B06C83">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oC</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oi</m:t>
                      </m:r>
                    </m:sub>
                  </m:sSub>
                </m:e>
              </m:acc>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n(n-1)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ij</m:t>
                          </m:r>
                        </m:sub>
                      </m:sSub>
                    </m:e>
                  </m:acc>
                </m:e>
              </m:rad>
            </m:den>
          </m:f>
          <m:r>
            <w:rPr>
              <w:rFonts w:ascii="Cambria Math" w:hAnsi="Cambria Math"/>
            </w:rPr>
            <m: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oi</m:t>
                      </m:r>
                    </m:sub>
                  </m:sSub>
                </m:e>
              </m:acc>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n-1</m:t>
                      </m:r>
                    </m:num>
                    <m:den>
                      <m:r>
                        <w:rPr>
                          <w:rFonts w:ascii="Cambria Math" w:hAnsi="Cambria Math"/>
                        </w:rPr>
                        <m:t>n</m:t>
                      </m:r>
                    </m:den>
                  </m:f>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ij</m:t>
                          </m:r>
                        </m:sub>
                      </m:sSub>
                    </m:e>
                  </m:acc>
                </m:e>
              </m:rad>
            </m:den>
          </m:f>
        </m:oMath>
      </m:oMathPara>
    </w:p>
    <w:p w14:paraId="21E62085" w14:textId="77777777" w:rsidR="00B06C83" w:rsidRPr="00BC081A" w:rsidRDefault="00B06C83" w:rsidP="00B06C83">
      <w:r w:rsidRPr="00BC081A">
        <w:t xml:space="preserve">Where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oi</m:t>
                </m:r>
              </m:sub>
            </m:sSub>
          </m:e>
        </m:acc>
      </m:oMath>
      <w:r w:rsidRPr="00BC081A">
        <w:rPr>
          <w:i/>
        </w:rPr>
        <w:t xml:space="preserve"> </w:t>
      </w:r>
      <w:r w:rsidRPr="00BC081A">
        <w:t xml:space="preserve">is the average correlation of dimensions with attitude or intention, n is the number of dimensions,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ij</m:t>
                </m:r>
              </m:sub>
            </m:sSub>
          </m:e>
        </m:acc>
      </m:oMath>
      <w:r w:rsidRPr="00BC081A">
        <w:t xml:space="preserve">is the average of the correlation among components themselves. </w:t>
      </w:r>
    </w:p>
    <w:p w14:paraId="147A4EE8" w14:textId="0570BBB0" w:rsidR="00B06C83" w:rsidRPr="00BC081A" w:rsidRDefault="00B06C83" w:rsidP="00B06C83">
      <w:r w:rsidRPr="00BC081A">
        <w:t xml:space="preserve">Reliabilities in several studies required further a mention. In articles where reliabilities were reported as </w:t>
      </w:r>
      <w:proofErr w:type="spellStart"/>
      <w:r w:rsidRPr="00BC081A">
        <w:t>Cronbach’s</w:t>
      </w:r>
      <w:proofErr w:type="spellEnd"/>
      <w:r w:rsidRPr="00BC081A">
        <w:t xml:space="preserve"> alpha, no change was made to their values. If both </w:t>
      </w:r>
      <w:proofErr w:type="spellStart"/>
      <w:r w:rsidRPr="00BC081A">
        <w:t>Cronbach’s</w:t>
      </w:r>
      <w:proofErr w:type="spellEnd"/>
      <w:r w:rsidRPr="00BC081A">
        <w:t xml:space="preserve"> alpha and Composite Reliability (CR) was reported in the study, the </w:t>
      </w:r>
      <w:proofErr w:type="spellStart"/>
      <w:r w:rsidRPr="00BC081A">
        <w:t>Cronbach’s</w:t>
      </w:r>
      <w:proofErr w:type="spellEnd"/>
      <w:r w:rsidRPr="00BC081A">
        <w:t xml:space="preserve"> alpha was used in alignment with most of the studies considering the low sensitivity of the final results to slight variations in reliability values. In fact, the difference between these two values is not expected to be much</w:t>
      </w:r>
      <w:r w:rsidRPr="00BC081A">
        <w:rPr>
          <w:rStyle w:val="FootnoteReference"/>
        </w:rPr>
        <w:footnoteReference w:id="22"/>
      </w:r>
      <w:r w:rsidRPr="00BC081A">
        <w:t xml:space="preserve"> if any. This was also true in the final findings of this meta-analysis. By monitoring this difference, sensitivity analysis </w:t>
      </w:r>
      <w:r w:rsidR="00D27F97">
        <w:t xml:space="preserve">was </w:t>
      </w:r>
      <w:r w:rsidR="00D27F97" w:rsidRPr="00BC081A">
        <w:t xml:space="preserve">conducted </w:t>
      </w:r>
      <w:r w:rsidRPr="00BC081A">
        <w:rPr>
          <w:noProof/>
        </w:rPr>
        <w:t>(similar to the approach used by Sabherwal, Jeyaraj, &amp; Chowa, 2006)</w:t>
      </w:r>
      <w:r w:rsidRPr="00BC081A">
        <w:t xml:space="preserve"> to make sure that the choice of one of the reliability reports instead of the other one would not considerably affect the results of the meta-analysis. </w:t>
      </w:r>
    </w:p>
    <w:p w14:paraId="3331E3C9" w14:textId="77777777" w:rsidR="00B06C83" w:rsidRPr="00BC081A" w:rsidRDefault="00B06C83" w:rsidP="00B06C83">
      <w:r w:rsidRPr="00BC081A">
        <w:t>The main issue in reporting reliabilities arises in cases that flow/CA is measured as a second-order construct. In those cases, some studies have only reported reliabilities for each of the dimensions separately. For these cases, if the only information given was the reliabilities of each dimension separately, the average of reliabilities was used. In most of the cases, by using the factor loading of the outer model (model of the weights of the relation from flow to its dimensions), composite reliability of flow/CA was calculated. The formula for calculating composite reliability is as follows:</w:t>
      </w:r>
    </w:p>
    <w:p w14:paraId="1BFC7721" w14:textId="77777777" w:rsidR="00B06C83" w:rsidRPr="00BC081A" w:rsidRDefault="00B06C83" w:rsidP="00B06C83">
      <w:pPr>
        <w:jc w:val="center"/>
      </w:pPr>
      <m:oMathPara>
        <m:oMath>
          <m:r>
            <w:rPr>
              <w:rFonts w:ascii="Cambria Math" w:hAnsi="Cambria Math"/>
            </w:rPr>
            <m:t xml:space="preserve">CR= </m:t>
          </m:r>
          <m:f>
            <m:fPr>
              <m:ctrlPr>
                <w:rPr>
                  <w:rFonts w:ascii="Cambria Math" w:hAnsi="Cambria Math"/>
                  <w:i/>
                </w:rPr>
              </m:ctrlPr>
            </m:fPr>
            <m:num>
              <m:sSup>
                <m:sSupPr>
                  <m:ctrlPr>
                    <w:rPr>
                      <w:rFonts w:ascii="Cambria Math" w:hAnsi="Cambria Math"/>
                      <w:i/>
                    </w:rPr>
                  </m:ctrlPr>
                </m:sSup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L</m:t>
                          </m:r>
                        </m:e>
                        <m:sub>
                          <m:r>
                            <w:rPr>
                              <w:rFonts w:ascii="Cambria Math" w:hAnsi="Cambria Math"/>
                            </w:rPr>
                            <m:t>i</m:t>
                          </m:r>
                        </m:sub>
                      </m:sSub>
                    </m:e>
                  </m:nary>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L</m:t>
                          </m:r>
                        </m:e>
                        <m:sub>
                          <m:r>
                            <w:rPr>
                              <w:rFonts w:ascii="Cambria Math" w:hAnsi="Cambria Math"/>
                            </w:rPr>
                            <m:t>i</m:t>
                          </m:r>
                        </m:sub>
                      </m:sSub>
                    </m:e>
                  </m:nary>
                  <m:r>
                    <w:rPr>
                      <w:rFonts w:ascii="Cambria Math" w:hAnsi="Cambria Math"/>
                    </w:rPr>
                    <m:t>)</m:t>
                  </m:r>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i</m:t>
                      </m:r>
                    </m:sub>
                  </m:sSub>
                </m:e>
              </m:nary>
              <m:r>
                <w:rPr>
                  <w:rFonts w:ascii="Cambria Math" w:hAnsi="Cambria Math"/>
                </w:rPr>
                <m:t>)</m:t>
              </m:r>
            </m:den>
          </m:f>
        </m:oMath>
      </m:oMathPara>
    </w:p>
    <w:p w14:paraId="3F72F00D" w14:textId="77777777" w:rsidR="00B06C83" w:rsidRPr="00BC081A" w:rsidRDefault="00B06C83" w:rsidP="00B06C83">
      <w:r w:rsidRPr="00BC081A">
        <w:lastRenderedPageBreak/>
        <w:t>Where</w:t>
      </w:r>
      <w:r w:rsidRPr="00BC081A">
        <w:rPr>
          <w:sz w:val="28"/>
          <w:szCs w:val="28"/>
        </w:rPr>
        <w:t xml:space="preserve"> </w:t>
      </w:r>
      <w:r w:rsidRPr="00BC081A">
        <w:rPr>
          <w:i/>
          <w:sz w:val="28"/>
          <w:szCs w:val="28"/>
        </w:rPr>
        <w:t>L</w:t>
      </w:r>
      <w:r w:rsidRPr="00BC081A">
        <w:rPr>
          <w:i/>
          <w:vertAlign w:val="subscript"/>
        </w:rPr>
        <w:t>i</w:t>
      </w:r>
      <w:r w:rsidRPr="00BC081A">
        <w:t xml:space="preserve"> is the loading of each dimension, and </w:t>
      </w:r>
      <w:proofErr w:type="spellStart"/>
      <w:r w:rsidRPr="00BC081A">
        <w:rPr>
          <w:i/>
          <w:sz w:val="28"/>
          <w:szCs w:val="28"/>
        </w:rPr>
        <w:t>e</w:t>
      </w:r>
      <w:r w:rsidRPr="00BC081A">
        <w:rPr>
          <w:i/>
          <w:sz w:val="28"/>
          <w:szCs w:val="28"/>
          <w:vertAlign w:val="subscript"/>
        </w:rPr>
        <w:t>i</w:t>
      </w:r>
      <w:proofErr w:type="spellEnd"/>
      <w:r w:rsidRPr="00BC081A">
        <w:rPr>
          <w:i/>
          <w:sz w:val="28"/>
          <w:szCs w:val="28"/>
        </w:rPr>
        <w:t xml:space="preserve"> </w:t>
      </w:r>
      <w:r w:rsidRPr="00BC081A">
        <w:t xml:space="preserve">is the error for that factor that is </w:t>
      </w:r>
      <w:r w:rsidRPr="00BC081A">
        <w:rPr>
          <w:i/>
        </w:rPr>
        <w:t>1- L</w:t>
      </w:r>
      <w:r w:rsidRPr="00BC081A">
        <w:rPr>
          <w:i/>
          <w:vertAlign w:val="subscript"/>
        </w:rPr>
        <w:t>i</w:t>
      </w:r>
      <w:r w:rsidRPr="00BC081A">
        <w:rPr>
          <w:i/>
          <w:vertAlign w:val="superscript"/>
        </w:rPr>
        <w:t>2</w:t>
      </w:r>
      <w:r w:rsidRPr="00BC081A">
        <w:t xml:space="preserve">. </w:t>
      </w:r>
    </w:p>
    <w:p w14:paraId="376FEC01" w14:textId="77777777" w:rsidR="00B06C83" w:rsidRPr="00BC081A" w:rsidRDefault="00B06C83" w:rsidP="00B06C83">
      <w:r w:rsidRPr="00BC081A">
        <w:t xml:space="preserve">In addition, the type of operationalization of flow was recorded as number 1 for unidimensional, 2 for multidimensional corresponding to CA, 3 for multidimensional that entails some or another variation of the dimensions of CA, and 4 for others. </w:t>
      </w:r>
    </w:p>
    <w:p w14:paraId="5BBDAE90" w14:textId="77777777" w:rsidR="00B06C83" w:rsidRPr="00BC081A" w:rsidRDefault="00B06C83" w:rsidP="00B06C83">
      <w:proofErr w:type="gramStart"/>
      <w:r w:rsidRPr="00BC081A">
        <w:t xml:space="preserve">The analysis was then performed by following </w:t>
      </w:r>
      <w:r w:rsidRPr="00BC081A">
        <w:rPr>
          <w:noProof/>
        </w:rPr>
        <w:t>Hunter &amp; Schmidt's (1990)</w:t>
      </w:r>
      <w:r w:rsidRPr="00BC081A">
        <w:t xml:space="preserve"> meta-analysis technique</w:t>
      </w:r>
      <w:proofErr w:type="gramEnd"/>
      <w:r w:rsidRPr="00BC081A">
        <w:t>. For this reason, the following five steps were taken:</w:t>
      </w:r>
    </w:p>
    <w:p w14:paraId="16DEC01A" w14:textId="77777777" w:rsidR="00B06C83" w:rsidRPr="00BC081A" w:rsidRDefault="00B06C83" w:rsidP="00536F6A">
      <w:pPr>
        <w:pStyle w:val="ListParagraph"/>
        <w:widowControl w:val="0"/>
        <w:numPr>
          <w:ilvl w:val="0"/>
          <w:numId w:val="33"/>
        </w:numPr>
        <w:spacing w:before="120" w:after="120"/>
      </w:pPr>
      <w:r w:rsidRPr="00BC081A">
        <w:t>Effect sizes (correlation weights) were corrected for unreliability using the following formula (</w:t>
      </w:r>
      <m:oMath>
        <m:sSub>
          <m:sSubPr>
            <m:ctrlPr>
              <w:rPr>
                <w:rFonts w:ascii="Cambria Math" w:hAnsi="Cambria Math"/>
                <w:i/>
              </w:rPr>
            </m:ctrlPr>
          </m:sSubPr>
          <m:e>
            <m:r>
              <w:rPr>
                <w:rFonts w:ascii="Cambria Math" w:hAnsi="Cambria Math"/>
              </w:rPr>
              <m:t>r</m:t>
            </m:r>
          </m:e>
          <m:sub>
            <m:r>
              <w:rPr>
                <w:rFonts w:ascii="Cambria Math" w:hAnsi="Cambria Math"/>
              </w:rPr>
              <m:t>xx</m:t>
            </m:r>
          </m:sub>
        </m:sSub>
      </m:oMath>
      <w:r w:rsidRPr="00BC081A">
        <w:t xml:space="preserve"> is the reliability):</w:t>
      </w:r>
    </w:p>
    <w:p w14:paraId="7A7C6D99" w14:textId="77777777" w:rsidR="00B06C83" w:rsidRPr="00BC081A" w:rsidRDefault="00D517AC" w:rsidP="00B06C83">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xy</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yy</m:t>
                      </m:r>
                    </m:sub>
                  </m:sSub>
                </m:e>
              </m:rad>
            </m:den>
          </m:f>
        </m:oMath>
      </m:oMathPara>
    </w:p>
    <w:p w14:paraId="128583B7" w14:textId="77777777" w:rsidR="00B06C83" w:rsidRPr="00BC081A" w:rsidRDefault="00B06C83" w:rsidP="00536F6A">
      <w:pPr>
        <w:pStyle w:val="ListParagraph"/>
        <w:widowControl w:val="0"/>
        <w:numPr>
          <w:ilvl w:val="0"/>
          <w:numId w:val="33"/>
        </w:numPr>
        <w:spacing w:before="120" w:after="120"/>
      </w:pPr>
      <w:r w:rsidRPr="00BC081A">
        <w:t>Corrected effect sizes were transformed to standard scores as follows:</w:t>
      </w:r>
    </w:p>
    <w:p w14:paraId="271AC425" w14:textId="77777777" w:rsidR="00B06C83" w:rsidRPr="00BC081A" w:rsidRDefault="00D517AC" w:rsidP="00B06C83">
      <w:pPr>
        <w:jc w:val="center"/>
      </w:pPr>
      <m:oMathPara>
        <m:oMath>
          <m:sSub>
            <m:sSubPr>
              <m:ctrlPr>
                <w:rPr>
                  <w:rFonts w:ascii="Cambria Math" w:hAnsi="Cambria Math"/>
                  <w:i/>
                </w:rPr>
              </m:ctrlPr>
            </m:sSubPr>
            <m:e>
              <m:r>
                <w:rPr>
                  <w:rFonts w:ascii="Cambria Math" w:hAnsi="Cambria Math"/>
                </w:rPr>
                <m:t>ES</m:t>
              </m:r>
            </m:e>
            <m:sub>
              <m:r>
                <w:rPr>
                  <w:rFonts w:ascii="Cambria Math" w:hAnsi="Cambria Math"/>
                </w:rPr>
                <m:t>Zr</m:t>
              </m:r>
            </m:sub>
          </m:sSub>
          <m:r>
            <w:rPr>
              <w:rFonts w:ascii="Cambria Math" w:hAnsi="Cambria Math"/>
            </w:rPr>
            <m:t>=.5×</m:t>
          </m:r>
          <m:r>
            <m:rPr>
              <m:sty m:val="p"/>
            </m:rPr>
            <w:rPr>
              <w:rFonts w:ascii="Cambria Math" w:hAnsi="Cambria Math"/>
            </w:rPr>
            <m:t>ln⁡</m:t>
          </m:r>
          <m:r>
            <w:rPr>
              <w:rFonts w:ascii="Cambria Math" w:hAnsi="Cambria Math"/>
            </w:rPr>
            <m:t>[</m:t>
          </m:r>
          <m:f>
            <m:fPr>
              <m:ctrlPr>
                <w:rPr>
                  <w:rFonts w:ascii="Cambria Math" w:hAnsi="Cambria Math"/>
                  <w:i/>
                </w:rPr>
              </m:ctrlPr>
            </m:fPr>
            <m:num>
              <m:r>
                <w:rPr>
                  <w:rFonts w:ascii="Cambria Math" w:hAnsi="Cambria Math"/>
                </w:rPr>
                <m:t>1+r</m:t>
              </m:r>
            </m:num>
            <m:den>
              <m:r>
                <w:rPr>
                  <w:rFonts w:ascii="Cambria Math" w:hAnsi="Cambria Math"/>
                </w:rPr>
                <m:t>1-r</m:t>
              </m:r>
            </m:den>
          </m:f>
          <m:r>
            <w:rPr>
              <w:rFonts w:ascii="Cambria Math" w:hAnsi="Cambria Math"/>
            </w:rPr>
            <m:t>]</m:t>
          </m:r>
        </m:oMath>
      </m:oMathPara>
    </w:p>
    <w:p w14:paraId="48E38FEA" w14:textId="77777777" w:rsidR="00B06C83" w:rsidRPr="00BC081A" w:rsidRDefault="00B06C83" w:rsidP="00536F6A">
      <w:pPr>
        <w:pStyle w:val="ListParagraph"/>
        <w:widowControl w:val="0"/>
        <w:numPr>
          <w:ilvl w:val="0"/>
          <w:numId w:val="33"/>
        </w:numPr>
        <w:spacing w:before="120" w:after="120"/>
      </w:pPr>
      <w:r w:rsidRPr="00BC081A">
        <w:t>Weights were also corrected for unreliability and adjusted:</w:t>
      </w:r>
    </w:p>
    <w:p w14:paraId="5D14E0FE" w14:textId="77777777" w:rsidR="00B06C83" w:rsidRPr="00BC081A" w:rsidRDefault="00D517AC" w:rsidP="00B06C83">
      <w:pPr>
        <w:jc w:val="center"/>
      </w:pPr>
      <m:oMathPara>
        <m:oMath>
          <m:sSup>
            <m:sSupPr>
              <m:ctrlPr>
                <w:rPr>
                  <w:rFonts w:ascii="Cambria Math" w:hAnsi="Cambria Math"/>
                  <w:i/>
                </w:rPr>
              </m:ctrlPr>
            </m:sSupPr>
            <m:e>
              <m:r>
                <w:rPr>
                  <w:rFonts w:ascii="Cambria Math" w:hAnsi="Cambria Math"/>
                </w:rPr>
                <m:t>w</m:t>
              </m:r>
            </m:e>
            <m:sup>
              <m:r>
                <w:rPr>
                  <w:rFonts w:ascii="Cambria Math" w:hAnsi="Cambria Math"/>
                </w:rPr>
                <m:t>'</m:t>
              </m:r>
            </m:sup>
          </m:sSup>
          <m:r>
            <w:rPr>
              <w:rFonts w:ascii="Cambria Math" w:hAnsi="Cambria Math"/>
            </w:rPr>
            <m:t xml:space="preserve">= w × </m:t>
          </m:r>
          <m:sSub>
            <m:sSubPr>
              <m:ctrlPr>
                <w:rPr>
                  <w:rFonts w:ascii="Cambria Math" w:hAnsi="Cambria Math"/>
                  <w:i/>
                </w:rPr>
              </m:ctrlPr>
            </m:sSubPr>
            <m:e>
              <m:r>
                <w:rPr>
                  <w:rFonts w:ascii="Cambria Math" w:hAnsi="Cambria Math"/>
                </w:rPr>
                <m:t>r</m:t>
              </m:r>
            </m:e>
            <m:sub>
              <m:r>
                <w:rPr>
                  <w:rFonts w:ascii="Cambria Math" w:hAnsi="Cambria Math"/>
                </w:rPr>
                <m:t xml:space="preserve">xx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yy</m:t>
              </m:r>
            </m:sub>
          </m:sSub>
        </m:oMath>
      </m:oMathPara>
    </w:p>
    <w:p w14:paraId="05085A13" w14:textId="77777777" w:rsidR="00B06C83" w:rsidRPr="00BC081A" w:rsidRDefault="00B06C83" w:rsidP="00536F6A">
      <w:pPr>
        <w:pStyle w:val="ListParagraph"/>
        <w:widowControl w:val="0"/>
        <w:numPr>
          <w:ilvl w:val="0"/>
          <w:numId w:val="33"/>
        </w:numPr>
        <w:spacing w:before="120" w:after="120"/>
      </w:pPr>
      <w:r w:rsidRPr="00BC081A">
        <w:t>Then, overall weighted mean effect size was calculated:</w:t>
      </w:r>
    </w:p>
    <w:p w14:paraId="2C7450A9" w14:textId="77777777" w:rsidR="00B06C83" w:rsidRPr="00BC081A" w:rsidRDefault="00D517AC" w:rsidP="00B06C83">
      <w:pPr>
        <w:jc w:val="center"/>
      </w:pPr>
      <m:oMathPara>
        <m:oMath>
          <m:acc>
            <m:accPr>
              <m:chr m:val="̅"/>
              <m:ctrlPr>
                <w:rPr>
                  <w:rFonts w:ascii="Cambria Math" w:hAnsi="Cambria Math"/>
                  <w:i/>
                </w:rPr>
              </m:ctrlPr>
            </m:accPr>
            <m:e>
              <m:r>
                <w:rPr>
                  <w:rFonts w:ascii="Cambria Math" w:hAnsi="Cambria Math"/>
                </w:rPr>
                <m:t>ES</m:t>
              </m:r>
            </m:e>
          </m:acc>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w × ES</m:t>
                  </m:r>
                </m:e>
              </m:nary>
            </m:num>
            <m:den>
              <m:nary>
                <m:naryPr>
                  <m:chr m:val="∑"/>
                  <m:limLoc m:val="undOvr"/>
                  <m:subHide m:val="1"/>
                  <m:supHide m:val="1"/>
                  <m:ctrlPr>
                    <w:rPr>
                      <w:rFonts w:ascii="Cambria Math" w:hAnsi="Cambria Math"/>
                      <w:i/>
                    </w:rPr>
                  </m:ctrlPr>
                </m:naryPr>
                <m:sub/>
                <m:sup/>
                <m:e>
                  <m:r>
                    <w:rPr>
                      <w:rFonts w:ascii="Cambria Math" w:hAnsi="Cambria Math"/>
                    </w:rPr>
                    <m:t>w</m:t>
                  </m:r>
                </m:e>
              </m:nary>
            </m:den>
          </m:f>
        </m:oMath>
      </m:oMathPara>
    </w:p>
    <w:p w14:paraId="0547415C" w14:textId="77777777" w:rsidR="00B06C83" w:rsidRPr="00BC081A" w:rsidRDefault="00B06C83" w:rsidP="00536F6A">
      <w:pPr>
        <w:pStyle w:val="ListParagraph"/>
        <w:widowControl w:val="0"/>
        <w:numPr>
          <w:ilvl w:val="0"/>
          <w:numId w:val="33"/>
        </w:numPr>
        <w:spacing w:before="120" w:after="120"/>
      </w:pPr>
      <w:r w:rsidRPr="00BC081A">
        <w:t xml:space="preserve">And finally average </w:t>
      </w:r>
      <w:r w:rsidRPr="00BC081A">
        <w:rPr>
          <w:i/>
        </w:rPr>
        <w:t>r</w:t>
      </w:r>
      <w:r w:rsidRPr="00BC081A">
        <w:t xml:space="preserve"> was measured by transforming the overall average back into </w:t>
      </w:r>
      <w:r w:rsidRPr="00BC081A">
        <w:rPr>
          <w:i/>
        </w:rPr>
        <w:t xml:space="preserve">r </w:t>
      </w:r>
      <w:r w:rsidRPr="00BC081A">
        <w:t xml:space="preserve">using </w:t>
      </w:r>
      <w:proofErr w:type="spellStart"/>
      <w:r w:rsidRPr="00BC081A">
        <w:rPr>
          <w:i/>
        </w:rPr>
        <w:t>Z</w:t>
      </w:r>
      <w:r w:rsidRPr="00BC081A">
        <w:rPr>
          <w:i/>
          <w:vertAlign w:val="subscript"/>
        </w:rPr>
        <w:t>r</w:t>
      </w:r>
      <w:proofErr w:type="spellEnd"/>
      <w:r w:rsidRPr="00BC081A">
        <w:t xml:space="preserve"> transformation:</w:t>
      </w:r>
    </w:p>
    <w:p w14:paraId="19A3115C" w14:textId="77777777" w:rsidR="00B06C83" w:rsidRPr="00BC081A" w:rsidRDefault="00B06C83" w:rsidP="00B06C83">
      <w:pPr>
        <w:jc w:val="center"/>
      </w:pPr>
      <m:oMathPara>
        <m:oMath>
          <m:r>
            <w:rPr>
              <w:rFonts w:ascii="Cambria Math" w:hAnsi="Cambria Math"/>
            </w:rPr>
            <m:t>r=</m:t>
          </m:r>
          <m:f>
            <m:fPr>
              <m:type m:val="lin"/>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2ESz</m:t>
                  </m:r>
                </m:sup>
              </m:sSup>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2ESz</m:t>
                  </m:r>
                </m:sup>
              </m:sSup>
              <m:r>
                <w:rPr>
                  <w:rFonts w:ascii="Cambria Math" w:hAnsi="Cambria Math"/>
                </w:rPr>
                <m:t>+1)</m:t>
              </m:r>
            </m:den>
          </m:f>
        </m:oMath>
      </m:oMathPara>
    </w:p>
    <w:p w14:paraId="1FDDACF9" w14:textId="77777777" w:rsidR="00B06C83" w:rsidRPr="00BC081A" w:rsidRDefault="00B06C83" w:rsidP="00536F6A">
      <w:pPr>
        <w:pStyle w:val="Heading2"/>
        <w:numPr>
          <w:ilvl w:val="0"/>
          <w:numId w:val="0"/>
        </w:numPr>
        <w:ind w:left="576"/>
      </w:pPr>
      <w:bookmarkStart w:id="124" w:name="_Toc275209855"/>
      <w:r w:rsidRPr="00BC081A">
        <w:lastRenderedPageBreak/>
        <w:t>Results</w:t>
      </w:r>
      <w:bookmarkEnd w:id="124"/>
    </w:p>
    <w:p w14:paraId="164188ED" w14:textId="1584B001" w:rsidR="00B06C83" w:rsidRPr="00BC081A" w:rsidRDefault="00B06C83" w:rsidP="00B06C83">
      <w:r w:rsidRPr="00BC081A">
        <w:t xml:space="preserve">The steps mentioned above were conducted for the relationships of flow/CA with both attitude towards use and intention to use separately. Average corrected (weighted mean) effect size for relationship between flow and attitude was .68, and .57 for relationship between flow and intention, supporting hypotheses </w:t>
      </w:r>
      <w:r w:rsidRPr="00BC081A">
        <w:rPr>
          <w:b/>
        </w:rPr>
        <w:t xml:space="preserve">H1 </w:t>
      </w:r>
      <w:r w:rsidRPr="00BC081A">
        <w:t xml:space="preserve">and </w:t>
      </w:r>
      <w:r w:rsidRPr="00BC081A">
        <w:rPr>
          <w:b/>
        </w:rPr>
        <w:t>H2</w:t>
      </w:r>
      <w:r w:rsidRPr="00BC081A">
        <w:t xml:space="preserve">. The final transformed </w:t>
      </w:r>
      <w:proofErr w:type="gramStart"/>
      <w:r w:rsidRPr="00BC081A">
        <w:rPr>
          <w:i/>
        </w:rPr>
        <w:t>r</w:t>
      </w:r>
      <w:r w:rsidRPr="00BC081A">
        <w:t xml:space="preserve"> value</w:t>
      </w:r>
      <w:proofErr w:type="gramEnd"/>
      <w:r w:rsidRPr="00BC081A">
        <w:t xml:space="preserve"> was .59 for the relation with attitude and .52 for the relation with intention, showing a high effect size for both relations. Standard error was also calculated for both correlations (.02 and .01) for finding the confidence intervals. The 95% confidence intervals are .59 ± .01 and .52 ± .01 for attitude and intention’s relations respectively. </w:t>
      </w:r>
      <w:r w:rsidR="00D27F97">
        <w:t xml:space="preserve">It </w:t>
      </w:r>
      <w:r w:rsidRPr="00BC081A">
        <w:t xml:space="preserve">can </w:t>
      </w:r>
      <w:r w:rsidR="00D27F97">
        <w:t xml:space="preserve">be </w:t>
      </w:r>
      <w:r w:rsidRPr="00BC081A">
        <w:t>see</w:t>
      </w:r>
      <w:r w:rsidR="00D27F97">
        <w:t>n</w:t>
      </w:r>
      <w:r w:rsidRPr="00BC081A">
        <w:t xml:space="preserve"> that none of the confidence intervals includes zero and are actually very small, showing a very significant effect. </w:t>
      </w:r>
      <w:proofErr w:type="gramStart"/>
      <w:r w:rsidRPr="00BC081A">
        <w:rPr>
          <w:i/>
        </w:rPr>
        <w:t>z</w:t>
      </w:r>
      <w:proofErr w:type="gramEnd"/>
      <w:r w:rsidRPr="00BC081A">
        <w:rPr>
          <w:i/>
        </w:rPr>
        <w:t>-</w:t>
      </w:r>
      <w:r w:rsidRPr="00BC081A">
        <w:t xml:space="preserve">score was also measured for both values: 35.06 for correlation of flow and attitude, and 39.93 for flow and intention, showing again a very significant result in the findings. </w:t>
      </w:r>
    </w:p>
    <w:p w14:paraId="6B2EB5FA" w14:textId="77777777" w:rsidR="00B06C83" w:rsidRPr="00BC081A" w:rsidRDefault="00B06C83" w:rsidP="00B06C83">
      <w:r w:rsidRPr="00BC081A">
        <w:tab/>
        <w:t xml:space="preserve">A </w:t>
      </w:r>
      <w:r w:rsidRPr="00BC081A">
        <w:rPr>
          <w:i/>
        </w:rPr>
        <w:t>Q-</w:t>
      </w:r>
      <w:r w:rsidRPr="00BC081A">
        <w:t xml:space="preserve">test was conducted for checking the existence of potential moderators in the findings. </w:t>
      </w:r>
      <w:r w:rsidRPr="00BC081A">
        <w:rPr>
          <w:i/>
        </w:rPr>
        <w:t>Q</w:t>
      </w:r>
      <w:r w:rsidRPr="00BC081A">
        <w:t xml:space="preserve"> values of both relations are very high: 261.81 for correlation between flow and attitude, and 275.98 for flow and intention. The total number of studies that had measured the effect size for attitude </w:t>
      </w:r>
      <w:proofErr w:type="gramStart"/>
      <w:r w:rsidRPr="00BC081A">
        <w:t>were</w:t>
      </w:r>
      <w:proofErr w:type="gramEnd"/>
      <w:r w:rsidRPr="00BC081A">
        <w:t xml:space="preserve"> 13, leaving 12 degrees of freedom. Obviously, 261.81 is much higher than 21.03 (chi-square value for </w:t>
      </w:r>
      <w:proofErr w:type="spellStart"/>
      <w:r w:rsidRPr="00BC081A">
        <w:rPr>
          <w:i/>
        </w:rPr>
        <w:t>df</w:t>
      </w:r>
      <w:proofErr w:type="spellEnd"/>
      <w:r w:rsidRPr="00BC081A">
        <w:t xml:space="preserve">=12 and </w:t>
      </w:r>
      <w:r w:rsidRPr="00BC081A">
        <w:rPr>
          <w:i/>
        </w:rPr>
        <w:t>p</w:t>
      </w:r>
      <w:r w:rsidRPr="00BC081A">
        <w:t>=</w:t>
      </w:r>
      <w:proofErr w:type="gramStart"/>
      <w:r w:rsidRPr="00BC081A">
        <w:t>.05</w:t>
      </w:r>
      <w:proofErr w:type="gramEnd"/>
      <w:r w:rsidRPr="00BC081A">
        <w:t xml:space="preserve">), showing that the effect sizes are heterogeneous and possible moderators exist. The same issue was observed for correlation of flow and intention: </w:t>
      </w:r>
      <w:r w:rsidRPr="00BC081A">
        <w:rPr>
          <w:i/>
        </w:rPr>
        <w:t>Q</w:t>
      </w:r>
      <w:r w:rsidRPr="00BC081A">
        <w:t xml:space="preserve">=275.98 for </w:t>
      </w:r>
      <w:proofErr w:type="spellStart"/>
      <w:r w:rsidRPr="00BC081A">
        <w:rPr>
          <w:i/>
        </w:rPr>
        <w:t>df</w:t>
      </w:r>
      <w:proofErr w:type="spellEnd"/>
      <w:r w:rsidRPr="00BC081A">
        <w:t xml:space="preserve">=27 (chi-square value of 30.14 for </w:t>
      </w:r>
      <w:r w:rsidRPr="00BC081A">
        <w:rPr>
          <w:i/>
        </w:rPr>
        <w:t>p</w:t>
      </w:r>
      <w:r w:rsidRPr="00BC081A">
        <w:t>=</w:t>
      </w:r>
      <w:proofErr w:type="gramStart"/>
      <w:r w:rsidRPr="00BC081A">
        <w:t>.05</w:t>
      </w:r>
      <w:proofErr w:type="gramEnd"/>
      <w:r w:rsidRPr="00BC081A">
        <w:t xml:space="preserve">). </w:t>
      </w:r>
    </w:p>
    <w:p w14:paraId="7A081567" w14:textId="77777777" w:rsidR="00B06C83" w:rsidRPr="00BC081A" w:rsidRDefault="00B06C83" w:rsidP="00536F6A">
      <w:pPr>
        <w:pStyle w:val="Heading3"/>
        <w:numPr>
          <w:ilvl w:val="0"/>
          <w:numId w:val="0"/>
        </w:numPr>
        <w:ind w:left="720"/>
      </w:pPr>
      <w:bookmarkStart w:id="125" w:name="_Toc275209856"/>
      <w:r w:rsidRPr="00BC081A">
        <w:t>Moderator: Operationalization Method</w:t>
      </w:r>
      <w:bookmarkEnd w:id="125"/>
    </w:p>
    <w:p w14:paraId="232A0BAD" w14:textId="0E2A7723" w:rsidR="00B06C83" w:rsidRPr="00BC081A" w:rsidRDefault="00B06C83" w:rsidP="00B06C83">
      <w:r w:rsidRPr="00BC081A">
        <w:t xml:space="preserve">Considering the </w:t>
      </w:r>
      <w:r w:rsidRPr="00BC081A">
        <w:rPr>
          <w:i/>
        </w:rPr>
        <w:t>Q</w:t>
      </w:r>
      <w:r w:rsidRPr="00BC081A">
        <w:rPr>
          <w:i/>
        </w:rPr>
        <w:softHyphen/>
        <w:t xml:space="preserve"> </w:t>
      </w:r>
      <w:r w:rsidRPr="00BC081A">
        <w:t xml:space="preserve">values mentioned above, it is expected to find that moderators play a role in the meta-analysis. Based on the literature review, </w:t>
      </w:r>
      <w:r w:rsidR="00D27F97">
        <w:t xml:space="preserve">it was </w:t>
      </w:r>
      <w:r w:rsidRPr="00BC081A">
        <w:t>hypothesize</w:t>
      </w:r>
      <w:r w:rsidR="00D27F97">
        <w:t>d</w:t>
      </w:r>
      <w:r w:rsidRPr="00BC081A">
        <w:t xml:space="preserve"> that the method of operationalization of the construct of flow (e.g. multi vs. </w:t>
      </w:r>
      <w:proofErr w:type="spellStart"/>
      <w:r w:rsidRPr="00BC081A">
        <w:t>uni</w:t>
      </w:r>
      <w:proofErr w:type="spellEnd"/>
      <w:r w:rsidRPr="00BC081A">
        <w:t xml:space="preserve">-dimensional) is a moderator of the </w:t>
      </w:r>
      <w:r w:rsidRPr="00BC081A">
        <w:lastRenderedPageBreak/>
        <w:t xml:space="preserve">relationship between this construct and constructs of attitude and intention. To the best of </w:t>
      </w:r>
      <w:r w:rsidR="009C0EC9">
        <w:t>my</w:t>
      </w:r>
      <w:r w:rsidRPr="00BC081A">
        <w:t xml:space="preserve"> knowledge, no one has explored which operationalization predicts use and/or attitude better. Even though some scholars have indicated that unidimensional and multidimensional instruments can be correlated in some contexts </w:t>
      </w:r>
      <w:r w:rsidRPr="00BC081A">
        <w:rPr>
          <w:noProof/>
        </w:rPr>
        <w:t>(Guo &amp; Ro, 2008)</w:t>
      </w:r>
      <w:r w:rsidRPr="00BC081A">
        <w:t>, the outcomes of these two operationalization methods have not been discussed before.</w:t>
      </w:r>
    </w:p>
    <w:p w14:paraId="1F0EBE0C" w14:textId="77777777" w:rsidR="00B06C83" w:rsidRPr="00BC081A" w:rsidRDefault="00B06C83" w:rsidP="00B06C83">
      <w:r w:rsidRPr="00BC081A">
        <w:tab/>
        <w:t>The coding of flow/CA operationalization was conducted as:</w:t>
      </w:r>
    </w:p>
    <w:p w14:paraId="139D8FCE" w14:textId="77777777" w:rsidR="00B06C83" w:rsidRPr="00BC081A" w:rsidRDefault="00B06C83" w:rsidP="00536F6A">
      <w:pPr>
        <w:pStyle w:val="ListParagraph"/>
        <w:widowControl w:val="0"/>
        <w:numPr>
          <w:ilvl w:val="0"/>
          <w:numId w:val="34"/>
        </w:numPr>
        <w:spacing w:before="120" w:after="120"/>
      </w:pPr>
      <w:r w:rsidRPr="00BC081A">
        <w:rPr>
          <w:u w:val="single"/>
        </w:rPr>
        <w:t>Code 1:</w:t>
      </w:r>
      <w:r w:rsidRPr="00BC081A">
        <w:t xml:space="preserve"> Studies using unidimensional constructs </w:t>
      </w:r>
      <w:r w:rsidRPr="00BC081A">
        <w:rPr>
          <w:noProof/>
        </w:rPr>
        <w:t>(consistent with Hoffman &amp; Novak, 1996)</w:t>
      </w:r>
    </w:p>
    <w:p w14:paraId="1EA28337" w14:textId="77777777" w:rsidR="00B06C83" w:rsidRPr="00BC081A" w:rsidRDefault="00B06C83" w:rsidP="00536F6A">
      <w:pPr>
        <w:pStyle w:val="ListParagraph"/>
        <w:widowControl w:val="0"/>
        <w:numPr>
          <w:ilvl w:val="0"/>
          <w:numId w:val="34"/>
        </w:numPr>
        <w:spacing w:before="120" w:after="120"/>
      </w:pPr>
      <w:r w:rsidRPr="00BC081A">
        <w:rPr>
          <w:u w:val="single"/>
        </w:rPr>
        <w:t>Code 2:</w:t>
      </w:r>
      <w:r w:rsidRPr="00BC081A">
        <w:t xml:space="preserve"> Studies using the multidimensional construct of CA </w:t>
      </w:r>
      <w:r w:rsidRPr="00BC081A">
        <w:rPr>
          <w:noProof/>
        </w:rPr>
        <w:t>(developed by Agarwal &amp; Karahanna, 2000)</w:t>
      </w:r>
    </w:p>
    <w:p w14:paraId="5B90A35B" w14:textId="77777777" w:rsidR="00B06C83" w:rsidRPr="00BC081A" w:rsidRDefault="00B06C83" w:rsidP="00536F6A">
      <w:pPr>
        <w:pStyle w:val="ListParagraph"/>
        <w:widowControl w:val="0"/>
        <w:numPr>
          <w:ilvl w:val="0"/>
          <w:numId w:val="34"/>
        </w:numPr>
        <w:spacing w:before="120" w:after="120"/>
        <w:rPr>
          <w:u w:val="single"/>
        </w:rPr>
      </w:pPr>
      <w:r w:rsidRPr="00BC081A">
        <w:rPr>
          <w:u w:val="single"/>
        </w:rPr>
        <w:t>Code 3:</w:t>
      </w:r>
      <w:r w:rsidRPr="00BC081A">
        <w:t xml:space="preserve"> Studies that deploy multidimensional constructs that had more than two dimensions of the constructs of ‘Code 2’ but could not be categorized as CA </w:t>
      </w:r>
    </w:p>
    <w:p w14:paraId="56D7B3BF" w14:textId="77777777" w:rsidR="00B06C83" w:rsidRPr="00BC081A" w:rsidRDefault="00B06C83" w:rsidP="00536F6A">
      <w:pPr>
        <w:pStyle w:val="ListParagraph"/>
        <w:widowControl w:val="0"/>
        <w:numPr>
          <w:ilvl w:val="0"/>
          <w:numId w:val="34"/>
        </w:numPr>
        <w:spacing w:before="120" w:after="120"/>
        <w:rPr>
          <w:u w:val="single"/>
        </w:rPr>
      </w:pPr>
      <w:r w:rsidRPr="00BC081A">
        <w:rPr>
          <w:u w:val="single"/>
        </w:rPr>
        <w:t>Code 4:</w:t>
      </w:r>
      <w:r w:rsidRPr="00BC081A">
        <w:t xml:space="preserve"> Various studies that could not be categorized as any of the above codes</w:t>
      </w:r>
      <w:r w:rsidRPr="00BC081A">
        <w:rPr>
          <w:rStyle w:val="FootnoteReference"/>
        </w:rPr>
        <w:footnoteReference w:id="23"/>
      </w:r>
    </w:p>
    <w:p w14:paraId="2C17907D" w14:textId="26B6718B" w:rsidR="00B06C83" w:rsidRPr="00BC081A" w:rsidRDefault="00B06C83" w:rsidP="00B06C83">
      <w:r w:rsidRPr="00BC081A">
        <w:t>Total number of studies for each code is shown in</w:t>
      </w:r>
      <w:r w:rsidR="00AD7177">
        <w:t xml:space="preserve"> </w:t>
      </w:r>
      <w:r w:rsidR="00AD7177">
        <w:fldChar w:fldCharType="begin"/>
      </w:r>
      <w:r w:rsidR="00AD7177">
        <w:instrText xml:space="preserve"> REF _Ref275207561 \h </w:instrText>
      </w:r>
      <w:r w:rsidR="00AD7177">
        <w:fldChar w:fldCharType="separate"/>
      </w:r>
      <w:r w:rsidR="008C71FB" w:rsidRPr="00BC081A">
        <w:t xml:space="preserve">Table </w:t>
      </w:r>
      <w:r w:rsidR="008C71FB">
        <w:rPr>
          <w:noProof/>
        </w:rPr>
        <w:t>14</w:t>
      </w:r>
      <w:r w:rsidR="00AD7177">
        <w:fldChar w:fldCharType="end"/>
      </w:r>
      <w:r w:rsidRPr="00BC081A">
        <w:t xml:space="preserve">. </w:t>
      </w:r>
    </w:p>
    <w:p w14:paraId="14E8CEB1" w14:textId="4F5E0083" w:rsidR="00B06C83" w:rsidRPr="00BC081A" w:rsidRDefault="00B06C83" w:rsidP="00C92D78">
      <w:pPr>
        <w:pStyle w:val="Caption"/>
      </w:pPr>
      <w:bookmarkStart w:id="126" w:name="_Ref275207561"/>
      <w:bookmarkStart w:id="127" w:name="_Toc275209772"/>
      <w:r w:rsidRPr="00BC081A">
        <w:t xml:space="preserve">Table </w:t>
      </w:r>
      <w:r w:rsidR="007804FF">
        <w:fldChar w:fldCharType="begin"/>
      </w:r>
      <w:r w:rsidR="007804FF">
        <w:instrText xml:space="preserve"> SEQ Table \* ARABIC </w:instrText>
      </w:r>
      <w:r w:rsidR="007804FF">
        <w:fldChar w:fldCharType="separate"/>
      </w:r>
      <w:r w:rsidR="008C71FB">
        <w:rPr>
          <w:noProof/>
        </w:rPr>
        <w:t>14</w:t>
      </w:r>
      <w:r w:rsidR="007804FF">
        <w:rPr>
          <w:noProof/>
        </w:rPr>
        <w:fldChar w:fldCharType="end"/>
      </w:r>
      <w:bookmarkEnd w:id="126"/>
      <w:r w:rsidR="000316F3">
        <w:rPr>
          <w:noProof/>
        </w:rPr>
        <w:t xml:space="preserve"> – </w:t>
      </w:r>
      <w:r w:rsidRPr="00BC081A">
        <w:t>Total number of studies for each code and each relationship</w:t>
      </w:r>
      <w:bookmarkEnd w:id="127"/>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721"/>
        <w:gridCol w:w="2202"/>
        <w:gridCol w:w="1788"/>
      </w:tblGrid>
      <w:tr w:rsidR="00B06C83" w:rsidRPr="00BC081A" w14:paraId="3D068F6D" w14:textId="77777777" w:rsidTr="00B06C83">
        <w:trPr>
          <w:trHeight w:val="165"/>
        </w:trPr>
        <w:tc>
          <w:tcPr>
            <w:tcW w:w="2721" w:type="dxa"/>
            <w:shd w:val="clear" w:color="auto" w:fill="DDD9C3" w:themeFill="background2" w:themeFillShade="E6"/>
          </w:tcPr>
          <w:p w14:paraId="424E08BC" w14:textId="77777777" w:rsidR="00B06C83" w:rsidRPr="00BC081A" w:rsidRDefault="00B06C83" w:rsidP="00B06C83">
            <w:pPr>
              <w:pStyle w:val="TableContext"/>
              <w:rPr>
                <w:lang w:val="en-CA"/>
              </w:rPr>
            </w:pPr>
            <w:r w:rsidRPr="00BC081A">
              <w:rPr>
                <w:lang w:val="en-CA"/>
              </w:rPr>
              <w:t xml:space="preserve">Including relationship with: </w:t>
            </w:r>
          </w:p>
        </w:tc>
        <w:tc>
          <w:tcPr>
            <w:tcW w:w="2202" w:type="dxa"/>
            <w:shd w:val="clear" w:color="auto" w:fill="DDD9C3" w:themeFill="background2" w:themeFillShade="E6"/>
          </w:tcPr>
          <w:p w14:paraId="46B1E31F" w14:textId="77777777" w:rsidR="00B06C83" w:rsidRPr="00BC081A" w:rsidRDefault="00B06C83" w:rsidP="00B06C83">
            <w:pPr>
              <w:pStyle w:val="TableContext"/>
              <w:rPr>
                <w:lang w:val="en-CA"/>
              </w:rPr>
            </w:pPr>
            <w:r w:rsidRPr="00BC081A">
              <w:rPr>
                <w:lang w:val="en-CA"/>
              </w:rPr>
              <w:t>Attitude Towards Use</w:t>
            </w:r>
          </w:p>
        </w:tc>
        <w:tc>
          <w:tcPr>
            <w:tcW w:w="1788" w:type="dxa"/>
            <w:shd w:val="clear" w:color="auto" w:fill="DDD9C3" w:themeFill="background2" w:themeFillShade="E6"/>
          </w:tcPr>
          <w:p w14:paraId="3162F966" w14:textId="77777777" w:rsidR="00B06C83" w:rsidRPr="00BC081A" w:rsidRDefault="00B06C83" w:rsidP="00B06C83">
            <w:pPr>
              <w:pStyle w:val="TableContext"/>
              <w:rPr>
                <w:lang w:val="en-CA"/>
              </w:rPr>
            </w:pPr>
            <w:r w:rsidRPr="00BC081A">
              <w:rPr>
                <w:lang w:val="en-CA"/>
              </w:rPr>
              <w:t>Intention to Use</w:t>
            </w:r>
          </w:p>
        </w:tc>
      </w:tr>
      <w:tr w:rsidR="00B06C83" w:rsidRPr="00BC081A" w14:paraId="13F462F6" w14:textId="77777777" w:rsidTr="00B06C83">
        <w:trPr>
          <w:trHeight w:val="179"/>
        </w:trPr>
        <w:tc>
          <w:tcPr>
            <w:tcW w:w="2721" w:type="dxa"/>
            <w:shd w:val="clear" w:color="auto" w:fill="DDD9C3" w:themeFill="background2" w:themeFillShade="E6"/>
            <w:vAlign w:val="center"/>
          </w:tcPr>
          <w:p w14:paraId="3FB92C7A" w14:textId="77777777" w:rsidR="00B06C83" w:rsidRPr="00BC081A" w:rsidRDefault="00B06C83" w:rsidP="00B06C83">
            <w:pPr>
              <w:pStyle w:val="TableContext"/>
              <w:rPr>
                <w:lang w:val="en-CA"/>
              </w:rPr>
            </w:pPr>
            <w:r w:rsidRPr="00BC081A">
              <w:rPr>
                <w:lang w:val="en-CA"/>
              </w:rPr>
              <w:t>Code 1:</w:t>
            </w:r>
          </w:p>
        </w:tc>
        <w:tc>
          <w:tcPr>
            <w:tcW w:w="2202" w:type="dxa"/>
            <w:vAlign w:val="center"/>
          </w:tcPr>
          <w:p w14:paraId="3DEC2308" w14:textId="77777777" w:rsidR="00B06C83" w:rsidRPr="00BC081A" w:rsidRDefault="00B06C83" w:rsidP="00B06C83">
            <w:pPr>
              <w:pStyle w:val="TableContext"/>
              <w:rPr>
                <w:lang w:val="en-CA"/>
              </w:rPr>
            </w:pPr>
            <w:r w:rsidRPr="00BC081A">
              <w:rPr>
                <w:lang w:val="en-CA"/>
              </w:rPr>
              <w:t>3</w:t>
            </w:r>
          </w:p>
        </w:tc>
        <w:tc>
          <w:tcPr>
            <w:tcW w:w="1788" w:type="dxa"/>
            <w:vAlign w:val="center"/>
          </w:tcPr>
          <w:p w14:paraId="2708B429" w14:textId="77777777" w:rsidR="00B06C83" w:rsidRPr="00BC081A" w:rsidRDefault="00B06C83" w:rsidP="00B06C83">
            <w:pPr>
              <w:pStyle w:val="TableContext"/>
              <w:rPr>
                <w:lang w:val="en-CA"/>
              </w:rPr>
            </w:pPr>
            <w:r w:rsidRPr="00BC081A">
              <w:rPr>
                <w:lang w:val="en-CA"/>
              </w:rPr>
              <w:t>5</w:t>
            </w:r>
          </w:p>
        </w:tc>
      </w:tr>
      <w:tr w:rsidR="00B06C83" w:rsidRPr="00BC081A" w14:paraId="27F5144A" w14:textId="77777777" w:rsidTr="00B06C83">
        <w:trPr>
          <w:trHeight w:val="164"/>
        </w:trPr>
        <w:tc>
          <w:tcPr>
            <w:tcW w:w="2721" w:type="dxa"/>
            <w:shd w:val="clear" w:color="auto" w:fill="DDD9C3" w:themeFill="background2" w:themeFillShade="E6"/>
            <w:vAlign w:val="center"/>
          </w:tcPr>
          <w:p w14:paraId="21853795" w14:textId="77777777" w:rsidR="00B06C83" w:rsidRPr="00BC081A" w:rsidRDefault="00B06C83" w:rsidP="00B06C83">
            <w:pPr>
              <w:pStyle w:val="TableContext"/>
              <w:rPr>
                <w:lang w:val="en-CA"/>
              </w:rPr>
            </w:pPr>
            <w:r w:rsidRPr="00BC081A">
              <w:rPr>
                <w:lang w:val="en-CA"/>
              </w:rPr>
              <w:t>Code 2:</w:t>
            </w:r>
          </w:p>
        </w:tc>
        <w:tc>
          <w:tcPr>
            <w:tcW w:w="2202" w:type="dxa"/>
            <w:vAlign w:val="center"/>
          </w:tcPr>
          <w:p w14:paraId="0EB21C29" w14:textId="77777777" w:rsidR="00B06C83" w:rsidRPr="00BC081A" w:rsidRDefault="00B06C83" w:rsidP="00B06C83">
            <w:pPr>
              <w:pStyle w:val="TableContext"/>
              <w:rPr>
                <w:lang w:val="en-CA"/>
              </w:rPr>
            </w:pPr>
            <w:r w:rsidRPr="00BC081A">
              <w:rPr>
                <w:lang w:val="en-CA"/>
              </w:rPr>
              <w:t>0</w:t>
            </w:r>
          </w:p>
        </w:tc>
        <w:tc>
          <w:tcPr>
            <w:tcW w:w="1788" w:type="dxa"/>
            <w:vAlign w:val="center"/>
          </w:tcPr>
          <w:p w14:paraId="61EEF9E1" w14:textId="77777777" w:rsidR="00B06C83" w:rsidRPr="00BC081A" w:rsidRDefault="00B06C83" w:rsidP="00B06C83">
            <w:pPr>
              <w:pStyle w:val="TableContext"/>
              <w:rPr>
                <w:lang w:val="en-CA"/>
              </w:rPr>
            </w:pPr>
            <w:r w:rsidRPr="00BC081A">
              <w:rPr>
                <w:lang w:val="en-CA"/>
              </w:rPr>
              <w:t>4</w:t>
            </w:r>
          </w:p>
        </w:tc>
      </w:tr>
      <w:tr w:rsidR="00B06C83" w:rsidRPr="00BC081A" w14:paraId="0E7E3BB1" w14:textId="77777777" w:rsidTr="00B06C83">
        <w:trPr>
          <w:trHeight w:val="99"/>
        </w:trPr>
        <w:tc>
          <w:tcPr>
            <w:tcW w:w="2721" w:type="dxa"/>
            <w:shd w:val="clear" w:color="auto" w:fill="DDD9C3" w:themeFill="background2" w:themeFillShade="E6"/>
            <w:vAlign w:val="center"/>
          </w:tcPr>
          <w:p w14:paraId="001835C6" w14:textId="77777777" w:rsidR="00B06C83" w:rsidRPr="00BC081A" w:rsidRDefault="00B06C83" w:rsidP="00B06C83">
            <w:pPr>
              <w:pStyle w:val="TableContext"/>
              <w:rPr>
                <w:lang w:val="en-CA"/>
              </w:rPr>
            </w:pPr>
            <w:r w:rsidRPr="00BC081A">
              <w:rPr>
                <w:lang w:val="en-CA"/>
              </w:rPr>
              <w:t>Code 3:</w:t>
            </w:r>
          </w:p>
        </w:tc>
        <w:tc>
          <w:tcPr>
            <w:tcW w:w="2202" w:type="dxa"/>
            <w:vAlign w:val="center"/>
          </w:tcPr>
          <w:p w14:paraId="3BD3AD12" w14:textId="77777777" w:rsidR="00B06C83" w:rsidRPr="00BC081A" w:rsidRDefault="00B06C83" w:rsidP="00B06C83">
            <w:pPr>
              <w:pStyle w:val="TableContext"/>
              <w:rPr>
                <w:lang w:val="en-CA"/>
              </w:rPr>
            </w:pPr>
            <w:r w:rsidRPr="00BC081A">
              <w:rPr>
                <w:lang w:val="en-CA"/>
              </w:rPr>
              <w:t>5</w:t>
            </w:r>
          </w:p>
        </w:tc>
        <w:tc>
          <w:tcPr>
            <w:tcW w:w="1788" w:type="dxa"/>
            <w:vAlign w:val="center"/>
          </w:tcPr>
          <w:p w14:paraId="42A35199" w14:textId="77777777" w:rsidR="00B06C83" w:rsidRPr="00BC081A" w:rsidRDefault="00B06C83" w:rsidP="00B06C83">
            <w:pPr>
              <w:pStyle w:val="TableContext"/>
              <w:rPr>
                <w:lang w:val="en-CA"/>
              </w:rPr>
            </w:pPr>
            <w:r w:rsidRPr="00BC081A">
              <w:rPr>
                <w:lang w:val="en-CA"/>
              </w:rPr>
              <w:t>7</w:t>
            </w:r>
          </w:p>
        </w:tc>
      </w:tr>
      <w:tr w:rsidR="00B06C83" w:rsidRPr="00BC081A" w14:paraId="22E629AA" w14:textId="77777777" w:rsidTr="00B06C83">
        <w:trPr>
          <w:trHeight w:val="81"/>
        </w:trPr>
        <w:tc>
          <w:tcPr>
            <w:tcW w:w="2721" w:type="dxa"/>
            <w:shd w:val="clear" w:color="auto" w:fill="DDD9C3" w:themeFill="background2" w:themeFillShade="E6"/>
            <w:vAlign w:val="center"/>
          </w:tcPr>
          <w:p w14:paraId="1BC4B85D" w14:textId="77777777" w:rsidR="00B06C83" w:rsidRPr="00BC081A" w:rsidRDefault="00B06C83" w:rsidP="00B06C83">
            <w:pPr>
              <w:pStyle w:val="TableContext"/>
              <w:rPr>
                <w:lang w:val="en-CA"/>
              </w:rPr>
            </w:pPr>
            <w:r w:rsidRPr="00BC081A">
              <w:rPr>
                <w:lang w:val="en-CA"/>
              </w:rPr>
              <w:t>Code 4:</w:t>
            </w:r>
          </w:p>
        </w:tc>
        <w:tc>
          <w:tcPr>
            <w:tcW w:w="2202" w:type="dxa"/>
            <w:vAlign w:val="center"/>
          </w:tcPr>
          <w:p w14:paraId="64E19110" w14:textId="77777777" w:rsidR="00B06C83" w:rsidRPr="00BC081A" w:rsidRDefault="00B06C83" w:rsidP="00B06C83">
            <w:pPr>
              <w:pStyle w:val="TableContext"/>
              <w:rPr>
                <w:lang w:val="en-CA"/>
              </w:rPr>
            </w:pPr>
            <w:r w:rsidRPr="00BC081A">
              <w:rPr>
                <w:lang w:val="en-CA"/>
              </w:rPr>
              <w:t>5</w:t>
            </w:r>
          </w:p>
        </w:tc>
        <w:tc>
          <w:tcPr>
            <w:tcW w:w="1788" w:type="dxa"/>
            <w:vAlign w:val="center"/>
          </w:tcPr>
          <w:p w14:paraId="3C870561" w14:textId="77777777" w:rsidR="00B06C83" w:rsidRPr="00BC081A" w:rsidRDefault="00B06C83" w:rsidP="00B06C83">
            <w:pPr>
              <w:pStyle w:val="TableContext"/>
              <w:rPr>
                <w:lang w:val="en-CA"/>
              </w:rPr>
            </w:pPr>
            <w:r w:rsidRPr="00BC081A">
              <w:rPr>
                <w:lang w:val="en-CA"/>
              </w:rPr>
              <w:t>14</w:t>
            </w:r>
          </w:p>
        </w:tc>
      </w:tr>
    </w:tbl>
    <w:p w14:paraId="72D926E9" w14:textId="77777777" w:rsidR="00B06C83" w:rsidRPr="00BC081A" w:rsidRDefault="00B06C83" w:rsidP="00B06C83">
      <w:r w:rsidRPr="00BC081A">
        <w:br w:type="textWrapping" w:clear="all"/>
      </w:r>
    </w:p>
    <w:p w14:paraId="0FB6B5C7" w14:textId="45ACCBC0" w:rsidR="00B06C83" w:rsidRPr="00BC081A" w:rsidRDefault="00B06C83" w:rsidP="00B06C83">
      <w:r w:rsidRPr="00BC081A">
        <w:lastRenderedPageBreak/>
        <w:t xml:space="preserve">In the final analysis after controlling for the moderator, the studies in code 1 were compared with the studies in codes 2 and 3. Code 1 includes all the studies that have unidimensional flow construct and codes 2 and 3 are the multidimensional constructs. Code 4 studies were eliminated in the final analysis because they could not be easily categorized as unidimensional or multidimensional studies due to the variations in the flow constructs or the other constructs of interest. The results were also calculated for the studies including codes 1, 2, and 3 in order to check if high </w:t>
      </w:r>
      <w:r w:rsidRPr="00BC081A">
        <w:rPr>
          <w:i/>
        </w:rPr>
        <w:t xml:space="preserve">Q </w:t>
      </w:r>
      <w:r w:rsidRPr="00BC081A">
        <w:t xml:space="preserve">value is due to the anomaly of the measurements of code 4 studies. However, the </w:t>
      </w:r>
      <w:r w:rsidRPr="00BC081A">
        <w:rPr>
          <w:i/>
        </w:rPr>
        <w:t xml:space="preserve">Q </w:t>
      </w:r>
      <w:r w:rsidRPr="00BC081A">
        <w:t>value was still very high for codes 1 to 3 (229.23 and 138.83 for the relations with attitude and intention respectively), showing the existence of moderator among those studies. This finding supports the choice of comparing code 1 with codes 2 and 3. The final results are summarized in</w:t>
      </w:r>
      <w:r w:rsidR="00AD7177">
        <w:t xml:space="preserve"> </w:t>
      </w:r>
      <w:r w:rsidR="00AD7177">
        <w:fldChar w:fldCharType="begin"/>
      </w:r>
      <w:r w:rsidR="00AD7177">
        <w:instrText xml:space="preserve"> REF _Ref275207546 \h </w:instrText>
      </w:r>
      <w:r w:rsidR="00AD7177">
        <w:fldChar w:fldCharType="separate"/>
      </w:r>
      <w:r w:rsidR="008C71FB" w:rsidRPr="00BC081A">
        <w:t xml:space="preserve">Table </w:t>
      </w:r>
      <w:r w:rsidR="008C71FB">
        <w:rPr>
          <w:noProof/>
        </w:rPr>
        <w:t>15</w:t>
      </w:r>
      <w:r w:rsidR="00AD7177">
        <w:fldChar w:fldCharType="end"/>
      </w:r>
      <w:r w:rsidRPr="00BC081A">
        <w:t xml:space="preserve">. </w:t>
      </w:r>
    </w:p>
    <w:p w14:paraId="1069AE7B" w14:textId="087E6C3B" w:rsidR="00B06C83" w:rsidRPr="00BC081A" w:rsidRDefault="00B06C83" w:rsidP="00C92D78">
      <w:pPr>
        <w:pStyle w:val="Caption"/>
      </w:pPr>
      <w:bookmarkStart w:id="128" w:name="_Ref275207546"/>
      <w:bookmarkStart w:id="129" w:name="_Toc275209773"/>
      <w:r w:rsidRPr="00BC081A">
        <w:t xml:space="preserve">Table </w:t>
      </w:r>
      <w:r w:rsidR="007804FF">
        <w:fldChar w:fldCharType="begin"/>
      </w:r>
      <w:r w:rsidR="007804FF">
        <w:instrText xml:space="preserve"> SEQ Table \* ARABIC </w:instrText>
      </w:r>
      <w:r w:rsidR="007804FF">
        <w:fldChar w:fldCharType="separate"/>
      </w:r>
      <w:r w:rsidR="008C71FB">
        <w:rPr>
          <w:noProof/>
        </w:rPr>
        <w:t>15</w:t>
      </w:r>
      <w:r w:rsidR="007804FF">
        <w:rPr>
          <w:noProof/>
        </w:rPr>
        <w:fldChar w:fldCharType="end"/>
      </w:r>
      <w:bookmarkEnd w:id="128"/>
      <w:r w:rsidR="000316F3">
        <w:rPr>
          <w:noProof/>
        </w:rPr>
        <w:t xml:space="preserve"> – </w:t>
      </w:r>
      <w:r w:rsidRPr="00BC081A">
        <w:t>The results of the meta-analysis after controlling for the moderator (operationalization mode)</w:t>
      </w:r>
      <w:bookmarkEnd w:id="129"/>
    </w:p>
    <w:tbl>
      <w:tblPr>
        <w:tblW w:w="8423" w:type="dxa"/>
        <w:jc w:val="center"/>
        <w:tblInd w:w="-1130" w:type="dxa"/>
        <w:tblLayout w:type="fixed"/>
        <w:tblLook w:val="04A0" w:firstRow="1" w:lastRow="0" w:firstColumn="1" w:lastColumn="0" w:noHBand="0" w:noVBand="1"/>
      </w:tblPr>
      <w:tblGrid>
        <w:gridCol w:w="3223"/>
        <w:gridCol w:w="1300"/>
        <w:gridCol w:w="1300"/>
        <w:gridCol w:w="1300"/>
        <w:gridCol w:w="1300"/>
      </w:tblGrid>
      <w:tr w:rsidR="00B06C83" w:rsidRPr="00BC081A" w14:paraId="00AAC554" w14:textId="77777777" w:rsidTr="00B06C83">
        <w:trPr>
          <w:trHeight w:val="300"/>
          <w:jc w:val="center"/>
        </w:trPr>
        <w:tc>
          <w:tcPr>
            <w:tcW w:w="322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41575B75" w14:textId="77777777" w:rsidR="00B06C83" w:rsidRPr="00BC081A" w:rsidRDefault="00B06C83" w:rsidP="00B06C83">
            <w:pPr>
              <w:pStyle w:val="TableContext"/>
              <w:rPr>
                <w:lang w:val="en-CA"/>
              </w:rPr>
            </w:pPr>
            <w:r w:rsidRPr="00BC081A">
              <w:rPr>
                <w:lang w:val="en-CA"/>
              </w:rPr>
              <w:t>Operationalization Group/Code:</w:t>
            </w:r>
          </w:p>
        </w:tc>
        <w:tc>
          <w:tcPr>
            <w:tcW w:w="2600"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4F5C68E0" w14:textId="77777777" w:rsidR="00B06C83" w:rsidRPr="00BC081A" w:rsidRDefault="00B06C83" w:rsidP="00B06C83">
            <w:pPr>
              <w:pStyle w:val="TableContext"/>
              <w:rPr>
                <w:b/>
                <w:bCs/>
                <w:lang w:val="en-CA"/>
              </w:rPr>
            </w:pPr>
            <w:r w:rsidRPr="00BC081A">
              <w:rPr>
                <w:b/>
                <w:bCs/>
                <w:lang w:val="en-CA"/>
              </w:rPr>
              <w:t>Only 1</w:t>
            </w:r>
          </w:p>
        </w:tc>
        <w:tc>
          <w:tcPr>
            <w:tcW w:w="2600"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27303D42" w14:textId="77777777" w:rsidR="00B06C83" w:rsidRPr="00BC081A" w:rsidRDefault="00B06C83" w:rsidP="00B06C83">
            <w:pPr>
              <w:pStyle w:val="TableContext"/>
              <w:rPr>
                <w:lang w:val="en-CA"/>
              </w:rPr>
            </w:pPr>
            <w:r w:rsidRPr="00BC081A">
              <w:rPr>
                <w:b/>
                <w:lang w:val="en-CA"/>
              </w:rPr>
              <w:t>2 &amp; 3</w:t>
            </w:r>
          </w:p>
        </w:tc>
      </w:tr>
      <w:tr w:rsidR="00B06C83" w:rsidRPr="00BC081A" w14:paraId="16CC29B0"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3260CB68" w14:textId="77777777" w:rsidR="00B06C83" w:rsidRPr="00BC081A" w:rsidRDefault="00B06C83" w:rsidP="00B06C83">
            <w:pPr>
              <w:pStyle w:val="TableContext"/>
              <w:rPr>
                <w:lang w:val="en-CA"/>
              </w:rPr>
            </w:pPr>
            <w:r w:rsidRPr="00BC081A">
              <w:rPr>
                <w:lang w:val="en-CA"/>
              </w:rPr>
              <w:t>Flow relation with:</w:t>
            </w:r>
          </w:p>
        </w:tc>
        <w:tc>
          <w:tcPr>
            <w:tcW w:w="1300" w:type="dxa"/>
            <w:tcBorders>
              <w:top w:val="nil"/>
              <w:left w:val="nil"/>
              <w:bottom w:val="single" w:sz="4" w:space="0" w:color="auto"/>
              <w:right w:val="single" w:sz="4" w:space="0" w:color="auto"/>
            </w:tcBorders>
            <w:shd w:val="clear" w:color="auto" w:fill="auto"/>
            <w:noWrap/>
            <w:vAlign w:val="bottom"/>
          </w:tcPr>
          <w:p w14:paraId="46682ED9" w14:textId="77777777" w:rsidR="00B06C83" w:rsidRPr="00BC081A" w:rsidRDefault="00B06C83" w:rsidP="00B06C83">
            <w:pPr>
              <w:pStyle w:val="TableContext"/>
              <w:rPr>
                <w:lang w:val="en-CA"/>
              </w:rPr>
            </w:pPr>
            <w:r w:rsidRPr="00BC081A">
              <w:rPr>
                <w:lang w:val="en-CA"/>
              </w:rPr>
              <w:t>Attitude</w:t>
            </w:r>
          </w:p>
        </w:tc>
        <w:tc>
          <w:tcPr>
            <w:tcW w:w="1300" w:type="dxa"/>
            <w:tcBorders>
              <w:top w:val="nil"/>
              <w:left w:val="nil"/>
              <w:bottom w:val="single" w:sz="4" w:space="0" w:color="auto"/>
              <w:right w:val="single" w:sz="4" w:space="0" w:color="auto"/>
            </w:tcBorders>
            <w:shd w:val="clear" w:color="auto" w:fill="auto"/>
            <w:noWrap/>
            <w:vAlign w:val="bottom"/>
          </w:tcPr>
          <w:p w14:paraId="25DA068D" w14:textId="77777777" w:rsidR="00B06C83" w:rsidRPr="00BC081A" w:rsidRDefault="00B06C83" w:rsidP="00B06C83">
            <w:pPr>
              <w:pStyle w:val="TableContext"/>
              <w:rPr>
                <w:lang w:val="en-CA"/>
              </w:rPr>
            </w:pPr>
            <w:r w:rsidRPr="00BC081A">
              <w:rPr>
                <w:lang w:val="en-CA"/>
              </w:rPr>
              <w:t>Intention</w:t>
            </w:r>
          </w:p>
        </w:tc>
        <w:tc>
          <w:tcPr>
            <w:tcW w:w="1300" w:type="dxa"/>
            <w:tcBorders>
              <w:top w:val="nil"/>
              <w:left w:val="nil"/>
              <w:bottom w:val="single" w:sz="4" w:space="0" w:color="auto"/>
              <w:right w:val="single" w:sz="4" w:space="0" w:color="auto"/>
            </w:tcBorders>
            <w:shd w:val="clear" w:color="auto" w:fill="auto"/>
            <w:noWrap/>
            <w:vAlign w:val="bottom"/>
          </w:tcPr>
          <w:p w14:paraId="383A0493" w14:textId="77777777" w:rsidR="00B06C83" w:rsidRPr="00BC081A" w:rsidRDefault="00B06C83" w:rsidP="00B06C83">
            <w:pPr>
              <w:pStyle w:val="TableContext"/>
              <w:rPr>
                <w:lang w:val="en-CA"/>
              </w:rPr>
            </w:pPr>
            <w:r w:rsidRPr="00BC081A">
              <w:rPr>
                <w:lang w:val="en-CA"/>
              </w:rPr>
              <w:t>Attitude</w:t>
            </w:r>
          </w:p>
        </w:tc>
        <w:tc>
          <w:tcPr>
            <w:tcW w:w="1300" w:type="dxa"/>
            <w:tcBorders>
              <w:top w:val="nil"/>
              <w:left w:val="nil"/>
              <w:bottom w:val="single" w:sz="4" w:space="0" w:color="auto"/>
              <w:right w:val="single" w:sz="4" w:space="0" w:color="auto"/>
            </w:tcBorders>
            <w:shd w:val="clear" w:color="auto" w:fill="auto"/>
            <w:noWrap/>
            <w:vAlign w:val="bottom"/>
          </w:tcPr>
          <w:p w14:paraId="24CE3B78" w14:textId="77777777" w:rsidR="00B06C83" w:rsidRPr="00BC081A" w:rsidRDefault="00B06C83" w:rsidP="00B06C83">
            <w:pPr>
              <w:pStyle w:val="TableContext"/>
              <w:rPr>
                <w:lang w:val="en-CA"/>
              </w:rPr>
            </w:pPr>
            <w:r w:rsidRPr="00BC081A">
              <w:rPr>
                <w:lang w:val="en-CA"/>
              </w:rPr>
              <w:t>Intention</w:t>
            </w:r>
          </w:p>
        </w:tc>
      </w:tr>
      <w:tr w:rsidR="00B06C83" w:rsidRPr="00BC081A" w14:paraId="296159D6"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3167F62B" w14:textId="77777777" w:rsidR="00B06C83" w:rsidRPr="00BC081A" w:rsidRDefault="00B06C83" w:rsidP="00B06C83">
            <w:pPr>
              <w:pStyle w:val="TableContext"/>
              <w:rPr>
                <w:i/>
                <w:lang w:val="en-CA"/>
              </w:rPr>
            </w:pPr>
            <w:proofErr w:type="gramStart"/>
            <w:r w:rsidRPr="00BC081A">
              <w:rPr>
                <w:b/>
                <w:i/>
                <w:lang w:val="en-CA"/>
              </w:rPr>
              <w:t>n</w:t>
            </w:r>
            <w:proofErr w:type="gramEnd"/>
            <w:r w:rsidRPr="00BC081A">
              <w:rPr>
                <w:i/>
                <w:lang w:val="en-CA"/>
              </w:rPr>
              <w:t xml:space="preserve">  </w:t>
            </w:r>
            <w:r w:rsidRPr="00BC081A">
              <w:rPr>
                <w:lang w:val="en-CA"/>
              </w:rPr>
              <w:t>(number of studies)</w:t>
            </w:r>
          </w:p>
        </w:tc>
        <w:tc>
          <w:tcPr>
            <w:tcW w:w="1300" w:type="dxa"/>
            <w:tcBorders>
              <w:top w:val="nil"/>
              <w:left w:val="nil"/>
              <w:bottom w:val="single" w:sz="4" w:space="0" w:color="auto"/>
              <w:right w:val="single" w:sz="4" w:space="0" w:color="auto"/>
            </w:tcBorders>
            <w:shd w:val="clear" w:color="auto" w:fill="auto"/>
            <w:noWrap/>
            <w:vAlign w:val="bottom"/>
          </w:tcPr>
          <w:p w14:paraId="7C5B900E" w14:textId="77777777" w:rsidR="00B06C83" w:rsidRPr="00BC081A" w:rsidRDefault="00B06C83" w:rsidP="00B06C83">
            <w:pPr>
              <w:pStyle w:val="TableContext"/>
              <w:rPr>
                <w:lang w:val="en-CA"/>
              </w:rPr>
            </w:pPr>
            <w:r w:rsidRPr="00BC081A">
              <w:rPr>
                <w:lang w:val="en-CA"/>
              </w:rPr>
              <w:t>3</w:t>
            </w:r>
          </w:p>
        </w:tc>
        <w:tc>
          <w:tcPr>
            <w:tcW w:w="1300" w:type="dxa"/>
            <w:tcBorders>
              <w:top w:val="nil"/>
              <w:left w:val="nil"/>
              <w:bottom w:val="single" w:sz="4" w:space="0" w:color="auto"/>
              <w:right w:val="single" w:sz="4" w:space="0" w:color="auto"/>
            </w:tcBorders>
            <w:shd w:val="clear" w:color="auto" w:fill="auto"/>
            <w:noWrap/>
            <w:vAlign w:val="bottom"/>
          </w:tcPr>
          <w:p w14:paraId="5FB27161" w14:textId="77777777" w:rsidR="00B06C83" w:rsidRPr="00BC081A" w:rsidRDefault="00B06C83" w:rsidP="00B06C83">
            <w:pPr>
              <w:pStyle w:val="TableContext"/>
              <w:rPr>
                <w:lang w:val="en-CA"/>
              </w:rPr>
            </w:pPr>
            <w:r w:rsidRPr="00BC081A">
              <w:rPr>
                <w:lang w:val="en-CA"/>
              </w:rPr>
              <w:t>5</w:t>
            </w:r>
          </w:p>
        </w:tc>
        <w:tc>
          <w:tcPr>
            <w:tcW w:w="1300" w:type="dxa"/>
            <w:tcBorders>
              <w:top w:val="nil"/>
              <w:left w:val="nil"/>
              <w:bottom w:val="single" w:sz="4" w:space="0" w:color="auto"/>
              <w:right w:val="single" w:sz="4" w:space="0" w:color="auto"/>
            </w:tcBorders>
            <w:shd w:val="clear" w:color="auto" w:fill="auto"/>
            <w:noWrap/>
            <w:vAlign w:val="bottom"/>
          </w:tcPr>
          <w:p w14:paraId="5BB47FA9" w14:textId="77777777" w:rsidR="00B06C83" w:rsidRPr="00BC081A" w:rsidRDefault="00B06C83" w:rsidP="00B06C83">
            <w:pPr>
              <w:pStyle w:val="TableContext"/>
              <w:rPr>
                <w:lang w:val="en-CA"/>
              </w:rPr>
            </w:pPr>
            <w:r w:rsidRPr="00BC081A">
              <w:rPr>
                <w:lang w:val="en-CA"/>
              </w:rPr>
              <w:t>5</w:t>
            </w:r>
          </w:p>
        </w:tc>
        <w:tc>
          <w:tcPr>
            <w:tcW w:w="1300" w:type="dxa"/>
            <w:tcBorders>
              <w:top w:val="nil"/>
              <w:left w:val="nil"/>
              <w:bottom w:val="single" w:sz="4" w:space="0" w:color="auto"/>
              <w:right w:val="single" w:sz="4" w:space="0" w:color="auto"/>
            </w:tcBorders>
            <w:shd w:val="clear" w:color="auto" w:fill="auto"/>
            <w:noWrap/>
            <w:vAlign w:val="bottom"/>
          </w:tcPr>
          <w:p w14:paraId="3692660A" w14:textId="77777777" w:rsidR="00B06C83" w:rsidRPr="00BC081A" w:rsidRDefault="00B06C83" w:rsidP="00B06C83">
            <w:pPr>
              <w:pStyle w:val="TableContext"/>
              <w:rPr>
                <w:lang w:val="en-CA"/>
              </w:rPr>
            </w:pPr>
            <w:r w:rsidRPr="00BC081A">
              <w:rPr>
                <w:lang w:val="en-CA"/>
              </w:rPr>
              <w:t>11</w:t>
            </w:r>
          </w:p>
        </w:tc>
      </w:tr>
      <w:tr w:rsidR="00B06C83" w:rsidRPr="00BC081A" w14:paraId="0784D6F4"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16C0362B" w14:textId="77777777" w:rsidR="00B06C83" w:rsidRPr="00BC081A" w:rsidRDefault="00D517AC" w:rsidP="00B06C83">
            <w:pPr>
              <w:pStyle w:val="TableContext"/>
              <w:rPr>
                <w:i/>
                <w:lang w:val="en-CA"/>
              </w:rPr>
            </w:pPr>
            <m:oMath>
              <m:acc>
                <m:accPr>
                  <m:chr m:val="̅"/>
                  <m:ctrlPr>
                    <w:rPr>
                      <w:rFonts w:ascii="Cambria Math" w:hAnsi="Cambria Math"/>
                      <w:b/>
                      <w:i/>
                      <w:lang w:val="en-CA"/>
                    </w:rPr>
                  </m:ctrlPr>
                </m:accPr>
                <m:e>
                  <m:r>
                    <m:rPr>
                      <m:sty m:val="bi"/>
                    </m:rPr>
                    <w:rPr>
                      <w:rFonts w:ascii="Cambria Math" w:hAnsi="Cambria Math"/>
                      <w:lang w:val="en-CA"/>
                    </w:rPr>
                    <m:t>ES</m:t>
                  </m:r>
                </m:e>
              </m:acc>
            </m:oMath>
            <w:r w:rsidR="00B06C83" w:rsidRPr="00BC081A">
              <w:rPr>
                <w:b/>
                <w:i/>
                <w:lang w:val="en-CA"/>
              </w:rPr>
              <w:t xml:space="preserve"> </w:t>
            </w:r>
            <w:r w:rsidR="00B06C83" w:rsidRPr="00BC081A">
              <w:rPr>
                <w:i/>
                <w:lang w:val="en-CA"/>
              </w:rPr>
              <w:t xml:space="preserve"> </w:t>
            </w:r>
            <w:r w:rsidR="00B06C83" w:rsidRPr="00BC081A">
              <w:rPr>
                <w:lang w:val="en-CA"/>
              </w:rPr>
              <w:t>(</w:t>
            </w:r>
            <w:proofErr w:type="gramStart"/>
            <w:r w:rsidR="00B06C83" w:rsidRPr="00BC081A">
              <w:rPr>
                <w:lang w:val="en-CA"/>
              </w:rPr>
              <w:t>corrected</w:t>
            </w:r>
            <w:proofErr w:type="gramEnd"/>
            <w:r w:rsidR="00B06C83" w:rsidRPr="00BC081A">
              <w:rPr>
                <w:lang w:val="en-CA"/>
              </w:rPr>
              <w:t xml:space="preserve"> weighted mean effect size)</w:t>
            </w:r>
          </w:p>
        </w:tc>
        <w:tc>
          <w:tcPr>
            <w:tcW w:w="1300" w:type="dxa"/>
            <w:tcBorders>
              <w:top w:val="nil"/>
              <w:left w:val="nil"/>
              <w:bottom w:val="single" w:sz="4" w:space="0" w:color="auto"/>
              <w:right w:val="single" w:sz="4" w:space="0" w:color="auto"/>
            </w:tcBorders>
            <w:shd w:val="clear" w:color="auto" w:fill="auto"/>
            <w:noWrap/>
            <w:vAlign w:val="bottom"/>
            <w:hideMark/>
          </w:tcPr>
          <w:p w14:paraId="66EAD7C6" w14:textId="77777777" w:rsidR="00B06C83" w:rsidRPr="00BC081A" w:rsidRDefault="00B06C83" w:rsidP="00B06C83">
            <w:pPr>
              <w:pStyle w:val="TableContext"/>
              <w:rPr>
                <w:lang w:val="en-CA"/>
              </w:rPr>
            </w:pPr>
            <w:r w:rsidRPr="00BC081A">
              <w:rPr>
                <w:lang w:val="en-CA"/>
              </w:rPr>
              <w:t>0.26</w:t>
            </w:r>
          </w:p>
        </w:tc>
        <w:tc>
          <w:tcPr>
            <w:tcW w:w="1300" w:type="dxa"/>
            <w:tcBorders>
              <w:top w:val="nil"/>
              <w:left w:val="nil"/>
              <w:bottom w:val="single" w:sz="4" w:space="0" w:color="auto"/>
              <w:right w:val="single" w:sz="4" w:space="0" w:color="auto"/>
            </w:tcBorders>
            <w:shd w:val="clear" w:color="auto" w:fill="auto"/>
            <w:noWrap/>
            <w:vAlign w:val="bottom"/>
            <w:hideMark/>
          </w:tcPr>
          <w:p w14:paraId="5A64C40F" w14:textId="77777777" w:rsidR="00B06C83" w:rsidRPr="00BC081A" w:rsidRDefault="00B06C83" w:rsidP="00B06C83">
            <w:pPr>
              <w:pStyle w:val="TableContext"/>
              <w:rPr>
                <w:lang w:val="en-CA"/>
              </w:rPr>
            </w:pPr>
            <w:r w:rsidRPr="00BC081A">
              <w:rPr>
                <w:lang w:val="en-CA"/>
              </w:rPr>
              <w:t>0.26</w:t>
            </w:r>
          </w:p>
        </w:tc>
        <w:tc>
          <w:tcPr>
            <w:tcW w:w="1300" w:type="dxa"/>
            <w:tcBorders>
              <w:top w:val="nil"/>
              <w:left w:val="nil"/>
              <w:bottom w:val="single" w:sz="4" w:space="0" w:color="auto"/>
              <w:right w:val="single" w:sz="4" w:space="0" w:color="auto"/>
            </w:tcBorders>
            <w:shd w:val="clear" w:color="auto" w:fill="auto"/>
            <w:noWrap/>
            <w:vAlign w:val="bottom"/>
            <w:hideMark/>
          </w:tcPr>
          <w:p w14:paraId="66C25A53" w14:textId="77777777" w:rsidR="00B06C83" w:rsidRPr="00BC081A" w:rsidRDefault="00B06C83" w:rsidP="00B06C83">
            <w:pPr>
              <w:pStyle w:val="TableContext"/>
              <w:rPr>
                <w:lang w:val="en-CA"/>
              </w:rPr>
            </w:pPr>
            <w:r w:rsidRPr="00BC081A">
              <w:rPr>
                <w:lang w:val="en-CA"/>
              </w:rPr>
              <w:t>0.81</w:t>
            </w:r>
          </w:p>
        </w:tc>
        <w:tc>
          <w:tcPr>
            <w:tcW w:w="1300" w:type="dxa"/>
            <w:tcBorders>
              <w:top w:val="nil"/>
              <w:left w:val="nil"/>
              <w:bottom w:val="single" w:sz="4" w:space="0" w:color="auto"/>
              <w:right w:val="single" w:sz="4" w:space="0" w:color="auto"/>
            </w:tcBorders>
            <w:shd w:val="clear" w:color="auto" w:fill="auto"/>
            <w:noWrap/>
            <w:vAlign w:val="bottom"/>
            <w:hideMark/>
          </w:tcPr>
          <w:p w14:paraId="49100B0D" w14:textId="77777777" w:rsidR="00B06C83" w:rsidRPr="00BC081A" w:rsidRDefault="00B06C83" w:rsidP="00B06C83">
            <w:pPr>
              <w:pStyle w:val="TableContext"/>
              <w:rPr>
                <w:lang w:val="en-CA"/>
              </w:rPr>
            </w:pPr>
            <w:r w:rsidRPr="00BC081A">
              <w:rPr>
                <w:lang w:val="en-CA"/>
              </w:rPr>
              <w:t>0.65</w:t>
            </w:r>
          </w:p>
        </w:tc>
      </w:tr>
      <w:tr w:rsidR="00B06C83" w:rsidRPr="00BC081A" w14:paraId="635200C9"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0E371155" w14:textId="77777777" w:rsidR="00B06C83" w:rsidRPr="00BC081A" w:rsidRDefault="00B06C83" w:rsidP="00B06C83">
            <w:pPr>
              <w:pStyle w:val="TableContext"/>
              <w:rPr>
                <w:i/>
                <w:lang w:val="en-CA"/>
              </w:rPr>
            </w:pPr>
            <w:proofErr w:type="gramStart"/>
            <w:r w:rsidRPr="00BC081A">
              <w:rPr>
                <w:b/>
                <w:i/>
                <w:lang w:val="en-CA"/>
              </w:rPr>
              <w:t>r</w:t>
            </w:r>
            <w:proofErr w:type="gramEnd"/>
            <w:r w:rsidRPr="00BC081A">
              <w:rPr>
                <w:b/>
                <w:i/>
                <w:lang w:val="en-CA"/>
              </w:rPr>
              <w:t xml:space="preserve"> </w:t>
            </w:r>
            <w:r w:rsidRPr="00BC081A">
              <w:rPr>
                <w:i/>
                <w:lang w:val="en-CA"/>
              </w:rPr>
              <w:t xml:space="preserve"> </w:t>
            </w:r>
            <w:r w:rsidRPr="00BC081A">
              <w:rPr>
                <w:lang w:val="en-CA"/>
              </w:rPr>
              <w:t>(overall correlation)</w:t>
            </w:r>
          </w:p>
        </w:tc>
        <w:tc>
          <w:tcPr>
            <w:tcW w:w="1300" w:type="dxa"/>
            <w:tcBorders>
              <w:top w:val="nil"/>
              <w:left w:val="nil"/>
              <w:bottom w:val="single" w:sz="4" w:space="0" w:color="auto"/>
              <w:right w:val="single" w:sz="4" w:space="0" w:color="auto"/>
            </w:tcBorders>
            <w:shd w:val="clear" w:color="auto" w:fill="D6E3BC" w:themeFill="accent3" w:themeFillTint="66"/>
            <w:noWrap/>
            <w:vAlign w:val="bottom"/>
            <w:hideMark/>
          </w:tcPr>
          <w:p w14:paraId="71A09050" w14:textId="77777777" w:rsidR="00B06C83" w:rsidRPr="00BC081A" w:rsidRDefault="00B06C83" w:rsidP="00B06C83">
            <w:pPr>
              <w:pStyle w:val="TableContext"/>
              <w:rPr>
                <w:lang w:val="en-CA"/>
              </w:rPr>
            </w:pPr>
            <w:r w:rsidRPr="00BC081A">
              <w:rPr>
                <w:lang w:val="en-CA"/>
              </w:rPr>
              <w:t>0.25</w:t>
            </w:r>
          </w:p>
        </w:tc>
        <w:tc>
          <w:tcPr>
            <w:tcW w:w="1300" w:type="dxa"/>
            <w:tcBorders>
              <w:top w:val="nil"/>
              <w:left w:val="nil"/>
              <w:bottom w:val="single" w:sz="4" w:space="0" w:color="auto"/>
              <w:right w:val="single" w:sz="4" w:space="0" w:color="auto"/>
            </w:tcBorders>
            <w:shd w:val="clear" w:color="auto" w:fill="8DB3E2" w:themeFill="text2" w:themeFillTint="66"/>
            <w:noWrap/>
            <w:vAlign w:val="bottom"/>
            <w:hideMark/>
          </w:tcPr>
          <w:p w14:paraId="37CD543C" w14:textId="77777777" w:rsidR="00B06C83" w:rsidRPr="00BC081A" w:rsidRDefault="00B06C83" w:rsidP="00B06C83">
            <w:pPr>
              <w:pStyle w:val="TableContext"/>
              <w:rPr>
                <w:lang w:val="en-CA"/>
              </w:rPr>
            </w:pPr>
            <w:r w:rsidRPr="00BC081A">
              <w:rPr>
                <w:lang w:val="en-CA"/>
              </w:rPr>
              <w:t>0.25</w:t>
            </w:r>
          </w:p>
        </w:tc>
        <w:tc>
          <w:tcPr>
            <w:tcW w:w="1300" w:type="dxa"/>
            <w:tcBorders>
              <w:top w:val="nil"/>
              <w:left w:val="nil"/>
              <w:bottom w:val="single" w:sz="4" w:space="0" w:color="auto"/>
              <w:right w:val="single" w:sz="4" w:space="0" w:color="auto"/>
            </w:tcBorders>
            <w:shd w:val="clear" w:color="auto" w:fill="D6E3BC" w:themeFill="accent3" w:themeFillTint="66"/>
            <w:noWrap/>
            <w:vAlign w:val="bottom"/>
            <w:hideMark/>
          </w:tcPr>
          <w:p w14:paraId="5B254F59" w14:textId="77777777" w:rsidR="00B06C83" w:rsidRPr="00BC081A" w:rsidRDefault="00B06C83" w:rsidP="00B06C83">
            <w:pPr>
              <w:pStyle w:val="TableContext"/>
              <w:rPr>
                <w:lang w:val="en-CA"/>
              </w:rPr>
            </w:pPr>
            <w:r w:rsidRPr="00BC081A">
              <w:rPr>
                <w:lang w:val="en-CA"/>
              </w:rPr>
              <w:t>0.67</w:t>
            </w:r>
          </w:p>
        </w:tc>
        <w:tc>
          <w:tcPr>
            <w:tcW w:w="1300" w:type="dxa"/>
            <w:tcBorders>
              <w:top w:val="nil"/>
              <w:left w:val="nil"/>
              <w:bottom w:val="single" w:sz="4" w:space="0" w:color="auto"/>
              <w:right w:val="single" w:sz="4" w:space="0" w:color="auto"/>
            </w:tcBorders>
            <w:shd w:val="clear" w:color="auto" w:fill="8DB3E2" w:themeFill="text2" w:themeFillTint="66"/>
            <w:noWrap/>
            <w:vAlign w:val="bottom"/>
            <w:hideMark/>
          </w:tcPr>
          <w:p w14:paraId="4161E319" w14:textId="77777777" w:rsidR="00B06C83" w:rsidRPr="00BC081A" w:rsidRDefault="00B06C83" w:rsidP="00B06C83">
            <w:pPr>
              <w:pStyle w:val="TableContext"/>
              <w:rPr>
                <w:lang w:val="en-CA"/>
              </w:rPr>
            </w:pPr>
            <w:r w:rsidRPr="00BC081A">
              <w:rPr>
                <w:lang w:val="en-CA"/>
              </w:rPr>
              <w:t>0.57</w:t>
            </w:r>
          </w:p>
        </w:tc>
      </w:tr>
      <w:tr w:rsidR="00B06C83" w:rsidRPr="00BC081A" w14:paraId="430596F7"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5BF4FC87" w14:textId="77777777" w:rsidR="00B06C83" w:rsidRPr="00BC081A" w:rsidRDefault="00B06C83" w:rsidP="00B06C83">
            <w:pPr>
              <w:pStyle w:val="TableContext"/>
              <w:rPr>
                <w:i/>
                <w:lang w:val="en-CA"/>
              </w:rPr>
            </w:pPr>
            <w:r w:rsidRPr="00BC081A">
              <w:rPr>
                <w:b/>
                <w:i/>
                <w:lang w:val="en-CA"/>
              </w:rPr>
              <w:t>Q</w:t>
            </w:r>
            <w:r w:rsidRPr="00BC081A">
              <w:rPr>
                <w:i/>
                <w:lang w:val="en-CA"/>
              </w:rPr>
              <w:t xml:space="preserve">  </w:t>
            </w:r>
            <w:r w:rsidRPr="00BC081A">
              <w:rPr>
                <w:lang w:val="en-CA"/>
              </w:rPr>
              <w:t>(test of moderation)</w:t>
            </w:r>
          </w:p>
        </w:tc>
        <w:tc>
          <w:tcPr>
            <w:tcW w:w="1300" w:type="dxa"/>
            <w:tcBorders>
              <w:top w:val="nil"/>
              <w:left w:val="nil"/>
              <w:bottom w:val="single" w:sz="4" w:space="0" w:color="auto"/>
              <w:right w:val="single" w:sz="4" w:space="0" w:color="auto"/>
            </w:tcBorders>
            <w:shd w:val="clear" w:color="auto" w:fill="D6E3BC" w:themeFill="accent3" w:themeFillTint="66"/>
            <w:noWrap/>
            <w:vAlign w:val="bottom"/>
            <w:hideMark/>
          </w:tcPr>
          <w:p w14:paraId="6088BB41" w14:textId="77777777" w:rsidR="00B06C83" w:rsidRPr="00BC081A" w:rsidRDefault="00B06C83" w:rsidP="00B06C83">
            <w:pPr>
              <w:pStyle w:val="TableContext"/>
              <w:rPr>
                <w:lang w:val="en-CA"/>
              </w:rPr>
            </w:pPr>
            <w:r w:rsidRPr="00BC081A">
              <w:rPr>
                <w:lang w:val="en-CA"/>
              </w:rPr>
              <w:t>1.10</w:t>
            </w:r>
          </w:p>
        </w:tc>
        <w:tc>
          <w:tcPr>
            <w:tcW w:w="1300" w:type="dxa"/>
            <w:tcBorders>
              <w:top w:val="nil"/>
              <w:left w:val="nil"/>
              <w:bottom w:val="single" w:sz="4" w:space="0" w:color="auto"/>
              <w:right w:val="single" w:sz="4" w:space="0" w:color="auto"/>
            </w:tcBorders>
            <w:shd w:val="clear" w:color="auto" w:fill="B8CCE4" w:themeFill="accent1" w:themeFillTint="66"/>
            <w:noWrap/>
            <w:vAlign w:val="bottom"/>
            <w:hideMark/>
          </w:tcPr>
          <w:p w14:paraId="7884A23F" w14:textId="77777777" w:rsidR="00B06C83" w:rsidRPr="00BC081A" w:rsidRDefault="00B06C83" w:rsidP="00B06C83">
            <w:pPr>
              <w:pStyle w:val="TableContext"/>
              <w:rPr>
                <w:lang w:val="en-CA"/>
              </w:rPr>
            </w:pPr>
            <w:r w:rsidRPr="00BC081A">
              <w:rPr>
                <w:lang w:val="en-CA"/>
              </w:rPr>
              <w:t>4.77</w:t>
            </w:r>
          </w:p>
        </w:tc>
        <w:tc>
          <w:tcPr>
            <w:tcW w:w="1300" w:type="dxa"/>
            <w:tcBorders>
              <w:top w:val="nil"/>
              <w:left w:val="nil"/>
              <w:bottom w:val="single" w:sz="4" w:space="0" w:color="auto"/>
              <w:right w:val="single" w:sz="4" w:space="0" w:color="auto"/>
            </w:tcBorders>
            <w:shd w:val="clear" w:color="auto" w:fill="auto"/>
            <w:noWrap/>
            <w:vAlign w:val="bottom"/>
            <w:hideMark/>
          </w:tcPr>
          <w:p w14:paraId="135151D6" w14:textId="77777777" w:rsidR="00B06C83" w:rsidRPr="00BC081A" w:rsidRDefault="00B06C83" w:rsidP="00B06C83">
            <w:pPr>
              <w:pStyle w:val="TableContext"/>
              <w:rPr>
                <w:lang w:val="en-CA"/>
              </w:rPr>
            </w:pPr>
            <w:r w:rsidRPr="00BC081A">
              <w:rPr>
                <w:lang w:val="en-CA"/>
              </w:rPr>
              <w:t>80.14</w:t>
            </w:r>
          </w:p>
        </w:tc>
        <w:tc>
          <w:tcPr>
            <w:tcW w:w="1300" w:type="dxa"/>
            <w:tcBorders>
              <w:top w:val="nil"/>
              <w:left w:val="nil"/>
              <w:bottom w:val="single" w:sz="4" w:space="0" w:color="auto"/>
              <w:right w:val="single" w:sz="4" w:space="0" w:color="auto"/>
            </w:tcBorders>
            <w:shd w:val="clear" w:color="auto" w:fill="B8CCE4" w:themeFill="accent1" w:themeFillTint="66"/>
            <w:noWrap/>
            <w:vAlign w:val="bottom"/>
            <w:hideMark/>
          </w:tcPr>
          <w:p w14:paraId="31BD3777" w14:textId="77777777" w:rsidR="00B06C83" w:rsidRPr="00BC081A" w:rsidRDefault="00B06C83" w:rsidP="00B06C83">
            <w:pPr>
              <w:pStyle w:val="TableContext"/>
              <w:rPr>
                <w:lang w:val="en-CA"/>
              </w:rPr>
            </w:pPr>
            <w:r w:rsidRPr="00BC081A">
              <w:rPr>
                <w:lang w:val="en-CA"/>
              </w:rPr>
              <w:t>15.99</w:t>
            </w:r>
          </w:p>
        </w:tc>
      </w:tr>
      <w:tr w:rsidR="00B06C83" w:rsidRPr="00BC081A" w14:paraId="6B3DDC9E"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487D4730" w14:textId="77777777" w:rsidR="00B06C83" w:rsidRPr="00BC081A" w:rsidRDefault="00B06C83" w:rsidP="00B06C83">
            <w:pPr>
              <w:pStyle w:val="TableContext"/>
              <w:rPr>
                <w:i/>
                <w:lang w:val="en-CA"/>
              </w:rPr>
            </w:pPr>
            <w:r w:rsidRPr="00BC081A">
              <w:rPr>
                <w:b/>
                <w:i/>
                <w:lang w:val="en-CA"/>
              </w:rPr>
              <w:t xml:space="preserve">SE </w:t>
            </w:r>
            <w:r w:rsidRPr="00BC081A">
              <w:rPr>
                <w:lang w:val="en-CA"/>
              </w:rPr>
              <w:t>(Standard Error)</w:t>
            </w:r>
          </w:p>
        </w:tc>
        <w:tc>
          <w:tcPr>
            <w:tcW w:w="1300" w:type="dxa"/>
            <w:tcBorders>
              <w:top w:val="nil"/>
              <w:left w:val="nil"/>
              <w:bottom w:val="single" w:sz="4" w:space="0" w:color="auto"/>
              <w:right w:val="single" w:sz="4" w:space="0" w:color="auto"/>
            </w:tcBorders>
            <w:shd w:val="clear" w:color="auto" w:fill="auto"/>
            <w:noWrap/>
            <w:vAlign w:val="bottom"/>
            <w:hideMark/>
          </w:tcPr>
          <w:p w14:paraId="0920E4E4" w14:textId="77777777" w:rsidR="00B06C83" w:rsidRPr="00BC081A" w:rsidRDefault="00B06C83" w:rsidP="00B06C83">
            <w:pPr>
              <w:pStyle w:val="TableContext"/>
              <w:rPr>
                <w:lang w:val="en-CA"/>
              </w:rPr>
            </w:pPr>
            <w:r w:rsidRPr="00BC081A">
              <w:rPr>
                <w:lang w:val="en-CA"/>
              </w:rPr>
              <w:t>0.04</w:t>
            </w:r>
          </w:p>
        </w:tc>
        <w:tc>
          <w:tcPr>
            <w:tcW w:w="1300" w:type="dxa"/>
            <w:tcBorders>
              <w:top w:val="nil"/>
              <w:left w:val="nil"/>
              <w:bottom w:val="single" w:sz="4" w:space="0" w:color="auto"/>
              <w:right w:val="single" w:sz="4" w:space="0" w:color="auto"/>
            </w:tcBorders>
            <w:shd w:val="clear" w:color="auto" w:fill="auto"/>
            <w:noWrap/>
            <w:vAlign w:val="bottom"/>
            <w:hideMark/>
          </w:tcPr>
          <w:p w14:paraId="4DF9BA3F" w14:textId="77777777" w:rsidR="00B06C83" w:rsidRPr="00BC081A" w:rsidRDefault="00B06C83" w:rsidP="00B06C83">
            <w:pPr>
              <w:pStyle w:val="TableContext"/>
              <w:rPr>
                <w:lang w:val="en-CA"/>
              </w:rPr>
            </w:pPr>
            <w:r w:rsidRPr="00BC081A">
              <w:rPr>
                <w:lang w:val="en-CA"/>
              </w:rPr>
              <w:t>0.03</w:t>
            </w:r>
          </w:p>
        </w:tc>
        <w:tc>
          <w:tcPr>
            <w:tcW w:w="1300" w:type="dxa"/>
            <w:tcBorders>
              <w:top w:val="nil"/>
              <w:left w:val="nil"/>
              <w:bottom w:val="single" w:sz="4" w:space="0" w:color="auto"/>
              <w:right w:val="single" w:sz="4" w:space="0" w:color="auto"/>
            </w:tcBorders>
            <w:shd w:val="clear" w:color="auto" w:fill="auto"/>
            <w:noWrap/>
            <w:vAlign w:val="bottom"/>
            <w:hideMark/>
          </w:tcPr>
          <w:p w14:paraId="006ADE4E" w14:textId="77777777" w:rsidR="00B06C83" w:rsidRPr="00BC081A" w:rsidRDefault="00B06C83" w:rsidP="00B06C83">
            <w:pPr>
              <w:pStyle w:val="TableContext"/>
              <w:rPr>
                <w:lang w:val="en-CA"/>
              </w:rPr>
            </w:pPr>
            <w:r w:rsidRPr="00BC081A">
              <w:rPr>
                <w:lang w:val="en-CA"/>
              </w:rPr>
              <w:t>0.02</w:t>
            </w:r>
          </w:p>
        </w:tc>
        <w:tc>
          <w:tcPr>
            <w:tcW w:w="1300" w:type="dxa"/>
            <w:tcBorders>
              <w:top w:val="nil"/>
              <w:left w:val="nil"/>
              <w:bottom w:val="single" w:sz="4" w:space="0" w:color="auto"/>
              <w:right w:val="single" w:sz="4" w:space="0" w:color="auto"/>
            </w:tcBorders>
            <w:shd w:val="clear" w:color="auto" w:fill="auto"/>
            <w:noWrap/>
            <w:vAlign w:val="bottom"/>
            <w:hideMark/>
          </w:tcPr>
          <w:p w14:paraId="1EDEFA87" w14:textId="77777777" w:rsidR="00B06C83" w:rsidRPr="00BC081A" w:rsidRDefault="00B06C83" w:rsidP="00B06C83">
            <w:pPr>
              <w:pStyle w:val="TableContext"/>
              <w:rPr>
                <w:lang w:val="en-CA"/>
              </w:rPr>
            </w:pPr>
            <w:r w:rsidRPr="00BC081A">
              <w:rPr>
                <w:lang w:val="en-CA"/>
              </w:rPr>
              <w:t>0.02</w:t>
            </w:r>
          </w:p>
        </w:tc>
      </w:tr>
      <w:tr w:rsidR="00B06C83" w:rsidRPr="00BC081A" w14:paraId="1107C05A"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3F457AFE" w14:textId="77777777" w:rsidR="00B06C83" w:rsidRPr="00BC081A" w:rsidRDefault="00B06C83" w:rsidP="00B06C83">
            <w:pPr>
              <w:pStyle w:val="TableContext"/>
              <w:rPr>
                <w:lang w:val="en-CA"/>
              </w:rPr>
            </w:pPr>
            <w:r w:rsidRPr="00BC081A">
              <w:rPr>
                <w:b/>
                <w:lang w:val="en-CA"/>
              </w:rPr>
              <w:t xml:space="preserve">CI 95% </w:t>
            </w:r>
            <w:r w:rsidRPr="00BC081A">
              <w:rPr>
                <w:lang w:val="en-CA"/>
              </w:rPr>
              <w:t>(Confidence Interval)</w:t>
            </w:r>
          </w:p>
        </w:tc>
        <w:tc>
          <w:tcPr>
            <w:tcW w:w="1300" w:type="dxa"/>
            <w:tcBorders>
              <w:top w:val="nil"/>
              <w:left w:val="nil"/>
              <w:bottom w:val="single" w:sz="4" w:space="0" w:color="auto"/>
              <w:right w:val="single" w:sz="4" w:space="0" w:color="auto"/>
            </w:tcBorders>
            <w:shd w:val="clear" w:color="auto" w:fill="auto"/>
            <w:noWrap/>
            <w:vAlign w:val="bottom"/>
            <w:hideMark/>
          </w:tcPr>
          <w:p w14:paraId="678C3F8F" w14:textId="77777777" w:rsidR="00B06C83" w:rsidRPr="00BC081A" w:rsidRDefault="00B06C83" w:rsidP="00B06C83">
            <w:pPr>
              <w:pStyle w:val="TableContext"/>
              <w:rPr>
                <w:lang w:val="en-CA"/>
              </w:rPr>
            </w:pPr>
            <w:r w:rsidRPr="00BC081A">
              <w:rPr>
                <w:lang w:val="en-CA"/>
              </w:rPr>
              <w:t>.25 ± 0.01</w:t>
            </w:r>
          </w:p>
        </w:tc>
        <w:tc>
          <w:tcPr>
            <w:tcW w:w="1300" w:type="dxa"/>
            <w:tcBorders>
              <w:top w:val="nil"/>
              <w:left w:val="nil"/>
              <w:bottom w:val="single" w:sz="4" w:space="0" w:color="auto"/>
              <w:right w:val="single" w:sz="4" w:space="0" w:color="auto"/>
            </w:tcBorders>
            <w:shd w:val="clear" w:color="auto" w:fill="auto"/>
            <w:noWrap/>
            <w:vAlign w:val="bottom"/>
            <w:hideMark/>
          </w:tcPr>
          <w:p w14:paraId="0A6F3043" w14:textId="77777777" w:rsidR="00B06C83" w:rsidRPr="00BC081A" w:rsidRDefault="00B06C83" w:rsidP="00B06C83">
            <w:pPr>
              <w:pStyle w:val="TableContext"/>
              <w:rPr>
                <w:lang w:val="en-CA"/>
              </w:rPr>
            </w:pPr>
            <w:r w:rsidRPr="00BC081A">
              <w:rPr>
                <w:lang w:val="en-CA"/>
              </w:rPr>
              <w:t>.25 ± 0.01</w:t>
            </w:r>
          </w:p>
        </w:tc>
        <w:tc>
          <w:tcPr>
            <w:tcW w:w="1300" w:type="dxa"/>
            <w:tcBorders>
              <w:top w:val="nil"/>
              <w:left w:val="nil"/>
              <w:bottom w:val="single" w:sz="4" w:space="0" w:color="auto"/>
              <w:right w:val="single" w:sz="4" w:space="0" w:color="auto"/>
            </w:tcBorders>
            <w:shd w:val="clear" w:color="auto" w:fill="auto"/>
            <w:noWrap/>
            <w:vAlign w:val="bottom"/>
            <w:hideMark/>
          </w:tcPr>
          <w:p w14:paraId="669B2F9D" w14:textId="77777777" w:rsidR="00B06C83" w:rsidRPr="00BC081A" w:rsidRDefault="00B06C83" w:rsidP="00B06C83">
            <w:pPr>
              <w:pStyle w:val="TableContext"/>
              <w:rPr>
                <w:lang w:val="en-CA"/>
              </w:rPr>
            </w:pPr>
            <w:r w:rsidRPr="00BC081A">
              <w:rPr>
                <w:lang w:val="en-CA"/>
              </w:rPr>
              <w:t>.67 ± 0.01</w:t>
            </w:r>
          </w:p>
        </w:tc>
        <w:tc>
          <w:tcPr>
            <w:tcW w:w="1300" w:type="dxa"/>
            <w:tcBorders>
              <w:top w:val="nil"/>
              <w:left w:val="nil"/>
              <w:bottom w:val="single" w:sz="4" w:space="0" w:color="auto"/>
              <w:right w:val="single" w:sz="4" w:space="0" w:color="auto"/>
            </w:tcBorders>
            <w:shd w:val="clear" w:color="auto" w:fill="auto"/>
            <w:noWrap/>
            <w:vAlign w:val="bottom"/>
            <w:hideMark/>
          </w:tcPr>
          <w:p w14:paraId="6A7E797E" w14:textId="77777777" w:rsidR="00B06C83" w:rsidRPr="00BC081A" w:rsidRDefault="00B06C83" w:rsidP="00B06C83">
            <w:pPr>
              <w:pStyle w:val="TableContext"/>
              <w:rPr>
                <w:lang w:val="en-CA"/>
              </w:rPr>
            </w:pPr>
            <w:r w:rsidRPr="00BC081A">
              <w:rPr>
                <w:lang w:val="en-CA"/>
              </w:rPr>
              <w:t>.57 ± 0.01</w:t>
            </w:r>
          </w:p>
        </w:tc>
      </w:tr>
      <w:tr w:rsidR="00B06C83" w:rsidRPr="00BC081A" w14:paraId="6CF5C837"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716AED8C" w14:textId="77777777" w:rsidR="00B06C83" w:rsidRPr="00BC081A" w:rsidRDefault="00B06C83" w:rsidP="00B06C83">
            <w:pPr>
              <w:pStyle w:val="TableContext"/>
              <w:rPr>
                <w:i/>
                <w:lang w:val="en-CA"/>
              </w:rPr>
            </w:pPr>
            <w:proofErr w:type="gramStart"/>
            <w:r w:rsidRPr="00BC081A">
              <w:rPr>
                <w:b/>
                <w:i/>
                <w:lang w:val="en-CA"/>
              </w:rPr>
              <w:t>z</w:t>
            </w:r>
            <w:proofErr w:type="gramEnd"/>
            <w:r w:rsidRPr="00BC081A">
              <w:rPr>
                <w:b/>
                <w:i/>
                <w:lang w:val="en-CA"/>
              </w:rPr>
              <w:t>-score</w:t>
            </w:r>
          </w:p>
        </w:tc>
        <w:tc>
          <w:tcPr>
            <w:tcW w:w="1300" w:type="dxa"/>
            <w:tcBorders>
              <w:top w:val="nil"/>
              <w:left w:val="nil"/>
              <w:bottom w:val="single" w:sz="4" w:space="0" w:color="auto"/>
              <w:right w:val="single" w:sz="4" w:space="0" w:color="auto"/>
            </w:tcBorders>
            <w:shd w:val="clear" w:color="auto" w:fill="auto"/>
            <w:noWrap/>
            <w:vAlign w:val="bottom"/>
            <w:hideMark/>
          </w:tcPr>
          <w:p w14:paraId="2E27FE2F" w14:textId="77777777" w:rsidR="00B06C83" w:rsidRPr="00BC081A" w:rsidRDefault="00B06C83" w:rsidP="00B06C83">
            <w:pPr>
              <w:pStyle w:val="TableContext"/>
              <w:rPr>
                <w:lang w:val="en-CA"/>
              </w:rPr>
            </w:pPr>
            <w:r w:rsidRPr="00BC081A">
              <w:rPr>
                <w:lang w:val="en-CA"/>
              </w:rPr>
              <w:t>6.37</w:t>
            </w:r>
          </w:p>
        </w:tc>
        <w:tc>
          <w:tcPr>
            <w:tcW w:w="1300" w:type="dxa"/>
            <w:tcBorders>
              <w:top w:val="nil"/>
              <w:left w:val="nil"/>
              <w:bottom w:val="single" w:sz="4" w:space="0" w:color="auto"/>
              <w:right w:val="single" w:sz="4" w:space="0" w:color="auto"/>
            </w:tcBorders>
            <w:shd w:val="clear" w:color="auto" w:fill="auto"/>
            <w:noWrap/>
            <w:vAlign w:val="bottom"/>
            <w:hideMark/>
          </w:tcPr>
          <w:p w14:paraId="4F4F2152" w14:textId="77777777" w:rsidR="00B06C83" w:rsidRPr="00BC081A" w:rsidRDefault="00B06C83" w:rsidP="00B06C83">
            <w:pPr>
              <w:pStyle w:val="TableContext"/>
              <w:rPr>
                <w:lang w:val="en-CA"/>
              </w:rPr>
            </w:pPr>
            <w:r w:rsidRPr="00BC081A">
              <w:rPr>
                <w:lang w:val="en-CA"/>
              </w:rPr>
              <w:t>8.29</w:t>
            </w:r>
          </w:p>
        </w:tc>
        <w:tc>
          <w:tcPr>
            <w:tcW w:w="1300" w:type="dxa"/>
            <w:tcBorders>
              <w:top w:val="nil"/>
              <w:left w:val="nil"/>
              <w:bottom w:val="single" w:sz="4" w:space="0" w:color="auto"/>
              <w:right w:val="single" w:sz="4" w:space="0" w:color="auto"/>
            </w:tcBorders>
            <w:shd w:val="clear" w:color="auto" w:fill="auto"/>
            <w:noWrap/>
            <w:vAlign w:val="bottom"/>
            <w:hideMark/>
          </w:tcPr>
          <w:p w14:paraId="29BE353C" w14:textId="77777777" w:rsidR="00B06C83" w:rsidRPr="00BC081A" w:rsidRDefault="00B06C83" w:rsidP="00B06C83">
            <w:pPr>
              <w:pStyle w:val="TableContext"/>
              <w:rPr>
                <w:lang w:val="en-CA"/>
              </w:rPr>
            </w:pPr>
            <w:r w:rsidRPr="00BC081A">
              <w:rPr>
                <w:lang w:val="en-CA"/>
              </w:rPr>
              <w:t>30.69</w:t>
            </w:r>
          </w:p>
        </w:tc>
        <w:tc>
          <w:tcPr>
            <w:tcW w:w="1300" w:type="dxa"/>
            <w:tcBorders>
              <w:top w:val="nil"/>
              <w:left w:val="nil"/>
              <w:bottom w:val="single" w:sz="4" w:space="0" w:color="auto"/>
              <w:right w:val="single" w:sz="4" w:space="0" w:color="auto"/>
            </w:tcBorders>
            <w:shd w:val="clear" w:color="auto" w:fill="auto"/>
            <w:noWrap/>
            <w:vAlign w:val="bottom"/>
            <w:hideMark/>
          </w:tcPr>
          <w:p w14:paraId="010D0E9A" w14:textId="77777777" w:rsidR="00B06C83" w:rsidRPr="00BC081A" w:rsidRDefault="00B06C83" w:rsidP="00B06C83">
            <w:pPr>
              <w:pStyle w:val="TableContext"/>
              <w:rPr>
                <w:lang w:val="en-CA"/>
              </w:rPr>
            </w:pPr>
            <w:r w:rsidRPr="00BC081A">
              <w:rPr>
                <w:lang w:val="en-CA"/>
              </w:rPr>
              <w:t>28.64</w:t>
            </w:r>
          </w:p>
        </w:tc>
      </w:tr>
      <w:tr w:rsidR="00B06C83" w:rsidRPr="00BC081A" w14:paraId="204E4239"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2C0ECE82" w14:textId="77777777" w:rsidR="00B06C83" w:rsidRPr="00BC081A" w:rsidRDefault="00B06C83" w:rsidP="00B06C83">
            <w:pPr>
              <w:pStyle w:val="TableContext"/>
              <w:rPr>
                <w:lang w:val="en-CA"/>
              </w:rPr>
            </w:pPr>
            <w:proofErr w:type="spellStart"/>
            <w:proofErr w:type="gramStart"/>
            <w:r w:rsidRPr="00BC081A">
              <w:rPr>
                <w:b/>
                <w:i/>
                <w:lang w:val="en-CA"/>
              </w:rPr>
              <w:t>df</w:t>
            </w:r>
            <w:proofErr w:type="spellEnd"/>
            <w:proofErr w:type="gramEnd"/>
            <w:r w:rsidRPr="00BC081A">
              <w:rPr>
                <w:b/>
                <w:i/>
                <w:lang w:val="en-CA"/>
              </w:rPr>
              <w:t xml:space="preserve"> </w:t>
            </w:r>
            <w:r w:rsidRPr="00BC081A">
              <w:rPr>
                <w:lang w:val="en-CA"/>
              </w:rPr>
              <w:t>(degrees of freedom)</w:t>
            </w:r>
          </w:p>
        </w:tc>
        <w:tc>
          <w:tcPr>
            <w:tcW w:w="1300" w:type="dxa"/>
            <w:tcBorders>
              <w:top w:val="nil"/>
              <w:left w:val="nil"/>
              <w:bottom w:val="single" w:sz="4" w:space="0" w:color="auto"/>
              <w:right w:val="single" w:sz="4" w:space="0" w:color="auto"/>
            </w:tcBorders>
            <w:shd w:val="clear" w:color="auto" w:fill="auto"/>
            <w:noWrap/>
            <w:vAlign w:val="bottom"/>
            <w:hideMark/>
          </w:tcPr>
          <w:p w14:paraId="4F151F3A" w14:textId="77777777" w:rsidR="00B06C83" w:rsidRPr="00BC081A" w:rsidRDefault="00B06C83" w:rsidP="00B06C83">
            <w:pPr>
              <w:pStyle w:val="TableContext"/>
              <w:rPr>
                <w:lang w:val="en-CA"/>
              </w:rPr>
            </w:pPr>
            <w:r w:rsidRPr="00BC081A">
              <w:rPr>
                <w:lang w:val="en-CA"/>
              </w:rPr>
              <w:t>2</w:t>
            </w:r>
          </w:p>
        </w:tc>
        <w:tc>
          <w:tcPr>
            <w:tcW w:w="1300" w:type="dxa"/>
            <w:tcBorders>
              <w:top w:val="nil"/>
              <w:left w:val="nil"/>
              <w:bottom w:val="single" w:sz="4" w:space="0" w:color="auto"/>
              <w:right w:val="single" w:sz="4" w:space="0" w:color="auto"/>
            </w:tcBorders>
            <w:shd w:val="clear" w:color="auto" w:fill="auto"/>
            <w:noWrap/>
            <w:vAlign w:val="bottom"/>
            <w:hideMark/>
          </w:tcPr>
          <w:p w14:paraId="785BD147" w14:textId="77777777" w:rsidR="00B06C83" w:rsidRPr="00BC081A" w:rsidRDefault="00B06C83" w:rsidP="00B06C83">
            <w:pPr>
              <w:pStyle w:val="TableContext"/>
              <w:rPr>
                <w:lang w:val="en-CA"/>
              </w:rPr>
            </w:pPr>
            <w:r w:rsidRPr="00BC081A">
              <w:rPr>
                <w:lang w:val="en-CA"/>
              </w:rPr>
              <w:t>4</w:t>
            </w:r>
          </w:p>
        </w:tc>
        <w:tc>
          <w:tcPr>
            <w:tcW w:w="1300" w:type="dxa"/>
            <w:tcBorders>
              <w:top w:val="nil"/>
              <w:left w:val="nil"/>
              <w:bottom w:val="single" w:sz="4" w:space="0" w:color="auto"/>
              <w:right w:val="single" w:sz="4" w:space="0" w:color="auto"/>
            </w:tcBorders>
            <w:shd w:val="clear" w:color="auto" w:fill="auto"/>
            <w:noWrap/>
            <w:vAlign w:val="bottom"/>
            <w:hideMark/>
          </w:tcPr>
          <w:p w14:paraId="75788F7E" w14:textId="77777777" w:rsidR="00B06C83" w:rsidRPr="00BC081A" w:rsidRDefault="00B06C83" w:rsidP="00B06C83">
            <w:pPr>
              <w:pStyle w:val="TableContext"/>
              <w:rPr>
                <w:lang w:val="en-CA"/>
              </w:rPr>
            </w:pPr>
            <w:r w:rsidRPr="00BC081A">
              <w:rPr>
                <w:lang w:val="en-CA"/>
              </w:rPr>
              <w:t>4</w:t>
            </w:r>
          </w:p>
        </w:tc>
        <w:tc>
          <w:tcPr>
            <w:tcW w:w="1300" w:type="dxa"/>
            <w:tcBorders>
              <w:top w:val="nil"/>
              <w:left w:val="nil"/>
              <w:bottom w:val="single" w:sz="4" w:space="0" w:color="auto"/>
              <w:right w:val="single" w:sz="4" w:space="0" w:color="auto"/>
            </w:tcBorders>
            <w:shd w:val="clear" w:color="auto" w:fill="auto"/>
            <w:noWrap/>
            <w:vAlign w:val="bottom"/>
            <w:hideMark/>
          </w:tcPr>
          <w:p w14:paraId="2D25DAF9" w14:textId="77777777" w:rsidR="00B06C83" w:rsidRPr="00BC081A" w:rsidRDefault="00B06C83" w:rsidP="00B06C83">
            <w:pPr>
              <w:pStyle w:val="TableContext"/>
              <w:rPr>
                <w:lang w:val="en-CA"/>
              </w:rPr>
            </w:pPr>
            <w:r w:rsidRPr="00BC081A">
              <w:rPr>
                <w:lang w:val="en-CA"/>
              </w:rPr>
              <w:t>10</w:t>
            </w:r>
          </w:p>
        </w:tc>
      </w:tr>
      <w:tr w:rsidR="00B06C83" w:rsidRPr="00BC081A" w14:paraId="23515003" w14:textId="77777777" w:rsidTr="00B06C83">
        <w:trPr>
          <w:trHeight w:val="300"/>
          <w:jc w:val="center"/>
        </w:trPr>
        <w:tc>
          <w:tcPr>
            <w:tcW w:w="3223"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754F4E49" w14:textId="77777777" w:rsidR="00B06C83" w:rsidRPr="00BC081A" w:rsidRDefault="00B06C83" w:rsidP="00B06C83">
            <w:pPr>
              <w:pStyle w:val="TableContext"/>
              <w:rPr>
                <w:i/>
                <w:lang w:val="en-CA"/>
              </w:rPr>
            </w:pPr>
            <w:r w:rsidRPr="00BC081A">
              <w:rPr>
                <w:b/>
                <w:i/>
                <w:lang w:val="en-CA"/>
              </w:rPr>
              <w:t>Chi</w:t>
            </w:r>
            <w:r w:rsidRPr="00BC081A">
              <w:rPr>
                <w:b/>
                <w:i/>
                <w:vertAlign w:val="superscript"/>
                <w:lang w:val="en-CA"/>
              </w:rPr>
              <w:t xml:space="preserve">2 </w:t>
            </w:r>
            <w:r w:rsidRPr="00BC081A">
              <w:rPr>
                <w:lang w:val="en-CA"/>
              </w:rPr>
              <w:t xml:space="preserve">(for the mentioned </w:t>
            </w:r>
            <w:proofErr w:type="spellStart"/>
            <w:r w:rsidRPr="00BC081A">
              <w:rPr>
                <w:i/>
                <w:lang w:val="en-CA"/>
              </w:rPr>
              <w:t>df</w:t>
            </w:r>
            <w:proofErr w:type="spellEnd"/>
            <w:r w:rsidRPr="00BC081A">
              <w:rPr>
                <w:i/>
                <w:lang w:val="en-CA"/>
              </w:rPr>
              <w:t>)</w:t>
            </w:r>
          </w:p>
        </w:tc>
        <w:tc>
          <w:tcPr>
            <w:tcW w:w="1300" w:type="dxa"/>
            <w:tcBorders>
              <w:top w:val="nil"/>
              <w:left w:val="nil"/>
              <w:bottom w:val="single" w:sz="4" w:space="0" w:color="auto"/>
              <w:right w:val="single" w:sz="4" w:space="0" w:color="auto"/>
            </w:tcBorders>
            <w:shd w:val="clear" w:color="auto" w:fill="auto"/>
            <w:noWrap/>
            <w:vAlign w:val="bottom"/>
            <w:hideMark/>
          </w:tcPr>
          <w:p w14:paraId="7E7B2E97" w14:textId="77777777" w:rsidR="00B06C83" w:rsidRPr="00BC081A" w:rsidRDefault="00B06C83" w:rsidP="00B06C83">
            <w:pPr>
              <w:pStyle w:val="TableContext"/>
              <w:rPr>
                <w:lang w:val="en-CA"/>
              </w:rPr>
            </w:pPr>
            <w:r w:rsidRPr="00BC081A">
              <w:rPr>
                <w:lang w:val="en-CA"/>
              </w:rPr>
              <w:t>5.99</w:t>
            </w:r>
          </w:p>
        </w:tc>
        <w:tc>
          <w:tcPr>
            <w:tcW w:w="1300" w:type="dxa"/>
            <w:tcBorders>
              <w:top w:val="nil"/>
              <w:left w:val="nil"/>
              <w:bottom w:val="single" w:sz="4" w:space="0" w:color="auto"/>
              <w:right w:val="single" w:sz="4" w:space="0" w:color="auto"/>
            </w:tcBorders>
            <w:shd w:val="clear" w:color="auto" w:fill="auto"/>
            <w:noWrap/>
            <w:vAlign w:val="bottom"/>
            <w:hideMark/>
          </w:tcPr>
          <w:p w14:paraId="56B76298" w14:textId="77777777" w:rsidR="00B06C83" w:rsidRPr="00BC081A" w:rsidRDefault="00B06C83" w:rsidP="00B06C83">
            <w:pPr>
              <w:pStyle w:val="TableContext"/>
              <w:rPr>
                <w:lang w:val="en-CA"/>
              </w:rPr>
            </w:pPr>
            <w:r w:rsidRPr="00BC081A">
              <w:rPr>
                <w:lang w:val="en-CA"/>
              </w:rPr>
              <w:t>9.49</w:t>
            </w:r>
          </w:p>
        </w:tc>
        <w:tc>
          <w:tcPr>
            <w:tcW w:w="1300" w:type="dxa"/>
            <w:tcBorders>
              <w:top w:val="nil"/>
              <w:left w:val="nil"/>
              <w:bottom w:val="single" w:sz="4" w:space="0" w:color="auto"/>
              <w:right w:val="single" w:sz="4" w:space="0" w:color="auto"/>
            </w:tcBorders>
            <w:shd w:val="clear" w:color="auto" w:fill="auto"/>
            <w:noWrap/>
            <w:vAlign w:val="bottom"/>
            <w:hideMark/>
          </w:tcPr>
          <w:p w14:paraId="544E5847" w14:textId="77777777" w:rsidR="00B06C83" w:rsidRPr="00BC081A" w:rsidRDefault="00B06C83" w:rsidP="00B06C83">
            <w:pPr>
              <w:pStyle w:val="TableContext"/>
              <w:rPr>
                <w:lang w:val="en-CA"/>
              </w:rPr>
            </w:pPr>
            <w:r w:rsidRPr="00BC081A">
              <w:rPr>
                <w:lang w:val="en-CA"/>
              </w:rPr>
              <w:t>11.07</w:t>
            </w:r>
          </w:p>
        </w:tc>
        <w:tc>
          <w:tcPr>
            <w:tcW w:w="1300" w:type="dxa"/>
            <w:tcBorders>
              <w:top w:val="nil"/>
              <w:left w:val="nil"/>
              <w:bottom w:val="single" w:sz="4" w:space="0" w:color="auto"/>
              <w:right w:val="single" w:sz="4" w:space="0" w:color="auto"/>
            </w:tcBorders>
            <w:shd w:val="clear" w:color="auto" w:fill="auto"/>
            <w:noWrap/>
            <w:vAlign w:val="bottom"/>
            <w:hideMark/>
          </w:tcPr>
          <w:p w14:paraId="5C9D8DAF" w14:textId="77777777" w:rsidR="00B06C83" w:rsidRPr="00BC081A" w:rsidRDefault="00B06C83" w:rsidP="00B06C83">
            <w:pPr>
              <w:pStyle w:val="TableContext"/>
              <w:rPr>
                <w:lang w:val="en-CA"/>
              </w:rPr>
            </w:pPr>
            <w:r w:rsidRPr="00BC081A">
              <w:rPr>
                <w:lang w:val="en-CA"/>
              </w:rPr>
              <w:t>22.36</w:t>
            </w:r>
          </w:p>
        </w:tc>
      </w:tr>
    </w:tbl>
    <w:p w14:paraId="017749FA" w14:textId="77777777" w:rsidR="00B06C83" w:rsidRPr="00BC081A" w:rsidRDefault="00B06C83" w:rsidP="00B06C83"/>
    <w:p w14:paraId="585DA8DA" w14:textId="77777777" w:rsidR="00B06C83" w:rsidRPr="00BC081A" w:rsidRDefault="00B06C83" w:rsidP="00B06C83">
      <w:r w:rsidRPr="00BC081A">
        <w:lastRenderedPageBreak/>
        <w:t xml:space="preserve">As can be seen in the table above, there is a significant difference between the effect sizes of the outcomes related to each type of measurement of flow. To be precise, unidimensional implementations have a moderate effect on intention while multidimensional constructs have a very large effect size. All of the findings have a high </w:t>
      </w:r>
      <w:r w:rsidRPr="00BC081A">
        <w:rPr>
          <w:i/>
        </w:rPr>
        <w:t>z</w:t>
      </w:r>
      <w:r w:rsidRPr="00BC081A">
        <w:t xml:space="preserve">-value showing their significance. However, the </w:t>
      </w:r>
      <w:r w:rsidRPr="00BC081A">
        <w:rPr>
          <w:i/>
        </w:rPr>
        <w:t>Q-</w:t>
      </w:r>
      <w:r w:rsidRPr="00BC081A">
        <w:t xml:space="preserve">value for the value of studies on attitude toward use that deploy multidimensional measures of flow is still too high, making it difficult to draw any certain conclusion about those relationships. Still, the results show that operationalization of flow plays the role of a moderator on the relation between being in the state of flow/CA and intention to use the system. Thus, hypothesis </w:t>
      </w:r>
      <w:r w:rsidRPr="00BC081A">
        <w:rPr>
          <w:b/>
        </w:rPr>
        <w:t>H3a</w:t>
      </w:r>
      <w:r w:rsidRPr="00BC081A">
        <w:t xml:space="preserve"> is supported. While hypothesis </w:t>
      </w:r>
      <w:r w:rsidRPr="00BC081A">
        <w:rPr>
          <w:b/>
        </w:rPr>
        <w:t>H3b</w:t>
      </w:r>
      <w:r w:rsidRPr="00BC081A">
        <w:t xml:space="preserve"> is supported, there is a possibility of other moderators in this relationship that need to be considered and further investigation is required. </w:t>
      </w:r>
    </w:p>
    <w:p w14:paraId="03546EDE" w14:textId="7BA3EF93" w:rsidR="00536F6A" w:rsidRPr="00BC081A" w:rsidRDefault="00536F6A" w:rsidP="00536F6A">
      <w:pPr>
        <w:pStyle w:val="Heading2"/>
        <w:numPr>
          <w:ilvl w:val="0"/>
          <w:numId w:val="0"/>
        </w:numPr>
        <w:ind w:left="576"/>
      </w:pPr>
      <w:bookmarkStart w:id="130" w:name="_Toc275209857"/>
      <w:r w:rsidRPr="00BC081A">
        <w:t>Selection of Constructs Used in Meta-analysis</w:t>
      </w:r>
      <w:bookmarkEnd w:id="130"/>
    </w:p>
    <w:p w14:paraId="592DDD1D" w14:textId="60F39B3A" w:rsidR="00536F6A" w:rsidRPr="00BC081A" w:rsidRDefault="00536F6A" w:rsidP="00536F6A">
      <w:r w:rsidRPr="00BC081A">
        <w:t xml:space="preserve">As it is explained in the article, </w:t>
      </w:r>
      <w:proofErr w:type="gramStart"/>
      <w:r w:rsidRPr="00BC081A">
        <w:t>the analysis was done by choosing four codes for the studies</w:t>
      </w:r>
      <w:proofErr w:type="gramEnd"/>
      <w:r w:rsidRPr="00BC081A">
        <w:t>. Here</w:t>
      </w:r>
      <w:r w:rsidR="00D27F97">
        <w:t>,</w:t>
      </w:r>
      <w:r w:rsidRPr="00BC081A">
        <w:t xml:space="preserve"> the main constructs used for the first three codes and </w:t>
      </w:r>
      <w:proofErr w:type="gramStart"/>
      <w:r w:rsidRPr="00BC081A">
        <w:t>an example of code 4 studies</w:t>
      </w:r>
      <w:r w:rsidR="00D27F97">
        <w:t xml:space="preserve"> were</w:t>
      </w:r>
      <w:proofErr w:type="gramEnd"/>
      <w:r w:rsidR="00D27F97">
        <w:t xml:space="preserve"> included</w:t>
      </w:r>
      <w:r w:rsidRPr="00BC081A">
        <w:t xml:space="preserve">. </w:t>
      </w:r>
    </w:p>
    <w:p w14:paraId="4F8890A8" w14:textId="77777777" w:rsidR="00536F6A" w:rsidRPr="00BC081A" w:rsidRDefault="00536F6A" w:rsidP="00536F6A">
      <w:pPr>
        <w:pStyle w:val="Heading3"/>
        <w:numPr>
          <w:ilvl w:val="0"/>
          <w:numId w:val="0"/>
        </w:numPr>
        <w:ind w:left="720"/>
      </w:pPr>
      <w:bookmarkStart w:id="131" w:name="_Toc275209858"/>
      <w:r w:rsidRPr="00BC081A">
        <w:t>Unidimensional (Code 1)</w:t>
      </w:r>
      <w:bookmarkEnd w:id="131"/>
    </w:p>
    <w:p w14:paraId="452255D2" w14:textId="77777777" w:rsidR="00536F6A" w:rsidRPr="00BC081A" w:rsidRDefault="00536F6A" w:rsidP="00536F6A">
      <w:r w:rsidRPr="00BC081A">
        <w:t xml:space="preserve">The first code was given to the unidimensional constructs of flow. </w:t>
      </w:r>
      <w:r w:rsidRPr="00BC081A">
        <w:rPr>
          <w:noProof/>
        </w:rPr>
        <w:t>Novak et al. (2000)</w:t>
      </w:r>
      <w:r w:rsidRPr="00BC081A">
        <w:t xml:space="preserve"> have been repeatedly cited for the unidimensional construct of flow, which they developed for measuring the experience of flow among web users as follows: </w:t>
      </w:r>
    </w:p>
    <w:p w14:paraId="51433C7E" w14:textId="77777777" w:rsidR="00536F6A" w:rsidRPr="00BC081A" w:rsidRDefault="00536F6A" w:rsidP="00536F6A">
      <w:pPr>
        <w:ind w:left="720"/>
      </w:pPr>
      <w:r w:rsidRPr="00BC081A">
        <w:t xml:space="preserve">The word "flow" is used to describe a state of mind sometimes experienced by people who are deeply involved in some activity. One example of flow is the case where a professional athlete is playing exceptionally well and achieves a state of mind where </w:t>
      </w:r>
      <w:r w:rsidRPr="00BC081A">
        <w:lastRenderedPageBreak/>
        <w:t>nothing else matters but the game; he or she is completely and totally immersed in it. The experience is not exclusive to athletics: Many people report this state of mind when playing games, engaging in hobbies, or working.</w:t>
      </w:r>
    </w:p>
    <w:p w14:paraId="1B749A7F" w14:textId="77777777" w:rsidR="00536F6A" w:rsidRPr="00BC081A" w:rsidRDefault="00536F6A" w:rsidP="00536F6A">
      <w:pPr>
        <w:ind w:left="720" w:firstLine="360"/>
      </w:pPr>
      <w:r w:rsidRPr="00BC081A">
        <w:t>Activities that lead to flow completely captivate a person for some period of time. When one is in flow, time may seem to stand still, and nothing else seems to matter. Flow may not last for a long time on any particular occasion, but it may come and go over time. Flow has been described as an intrinsically enjoyable experience.</w:t>
      </w:r>
    </w:p>
    <w:p w14:paraId="6357C31D" w14:textId="77777777" w:rsidR="00536F6A" w:rsidRPr="00BC081A" w:rsidRDefault="00536F6A" w:rsidP="00536F6A">
      <w:pPr>
        <w:ind w:left="720" w:firstLine="360"/>
      </w:pPr>
      <w:r w:rsidRPr="00BC081A">
        <w:t>Thinking about your own use of the Web:</w:t>
      </w:r>
    </w:p>
    <w:p w14:paraId="38E52C97" w14:textId="77777777" w:rsidR="00536F6A" w:rsidRPr="00BC081A" w:rsidRDefault="00536F6A" w:rsidP="00536F6A">
      <w:pPr>
        <w:ind w:left="1440"/>
      </w:pPr>
      <w:r w:rsidRPr="00BC081A">
        <w:t>F1) Do you think you have ever experienced flow on the Web?</w:t>
      </w:r>
    </w:p>
    <w:p w14:paraId="4AEC7CC3" w14:textId="77777777" w:rsidR="00536F6A" w:rsidRPr="00BC081A" w:rsidRDefault="00536F6A" w:rsidP="00536F6A">
      <w:pPr>
        <w:ind w:left="1440"/>
      </w:pPr>
      <w:r w:rsidRPr="00BC081A">
        <w:t xml:space="preserve">F2) In general, how frequently would you say you have experienced "flow" when you use the Web? </w:t>
      </w:r>
    </w:p>
    <w:p w14:paraId="6D7B31DC" w14:textId="77777777" w:rsidR="00536F6A" w:rsidRPr="00BC081A" w:rsidRDefault="00536F6A" w:rsidP="00536F6A">
      <w:pPr>
        <w:ind w:left="1440"/>
      </w:pPr>
      <w:proofErr w:type="gramStart"/>
      <w:r w:rsidRPr="00BC081A">
        <w:t>F3) Most of the time I use the Web I feel that I am in flow.</w:t>
      </w:r>
      <w:proofErr w:type="gramEnd"/>
    </w:p>
    <w:p w14:paraId="2A34A9C7" w14:textId="77777777" w:rsidR="00536F6A" w:rsidRPr="00BC081A" w:rsidRDefault="00536F6A" w:rsidP="00536F6A">
      <w:pPr>
        <w:pStyle w:val="Heading3"/>
        <w:numPr>
          <w:ilvl w:val="0"/>
          <w:numId w:val="0"/>
        </w:numPr>
        <w:ind w:left="720"/>
      </w:pPr>
      <w:bookmarkStart w:id="132" w:name="_Toc275209859"/>
      <w:r w:rsidRPr="00BC081A">
        <w:t>Multidimensional (Code 2 &amp; 3)</w:t>
      </w:r>
      <w:bookmarkEnd w:id="132"/>
    </w:p>
    <w:p w14:paraId="4161FDA7" w14:textId="77777777" w:rsidR="00536F6A" w:rsidRPr="00BC081A" w:rsidRDefault="00536F6A" w:rsidP="00536F6A">
      <w:r w:rsidRPr="00BC081A">
        <w:t xml:space="preserve">Multidimensional constructs are divided in two groups. The first one (code 2) are the studies that use Cognitive Absorption (CA) </w:t>
      </w:r>
      <w:r w:rsidRPr="00BC081A">
        <w:rPr>
          <w:noProof/>
        </w:rPr>
        <w:t>(Agarwal &amp; Karahanna, 2000)</w:t>
      </w:r>
      <w:r w:rsidRPr="00BC081A">
        <w:t xml:space="preserve"> and the second group (code 3) are the other multidimensional constructs with more than two dimensions, such as Engagement </w:t>
      </w:r>
      <w:r w:rsidRPr="00BC081A">
        <w:rPr>
          <w:noProof/>
        </w:rPr>
        <w:t>(Webster &amp; Ho, 1997)</w:t>
      </w:r>
      <w:r w:rsidRPr="00BC081A">
        <w:t>. These constructs are as follow:</w:t>
      </w:r>
    </w:p>
    <w:p w14:paraId="674CB8A5" w14:textId="77777777" w:rsidR="00536F6A" w:rsidRPr="00BC081A" w:rsidRDefault="00536F6A" w:rsidP="00536F6A">
      <w:pPr>
        <w:pStyle w:val="Heading4"/>
      </w:pPr>
      <w:r w:rsidRPr="00BC081A">
        <w:t>Cognitive Absorption.</w:t>
      </w:r>
    </w:p>
    <w:p w14:paraId="05548F00" w14:textId="77777777" w:rsidR="00536F6A" w:rsidRPr="00BC081A" w:rsidRDefault="00536F6A" w:rsidP="00536F6A">
      <w:r w:rsidRPr="00BC081A">
        <w:t xml:space="preserve">In the original studies, CA was measured for participants about their interaction with Web. </w:t>
      </w:r>
    </w:p>
    <w:p w14:paraId="17FEAC8C" w14:textId="77777777" w:rsidR="00536F6A" w:rsidRPr="00BC081A" w:rsidRDefault="00536F6A" w:rsidP="00536F6A">
      <w:pPr>
        <w:pStyle w:val="Heading5"/>
      </w:pPr>
      <w:r w:rsidRPr="00BC081A">
        <w:t>Temporal Dissociation.</w:t>
      </w:r>
    </w:p>
    <w:p w14:paraId="202E3D85" w14:textId="77777777" w:rsidR="00536F6A" w:rsidRPr="00BC081A" w:rsidRDefault="00536F6A" w:rsidP="00536F6A">
      <w:r w:rsidRPr="00BC081A">
        <w:t>TD1) Time appears to go by very quickly when I am using the Web.</w:t>
      </w:r>
    </w:p>
    <w:p w14:paraId="28FAD5CF" w14:textId="77777777" w:rsidR="00536F6A" w:rsidRPr="00BC081A" w:rsidRDefault="00536F6A" w:rsidP="00536F6A">
      <w:r w:rsidRPr="00BC081A">
        <w:lastRenderedPageBreak/>
        <w:t>TD2) Sometimes I lose track of time when I am using the Web.</w:t>
      </w:r>
    </w:p>
    <w:p w14:paraId="39E92C68" w14:textId="77777777" w:rsidR="00536F6A" w:rsidRPr="00BC081A" w:rsidRDefault="00536F6A" w:rsidP="00536F6A">
      <w:r w:rsidRPr="00BC081A">
        <w:t>TD3) Time flies when I am using the Web.</w:t>
      </w:r>
    </w:p>
    <w:p w14:paraId="41597330" w14:textId="77777777" w:rsidR="00536F6A" w:rsidRPr="00BC081A" w:rsidRDefault="00536F6A" w:rsidP="00536F6A">
      <w:r w:rsidRPr="00BC081A">
        <w:t>TD4) Most times when I get on to the Web. I end up spending more time that I had planned.</w:t>
      </w:r>
    </w:p>
    <w:p w14:paraId="1FA4D760" w14:textId="77777777" w:rsidR="00536F6A" w:rsidRPr="00BC081A" w:rsidRDefault="00536F6A" w:rsidP="00536F6A">
      <w:r w:rsidRPr="00BC081A">
        <w:t>TD5) I often spend more time on the Web than I had intended.</w:t>
      </w:r>
    </w:p>
    <w:p w14:paraId="11E736AC" w14:textId="77777777" w:rsidR="00536F6A" w:rsidRPr="00BC081A" w:rsidRDefault="00536F6A" w:rsidP="00536F6A">
      <w:pPr>
        <w:pStyle w:val="Heading5"/>
      </w:pPr>
      <w:r w:rsidRPr="00BC081A">
        <w:t>Focused Immersion.</w:t>
      </w:r>
    </w:p>
    <w:p w14:paraId="6E29322F" w14:textId="77777777" w:rsidR="00536F6A" w:rsidRPr="00BC081A" w:rsidRDefault="00536F6A" w:rsidP="00536F6A">
      <w:r w:rsidRPr="00BC081A">
        <w:t>FI1) While using the Web I am able to block out most other distractions.</w:t>
      </w:r>
    </w:p>
    <w:p w14:paraId="3D771CC7" w14:textId="77777777" w:rsidR="00536F6A" w:rsidRPr="00BC081A" w:rsidRDefault="00536F6A" w:rsidP="00536F6A">
      <w:r w:rsidRPr="00BC081A">
        <w:t>FI2) While using the Web, I am absorbed in what I am doing.</w:t>
      </w:r>
    </w:p>
    <w:p w14:paraId="1D97C0C2" w14:textId="77777777" w:rsidR="00536F6A" w:rsidRPr="00BC081A" w:rsidRDefault="00536F6A" w:rsidP="00536F6A">
      <w:r w:rsidRPr="00BC081A">
        <w:t>FI3) While on the Web, I am immersed in the task I am performing</w:t>
      </w:r>
    </w:p>
    <w:p w14:paraId="61CA8A5F" w14:textId="77777777" w:rsidR="00536F6A" w:rsidRPr="00BC081A" w:rsidRDefault="00536F6A" w:rsidP="00536F6A">
      <w:r w:rsidRPr="00BC081A">
        <w:t xml:space="preserve">FI4) When 0n the Web, I get distracted by other attentions very easily. </w:t>
      </w:r>
    </w:p>
    <w:p w14:paraId="322B4BAF" w14:textId="77777777" w:rsidR="00536F6A" w:rsidRPr="00BC081A" w:rsidRDefault="00536F6A" w:rsidP="00536F6A">
      <w:r w:rsidRPr="00BC081A">
        <w:t>FI5) While on the Web, my attention does not get diverted very easily.</w:t>
      </w:r>
    </w:p>
    <w:p w14:paraId="42034500" w14:textId="77777777" w:rsidR="00536F6A" w:rsidRPr="00BC081A" w:rsidRDefault="00536F6A" w:rsidP="00536F6A">
      <w:pPr>
        <w:pStyle w:val="Heading5"/>
      </w:pPr>
      <w:r w:rsidRPr="00BC081A">
        <w:t>Heightened Enjoyment.</w:t>
      </w:r>
    </w:p>
    <w:p w14:paraId="127AF555" w14:textId="77777777" w:rsidR="00536F6A" w:rsidRPr="00BC081A" w:rsidRDefault="00536F6A" w:rsidP="00536F6A">
      <w:r w:rsidRPr="00BC081A">
        <w:t>HE1) I have fun interacting with the Web.</w:t>
      </w:r>
    </w:p>
    <w:p w14:paraId="122279AD" w14:textId="77777777" w:rsidR="00536F6A" w:rsidRPr="00BC081A" w:rsidRDefault="00536F6A" w:rsidP="00536F6A">
      <w:r w:rsidRPr="00BC081A">
        <w:t>HE2) Using the Web provides me with a lot of enjoyment.</w:t>
      </w:r>
    </w:p>
    <w:p w14:paraId="4FA29360" w14:textId="77777777" w:rsidR="00536F6A" w:rsidRPr="00BC081A" w:rsidRDefault="00536F6A" w:rsidP="00536F6A">
      <w:r w:rsidRPr="00BC081A">
        <w:t>HE3) I enjoy using the Web. Using the Web bores me.</w:t>
      </w:r>
    </w:p>
    <w:p w14:paraId="2AFCA630" w14:textId="77777777" w:rsidR="00536F6A" w:rsidRPr="00BC081A" w:rsidRDefault="00536F6A" w:rsidP="00536F6A">
      <w:pPr>
        <w:pStyle w:val="Heading5"/>
      </w:pPr>
      <w:r w:rsidRPr="00BC081A">
        <w:t>Control.</w:t>
      </w:r>
    </w:p>
    <w:p w14:paraId="398050E3" w14:textId="77777777" w:rsidR="00536F6A" w:rsidRPr="00BC081A" w:rsidRDefault="00536F6A" w:rsidP="00536F6A">
      <w:r w:rsidRPr="00BC081A">
        <w:t xml:space="preserve">CO1) </w:t>
      </w:r>
      <w:proofErr w:type="gramStart"/>
      <w:r w:rsidRPr="00BC081A">
        <w:t>When</w:t>
      </w:r>
      <w:proofErr w:type="gramEnd"/>
      <w:r w:rsidRPr="00BC081A">
        <w:t xml:space="preserve"> using the Web I feel in control.</w:t>
      </w:r>
    </w:p>
    <w:p w14:paraId="0AABD8F4" w14:textId="77777777" w:rsidR="00536F6A" w:rsidRPr="00BC081A" w:rsidRDefault="00536F6A" w:rsidP="00536F6A">
      <w:r w:rsidRPr="00BC081A">
        <w:t>CO2) I feel that I have no control over my interaction with the Web.</w:t>
      </w:r>
    </w:p>
    <w:p w14:paraId="7DAEBCDD" w14:textId="77777777" w:rsidR="00536F6A" w:rsidRPr="00BC081A" w:rsidRDefault="00536F6A" w:rsidP="00536F6A">
      <w:r w:rsidRPr="00BC081A">
        <w:t>CO3) The Web allows me to control my computer interaction.</w:t>
      </w:r>
    </w:p>
    <w:p w14:paraId="33905B47" w14:textId="77777777" w:rsidR="00536F6A" w:rsidRPr="00BC081A" w:rsidRDefault="00536F6A" w:rsidP="00536F6A">
      <w:pPr>
        <w:pStyle w:val="Heading5"/>
      </w:pPr>
      <w:r w:rsidRPr="00BC081A">
        <w:t>Curiosity.</w:t>
      </w:r>
    </w:p>
    <w:p w14:paraId="440A8956" w14:textId="77777777" w:rsidR="00536F6A" w:rsidRPr="00BC081A" w:rsidRDefault="00536F6A" w:rsidP="00536F6A">
      <w:r w:rsidRPr="00BC081A">
        <w:t xml:space="preserve">CU1) Using the Web excites my curiosity. </w:t>
      </w:r>
    </w:p>
    <w:p w14:paraId="63437A36" w14:textId="77777777" w:rsidR="00536F6A" w:rsidRPr="00BC081A" w:rsidRDefault="00536F6A" w:rsidP="00536F6A">
      <w:r w:rsidRPr="00BC081A">
        <w:t>CU2) Interacting with the Web makes me curious.</w:t>
      </w:r>
    </w:p>
    <w:p w14:paraId="2EB45EE2" w14:textId="77777777" w:rsidR="00536F6A" w:rsidRPr="00BC081A" w:rsidRDefault="00536F6A" w:rsidP="00536F6A">
      <w:r w:rsidRPr="00BC081A">
        <w:lastRenderedPageBreak/>
        <w:t>CU3) Using the Web arouses my imagination.</w:t>
      </w:r>
    </w:p>
    <w:p w14:paraId="58A8C1D7" w14:textId="77777777" w:rsidR="00536F6A" w:rsidRPr="00BC081A" w:rsidRDefault="00536F6A" w:rsidP="00536F6A">
      <w:pPr>
        <w:pStyle w:val="Heading5"/>
      </w:pPr>
      <w:r w:rsidRPr="00BC081A">
        <w:t>Engagement.</w:t>
      </w:r>
    </w:p>
    <w:p w14:paraId="5D2148B8" w14:textId="77777777" w:rsidR="00536F6A" w:rsidRPr="00BC081A" w:rsidRDefault="00536F6A" w:rsidP="00536F6A">
      <w:r w:rsidRPr="00BC081A">
        <w:t>Engagement was measured for participants’ involvement during a multimedia presentation.</w:t>
      </w:r>
    </w:p>
    <w:p w14:paraId="60EF9F19" w14:textId="77777777" w:rsidR="00536F6A" w:rsidRPr="00BC081A" w:rsidRDefault="00536F6A" w:rsidP="00536F6A">
      <w:pPr>
        <w:pStyle w:val="Heading5"/>
      </w:pPr>
      <w:r w:rsidRPr="00BC081A">
        <w:t>Attention focus.</w:t>
      </w:r>
    </w:p>
    <w:p w14:paraId="63B75D45" w14:textId="77777777" w:rsidR="00536F6A" w:rsidRPr="00BC081A" w:rsidRDefault="00536F6A" w:rsidP="00536F6A">
      <w:r w:rsidRPr="00BC081A">
        <w:t xml:space="preserve">AF1) This presentation medium keeps me totally absorbed in the presentation. </w:t>
      </w:r>
    </w:p>
    <w:p w14:paraId="0C81FC15" w14:textId="77777777" w:rsidR="00536F6A" w:rsidRPr="00BC081A" w:rsidRDefault="00536F6A" w:rsidP="00536F6A">
      <w:r w:rsidRPr="00BC081A">
        <w:t>AF2) This presentation medium holds my attention.</w:t>
      </w:r>
    </w:p>
    <w:p w14:paraId="71B06733" w14:textId="77777777" w:rsidR="00536F6A" w:rsidRPr="00BC081A" w:rsidRDefault="00536F6A" w:rsidP="00536F6A">
      <w:pPr>
        <w:pStyle w:val="Heading5"/>
      </w:pPr>
      <w:r w:rsidRPr="00BC081A">
        <w:t>Curiosity.</w:t>
      </w:r>
    </w:p>
    <w:p w14:paraId="17740ADD" w14:textId="77777777" w:rsidR="00536F6A" w:rsidRPr="00BC081A" w:rsidRDefault="00536F6A" w:rsidP="00536F6A">
      <w:r w:rsidRPr="00BC081A">
        <w:t xml:space="preserve">CU1) This presentation medium excites my curiosity. </w:t>
      </w:r>
    </w:p>
    <w:p w14:paraId="59D17329" w14:textId="77777777" w:rsidR="00536F6A" w:rsidRPr="00BC081A" w:rsidRDefault="00536F6A" w:rsidP="00536F6A">
      <w:r w:rsidRPr="00BC081A">
        <w:t>CU2) This presentation medium arouses my imagination.</w:t>
      </w:r>
    </w:p>
    <w:p w14:paraId="533BD28C" w14:textId="77777777" w:rsidR="00536F6A" w:rsidRPr="00BC081A" w:rsidRDefault="00536F6A" w:rsidP="00536F6A">
      <w:pPr>
        <w:pStyle w:val="Heading5"/>
      </w:pPr>
      <w:r w:rsidRPr="00BC081A">
        <w:t>Intrinsic interest.</w:t>
      </w:r>
    </w:p>
    <w:p w14:paraId="390918DB" w14:textId="77777777" w:rsidR="00536F6A" w:rsidRPr="00BC081A" w:rsidRDefault="00536F6A" w:rsidP="00536F6A">
      <w:r w:rsidRPr="00BC081A">
        <w:t>II1) This presentation medium is fun.</w:t>
      </w:r>
    </w:p>
    <w:p w14:paraId="2D0B54CA" w14:textId="77777777" w:rsidR="00536F6A" w:rsidRPr="00BC081A" w:rsidRDefault="00536F6A" w:rsidP="00536F6A">
      <w:r w:rsidRPr="00BC081A">
        <w:t>II2) This presentation medium is intrinsically interesting.</w:t>
      </w:r>
    </w:p>
    <w:p w14:paraId="26C08AF2" w14:textId="77777777" w:rsidR="00536F6A" w:rsidRPr="00BC081A" w:rsidRDefault="00536F6A" w:rsidP="00536F6A">
      <w:pPr>
        <w:pStyle w:val="Heading5"/>
      </w:pPr>
      <w:r w:rsidRPr="00BC081A">
        <w:t>Overall.</w:t>
      </w:r>
    </w:p>
    <w:p w14:paraId="439F3D48" w14:textId="77777777" w:rsidR="00536F6A" w:rsidRPr="00BC081A" w:rsidRDefault="00536F6A" w:rsidP="00536F6A">
      <w:pPr>
        <w:ind w:left="720" w:firstLine="0"/>
      </w:pPr>
      <w:r w:rsidRPr="00BC081A">
        <w:t>OV) This presentation medium is engaging.</w:t>
      </w:r>
    </w:p>
    <w:p w14:paraId="4EFEC50D" w14:textId="77777777" w:rsidR="00536F6A" w:rsidRPr="00BC081A" w:rsidRDefault="00536F6A" w:rsidP="00536F6A">
      <w:pPr>
        <w:pStyle w:val="Heading3"/>
        <w:numPr>
          <w:ilvl w:val="0"/>
          <w:numId w:val="0"/>
        </w:numPr>
        <w:ind w:left="720"/>
      </w:pPr>
      <w:bookmarkStart w:id="133" w:name="_Toc275209860"/>
      <w:r w:rsidRPr="00BC081A">
        <w:t>Miscellaneous (code 4)</w:t>
      </w:r>
      <w:bookmarkEnd w:id="133"/>
    </w:p>
    <w:p w14:paraId="1EDA7205" w14:textId="77777777" w:rsidR="00536F6A" w:rsidRPr="00BC081A" w:rsidRDefault="00536F6A" w:rsidP="00536F6A">
      <w:r w:rsidRPr="00BC081A">
        <w:t xml:space="preserve">Code 4 includes the studies that did not use the classical unidimensional measures (code 1), any multidimensional construct that could be categorized as code 2 or code 3, or one of the other constructs could not be categorized as a normal TAM construct. One example of these studies is </w:t>
      </w:r>
      <w:r w:rsidRPr="00BC081A">
        <w:rPr>
          <w:noProof/>
        </w:rPr>
        <w:t>Shin and Shin  (2010)</w:t>
      </w:r>
      <w:r w:rsidRPr="00BC081A">
        <w:t xml:space="preserve"> that uses three items flow construct as follows:</w:t>
      </w:r>
    </w:p>
    <w:p w14:paraId="3D54EBAE" w14:textId="77777777" w:rsidR="00536F6A" w:rsidRPr="00BC081A" w:rsidRDefault="00536F6A" w:rsidP="00536F6A">
      <w:r w:rsidRPr="00BC081A">
        <w:t xml:space="preserve">FL1) During an SNG game, I was intensely absorbed in the activity. </w:t>
      </w:r>
    </w:p>
    <w:p w14:paraId="7DE23F15" w14:textId="77777777" w:rsidR="00536F6A" w:rsidRPr="00BC081A" w:rsidRDefault="00536F6A" w:rsidP="00536F6A">
      <w:r w:rsidRPr="00BC081A">
        <w:lastRenderedPageBreak/>
        <w:t>FL2) I strongly feel that I am inside a different world when playing SNGs.</w:t>
      </w:r>
    </w:p>
    <w:p w14:paraId="6B9B16C4" w14:textId="77777777" w:rsidR="00536F6A" w:rsidRPr="00BC081A" w:rsidRDefault="00536F6A" w:rsidP="00536F6A">
      <w:r w:rsidRPr="00BC081A">
        <w:t xml:space="preserve">FL3) </w:t>
      </w:r>
      <w:proofErr w:type="gramStart"/>
      <w:r w:rsidRPr="00BC081A">
        <w:t>When</w:t>
      </w:r>
      <w:proofErr w:type="gramEnd"/>
      <w:r w:rsidRPr="00BC081A">
        <w:t xml:space="preserve"> playing with SNGs, I do not feel any control.</w:t>
      </w:r>
    </w:p>
    <w:p w14:paraId="37C54D12" w14:textId="75F52F87" w:rsidR="00536F6A" w:rsidRPr="00BC081A" w:rsidRDefault="00536F6A" w:rsidP="00536F6A">
      <w:pPr>
        <w:pStyle w:val="Heading2"/>
        <w:numPr>
          <w:ilvl w:val="0"/>
          <w:numId w:val="0"/>
        </w:numPr>
        <w:ind w:left="576"/>
      </w:pPr>
      <w:bookmarkStart w:id="134" w:name="_Toc275209861"/>
      <w:r w:rsidRPr="00BC081A">
        <w:t>Data and Calculations</w:t>
      </w:r>
      <w:bookmarkEnd w:id="134"/>
    </w:p>
    <w:p w14:paraId="1A036C52" w14:textId="1BB65D6C" w:rsidR="00536F6A" w:rsidRDefault="00536F6A" w:rsidP="00744B6C">
      <w:r w:rsidRPr="00BC081A">
        <w:t xml:space="preserve">From the papers that were eligible for use in the meta-analysis, a few of them are not included here due to their missing data (authors were contacted but they did not respond) or they were measuring exploratory use, which did not closely match the concept of intention to use or attitude to use a system. The pool of studies considered for the calculations are shown in the following table. </w:t>
      </w:r>
    </w:p>
    <w:p w14:paraId="3241955A" w14:textId="3021CCB1" w:rsidR="00744B6C" w:rsidRPr="00744B6C" w:rsidRDefault="00744B6C" w:rsidP="00C92D78">
      <w:pPr>
        <w:pStyle w:val="Caption"/>
      </w:pPr>
      <w:bookmarkStart w:id="135" w:name="_Toc275209774"/>
      <w:r>
        <w:t xml:space="preserve">Table </w:t>
      </w:r>
      <w:r w:rsidR="007804FF">
        <w:fldChar w:fldCharType="begin"/>
      </w:r>
      <w:r w:rsidR="007804FF">
        <w:instrText xml:space="preserve"> SEQ Table \* ARABIC </w:instrText>
      </w:r>
      <w:r w:rsidR="007804FF">
        <w:fldChar w:fldCharType="separate"/>
      </w:r>
      <w:r w:rsidR="008C71FB">
        <w:rPr>
          <w:noProof/>
        </w:rPr>
        <w:t>16</w:t>
      </w:r>
      <w:r w:rsidR="007804FF">
        <w:rPr>
          <w:noProof/>
        </w:rPr>
        <w:fldChar w:fldCharType="end"/>
      </w:r>
      <w:r>
        <w:t xml:space="preserve"> – </w:t>
      </w:r>
      <w:r w:rsidRPr="00BC081A">
        <w:t>Studies Qualified for the Meta-analysis</w:t>
      </w:r>
      <w:bookmarkEnd w:id="135"/>
    </w:p>
    <w:tbl>
      <w:tblPr>
        <w:tblpPr w:leftFromText="180" w:rightFromText="180" w:vertAnchor="text" w:tblpXSpec="center"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3118"/>
        <w:gridCol w:w="2977"/>
      </w:tblGrid>
      <w:tr w:rsidR="00536F6A" w:rsidRPr="00BC081A" w14:paraId="25163FD4" w14:textId="77777777" w:rsidTr="00E24EF0">
        <w:trPr>
          <w:trHeight w:val="303"/>
          <w:tblHeader/>
        </w:trPr>
        <w:tc>
          <w:tcPr>
            <w:tcW w:w="817" w:type="dxa"/>
            <w:shd w:val="clear" w:color="auto" w:fill="DDD9C3" w:themeFill="background2" w:themeFillShade="E6"/>
            <w:noWrap/>
            <w:vAlign w:val="bottom"/>
            <w:hideMark/>
          </w:tcPr>
          <w:p w14:paraId="105F525E" w14:textId="77777777" w:rsidR="00536F6A" w:rsidRPr="00BC081A" w:rsidRDefault="00536F6A" w:rsidP="00E24EF0">
            <w:pPr>
              <w:pStyle w:val="TableContext"/>
              <w:rPr>
                <w:lang w:val="en-CA"/>
              </w:rPr>
            </w:pPr>
            <w:proofErr w:type="gramStart"/>
            <w:r w:rsidRPr="00BC081A">
              <w:rPr>
                <w:lang w:val="en-CA"/>
              </w:rPr>
              <w:t>k</w:t>
            </w:r>
            <w:proofErr w:type="gramEnd"/>
          </w:p>
        </w:tc>
        <w:tc>
          <w:tcPr>
            <w:tcW w:w="1276" w:type="dxa"/>
            <w:shd w:val="clear" w:color="auto" w:fill="DDD9C3" w:themeFill="background2" w:themeFillShade="E6"/>
            <w:noWrap/>
            <w:vAlign w:val="bottom"/>
            <w:hideMark/>
          </w:tcPr>
          <w:p w14:paraId="33E7AC0D" w14:textId="77777777" w:rsidR="00536F6A" w:rsidRPr="00BC081A" w:rsidRDefault="00536F6A" w:rsidP="00E24EF0">
            <w:pPr>
              <w:pStyle w:val="TableContext"/>
              <w:rPr>
                <w:lang w:val="en-CA"/>
              </w:rPr>
            </w:pPr>
            <w:r w:rsidRPr="00BC081A">
              <w:rPr>
                <w:lang w:val="en-CA"/>
              </w:rPr>
              <w:t>Flow Type</w:t>
            </w:r>
          </w:p>
        </w:tc>
        <w:tc>
          <w:tcPr>
            <w:tcW w:w="3118" w:type="dxa"/>
            <w:shd w:val="clear" w:color="auto" w:fill="DDD9C3" w:themeFill="background2" w:themeFillShade="E6"/>
            <w:vAlign w:val="bottom"/>
          </w:tcPr>
          <w:p w14:paraId="59C048A3" w14:textId="77777777" w:rsidR="00536F6A" w:rsidRPr="00BC081A" w:rsidRDefault="00536F6A" w:rsidP="00E24EF0">
            <w:pPr>
              <w:pStyle w:val="TableContext"/>
              <w:rPr>
                <w:lang w:val="en-CA"/>
              </w:rPr>
            </w:pPr>
            <w:r w:rsidRPr="00BC081A">
              <w:rPr>
                <w:lang w:val="en-CA"/>
              </w:rPr>
              <w:t>Authors (citation)</w:t>
            </w:r>
          </w:p>
        </w:tc>
        <w:tc>
          <w:tcPr>
            <w:tcW w:w="2977" w:type="dxa"/>
            <w:shd w:val="clear" w:color="auto" w:fill="DDD9C3" w:themeFill="background2" w:themeFillShade="E6"/>
            <w:vAlign w:val="bottom"/>
          </w:tcPr>
          <w:p w14:paraId="40AF6DDB" w14:textId="77777777" w:rsidR="00536F6A" w:rsidRPr="00BC081A" w:rsidRDefault="00536F6A" w:rsidP="00E24EF0">
            <w:pPr>
              <w:pStyle w:val="TableContext"/>
              <w:rPr>
                <w:lang w:val="en-CA"/>
              </w:rPr>
            </w:pPr>
            <w:r w:rsidRPr="00BC081A">
              <w:rPr>
                <w:lang w:val="en-CA"/>
              </w:rPr>
              <w:t>Context</w:t>
            </w:r>
          </w:p>
        </w:tc>
      </w:tr>
      <w:tr w:rsidR="00536F6A" w:rsidRPr="00BC081A" w14:paraId="302A3E25" w14:textId="77777777" w:rsidTr="00E24EF0">
        <w:trPr>
          <w:trHeight w:val="303"/>
          <w:tblHeader/>
        </w:trPr>
        <w:tc>
          <w:tcPr>
            <w:tcW w:w="817" w:type="dxa"/>
            <w:shd w:val="clear" w:color="auto" w:fill="DDD9C3" w:themeFill="background2" w:themeFillShade="E6"/>
            <w:noWrap/>
            <w:vAlign w:val="bottom"/>
            <w:hideMark/>
          </w:tcPr>
          <w:p w14:paraId="619B769D" w14:textId="77777777" w:rsidR="00536F6A" w:rsidRPr="00BC081A" w:rsidRDefault="00536F6A" w:rsidP="00E24EF0">
            <w:pPr>
              <w:pStyle w:val="TableContext"/>
              <w:rPr>
                <w:lang w:val="en-CA"/>
              </w:rPr>
            </w:pPr>
            <w:r w:rsidRPr="00BC081A">
              <w:rPr>
                <w:lang w:val="en-CA"/>
              </w:rPr>
              <w:t>1</w:t>
            </w:r>
          </w:p>
        </w:tc>
        <w:tc>
          <w:tcPr>
            <w:tcW w:w="1276" w:type="dxa"/>
            <w:shd w:val="clear" w:color="000000" w:fill="FFFFFF"/>
            <w:noWrap/>
            <w:vAlign w:val="bottom"/>
            <w:hideMark/>
          </w:tcPr>
          <w:p w14:paraId="242253A2" w14:textId="77777777" w:rsidR="00536F6A" w:rsidRPr="00BC081A" w:rsidRDefault="00536F6A" w:rsidP="00E24EF0">
            <w:pPr>
              <w:pStyle w:val="TableContext"/>
              <w:rPr>
                <w:lang w:val="en-CA"/>
              </w:rPr>
            </w:pPr>
            <w:r w:rsidRPr="00BC081A">
              <w:rPr>
                <w:lang w:val="en-CA"/>
              </w:rPr>
              <w:t>1</w:t>
            </w:r>
          </w:p>
        </w:tc>
        <w:tc>
          <w:tcPr>
            <w:tcW w:w="3118" w:type="dxa"/>
            <w:shd w:val="clear" w:color="000000" w:fill="FFFFFF"/>
            <w:vAlign w:val="bottom"/>
          </w:tcPr>
          <w:p w14:paraId="53EF2539" w14:textId="77777777" w:rsidR="00536F6A" w:rsidRPr="00BC081A" w:rsidRDefault="00536F6A" w:rsidP="00E24EF0">
            <w:pPr>
              <w:pStyle w:val="TableContext"/>
              <w:rPr>
                <w:rFonts w:ascii="Calibri" w:hAnsi="Calibri"/>
                <w:lang w:val="en-CA"/>
              </w:rPr>
            </w:pPr>
            <w:r w:rsidRPr="00BC081A">
              <w:rPr>
                <w:lang w:val="en-CA"/>
              </w:rPr>
              <w:t>Hsu and Lu (2004)</w:t>
            </w:r>
          </w:p>
        </w:tc>
        <w:tc>
          <w:tcPr>
            <w:tcW w:w="2977" w:type="dxa"/>
            <w:shd w:val="clear" w:color="000000" w:fill="FFFFFF"/>
          </w:tcPr>
          <w:p w14:paraId="1873DE77" w14:textId="77777777" w:rsidR="00536F6A" w:rsidRPr="00BC081A" w:rsidRDefault="00536F6A" w:rsidP="00E24EF0">
            <w:pPr>
              <w:pStyle w:val="TableContext"/>
              <w:rPr>
                <w:lang w:val="en-CA"/>
              </w:rPr>
            </w:pPr>
            <w:r w:rsidRPr="00BC081A">
              <w:rPr>
                <w:lang w:val="en-CA"/>
              </w:rPr>
              <w:t>Play online games</w:t>
            </w:r>
          </w:p>
        </w:tc>
      </w:tr>
      <w:tr w:rsidR="00536F6A" w:rsidRPr="00BC081A" w14:paraId="6505F54C" w14:textId="77777777" w:rsidTr="00E24EF0">
        <w:trPr>
          <w:trHeight w:val="303"/>
          <w:tblHeader/>
        </w:trPr>
        <w:tc>
          <w:tcPr>
            <w:tcW w:w="817" w:type="dxa"/>
            <w:shd w:val="clear" w:color="auto" w:fill="DDD9C3" w:themeFill="background2" w:themeFillShade="E6"/>
            <w:noWrap/>
            <w:vAlign w:val="bottom"/>
            <w:hideMark/>
          </w:tcPr>
          <w:p w14:paraId="5F9ECCC8" w14:textId="77777777" w:rsidR="00536F6A" w:rsidRPr="00BC081A" w:rsidRDefault="00536F6A" w:rsidP="00E24EF0">
            <w:pPr>
              <w:pStyle w:val="TableContext"/>
              <w:rPr>
                <w:lang w:val="en-CA"/>
              </w:rPr>
            </w:pPr>
            <w:r w:rsidRPr="00BC081A">
              <w:rPr>
                <w:lang w:val="en-CA"/>
              </w:rPr>
              <w:t>2</w:t>
            </w:r>
          </w:p>
        </w:tc>
        <w:tc>
          <w:tcPr>
            <w:tcW w:w="1276" w:type="dxa"/>
            <w:shd w:val="clear" w:color="000000" w:fill="FFFFFF"/>
            <w:noWrap/>
            <w:vAlign w:val="bottom"/>
            <w:hideMark/>
          </w:tcPr>
          <w:p w14:paraId="6A230F76" w14:textId="77777777" w:rsidR="00536F6A" w:rsidRPr="00BC081A" w:rsidRDefault="00536F6A" w:rsidP="00E24EF0">
            <w:pPr>
              <w:pStyle w:val="TableContext"/>
              <w:rPr>
                <w:lang w:val="en-CA"/>
              </w:rPr>
            </w:pPr>
            <w:r w:rsidRPr="00BC081A">
              <w:rPr>
                <w:lang w:val="en-CA"/>
              </w:rPr>
              <w:t>1</w:t>
            </w:r>
          </w:p>
        </w:tc>
        <w:tc>
          <w:tcPr>
            <w:tcW w:w="3118" w:type="dxa"/>
            <w:shd w:val="clear" w:color="000000" w:fill="FFFFFF"/>
            <w:vAlign w:val="bottom"/>
          </w:tcPr>
          <w:p w14:paraId="5E1516E7" w14:textId="77777777" w:rsidR="00536F6A" w:rsidRPr="00BC081A" w:rsidRDefault="00536F6A" w:rsidP="00E24EF0">
            <w:pPr>
              <w:pStyle w:val="TableContext"/>
              <w:rPr>
                <w:rFonts w:ascii="Calibri" w:hAnsi="Calibri"/>
                <w:lang w:val="en-CA"/>
              </w:rPr>
            </w:pPr>
            <w:proofErr w:type="spellStart"/>
            <w:r w:rsidRPr="00BC081A">
              <w:rPr>
                <w:lang w:val="en-CA"/>
              </w:rPr>
              <w:t>Korzaan</w:t>
            </w:r>
            <w:proofErr w:type="spellEnd"/>
            <w:r w:rsidRPr="00BC081A">
              <w:rPr>
                <w:lang w:val="en-CA"/>
              </w:rPr>
              <w:t xml:space="preserve"> (2003)</w:t>
            </w:r>
          </w:p>
        </w:tc>
        <w:tc>
          <w:tcPr>
            <w:tcW w:w="2977" w:type="dxa"/>
            <w:shd w:val="clear" w:color="000000" w:fill="FFFFFF"/>
          </w:tcPr>
          <w:p w14:paraId="6A1C917A" w14:textId="77777777" w:rsidR="00536F6A" w:rsidRPr="00BC081A" w:rsidRDefault="00536F6A" w:rsidP="00E24EF0">
            <w:pPr>
              <w:pStyle w:val="TableContext"/>
              <w:rPr>
                <w:lang w:val="en-CA"/>
              </w:rPr>
            </w:pPr>
            <w:r w:rsidRPr="00BC081A">
              <w:rPr>
                <w:lang w:val="en-CA"/>
              </w:rPr>
              <w:t xml:space="preserve">(Online) Purchase </w:t>
            </w:r>
          </w:p>
        </w:tc>
      </w:tr>
      <w:tr w:rsidR="00536F6A" w:rsidRPr="00BC081A" w14:paraId="520FE157" w14:textId="77777777" w:rsidTr="00E24EF0">
        <w:trPr>
          <w:trHeight w:val="303"/>
          <w:tblHeader/>
        </w:trPr>
        <w:tc>
          <w:tcPr>
            <w:tcW w:w="817" w:type="dxa"/>
            <w:shd w:val="clear" w:color="auto" w:fill="DDD9C3" w:themeFill="background2" w:themeFillShade="E6"/>
            <w:noWrap/>
            <w:vAlign w:val="bottom"/>
            <w:hideMark/>
          </w:tcPr>
          <w:p w14:paraId="30A047BE" w14:textId="77777777" w:rsidR="00536F6A" w:rsidRPr="00BC081A" w:rsidRDefault="00536F6A" w:rsidP="00E24EF0">
            <w:pPr>
              <w:pStyle w:val="TableContext"/>
              <w:rPr>
                <w:lang w:val="en-CA"/>
              </w:rPr>
            </w:pPr>
            <w:r w:rsidRPr="00BC081A">
              <w:rPr>
                <w:lang w:val="en-CA"/>
              </w:rPr>
              <w:t>3</w:t>
            </w:r>
          </w:p>
        </w:tc>
        <w:tc>
          <w:tcPr>
            <w:tcW w:w="1276" w:type="dxa"/>
            <w:shd w:val="clear" w:color="000000" w:fill="FFFFFF"/>
            <w:noWrap/>
            <w:vAlign w:val="bottom"/>
            <w:hideMark/>
          </w:tcPr>
          <w:p w14:paraId="0FED036B"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12A8C69D" w14:textId="77777777" w:rsidR="00536F6A" w:rsidRPr="00BC081A" w:rsidRDefault="00536F6A" w:rsidP="00E24EF0">
            <w:pPr>
              <w:pStyle w:val="TableContext"/>
              <w:rPr>
                <w:rFonts w:ascii="Calibri" w:hAnsi="Calibri"/>
                <w:lang w:val="en-CA"/>
              </w:rPr>
            </w:pPr>
            <w:r w:rsidRPr="00BC081A">
              <w:rPr>
                <w:lang w:val="en-CA"/>
              </w:rPr>
              <w:t>Liao (2006)</w:t>
            </w:r>
          </w:p>
        </w:tc>
        <w:tc>
          <w:tcPr>
            <w:tcW w:w="2977" w:type="dxa"/>
            <w:shd w:val="clear" w:color="000000" w:fill="FFFFFF"/>
          </w:tcPr>
          <w:p w14:paraId="6FD824FD" w14:textId="77777777" w:rsidR="00536F6A" w:rsidRPr="00BC081A" w:rsidRDefault="00536F6A" w:rsidP="00E24EF0">
            <w:pPr>
              <w:pStyle w:val="TableContext"/>
              <w:rPr>
                <w:lang w:val="en-CA"/>
              </w:rPr>
            </w:pPr>
            <w:proofErr w:type="gramStart"/>
            <w:r w:rsidRPr="00BC081A">
              <w:rPr>
                <w:lang w:val="en-CA"/>
              </w:rPr>
              <w:t>e</w:t>
            </w:r>
            <w:proofErr w:type="gramEnd"/>
            <w:r w:rsidRPr="00BC081A">
              <w:rPr>
                <w:lang w:val="en-CA"/>
              </w:rPr>
              <w:t>-Learning</w:t>
            </w:r>
          </w:p>
        </w:tc>
      </w:tr>
      <w:tr w:rsidR="00536F6A" w:rsidRPr="00BC081A" w14:paraId="16B9FD27" w14:textId="77777777" w:rsidTr="00E24EF0">
        <w:trPr>
          <w:trHeight w:val="303"/>
          <w:tblHeader/>
        </w:trPr>
        <w:tc>
          <w:tcPr>
            <w:tcW w:w="817" w:type="dxa"/>
            <w:shd w:val="clear" w:color="auto" w:fill="DDD9C3" w:themeFill="background2" w:themeFillShade="E6"/>
            <w:noWrap/>
            <w:vAlign w:val="bottom"/>
            <w:hideMark/>
          </w:tcPr>
          <w:p w14:paraId="4644A1F1" w14:textId="77777777" w:rsidR="00536F6A" w:rsidRPr="00BC081A" w:rsidRDefault="00536F6A" w:rsidP="00E24EF0">
            <w:pPr>
              <w:pStyle w:val="TableContext"/>
              <w:rPr>
                <w:lang w:val="en-CA"/>
              </w:rPr>
            </w:pPr>
            <w:r w:rsidRPr="00BC081A">
              <w:rPr>
                <w:lang w:val="en-CA"/>
              </w:rPr>
              <w:t>4</w:t>
            </w:r>
          </w:p>
        </w:tc>
        <w:tc>
          <w:tcPr>
            <w:tcW w:w="1276" w:type="dxa"/>
            <w:shd w:val="clear" w:color="000000" w:fill="FFFFFF"/>
            <w:noWrap/>
            <w:vAlign w:val="bottom"/>
            <w:hideMark/>
          </w:tcPr>
          <w:p w14:paraId="52058480"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38B8F632" w14:textId="77777777" w:rsidR="00536F6A" w:rsidRPr="00BC081A" w:rsidRDefault="00536F6A" w:rsidP="00E24EF0">
            <w:pPr>
              <w:pStyle w:val="TableContext"/>
              <w:rPr>
                <w:rFonts w:ascii="Calibri" w:hAnsi="Calibri"/>
                <w:lang w:val="en-CA"/>
              </w:rPr>
            </w:pPr>
            <w:r w:rsidRPr="00BC081A">
              <w:rPr>
                <w:lang w:val="en-CA"/>
              </w:rPr>
              <w:t>Liu et al. (2009)</w:t>
            </w:r>
          </w:p>
        </w:tc>
        <w:tc>
          <w:tcPr>
            <w:tcW w:w="2977" w:type="dxa"/>
            <w:shd w:val="clear" w:color="000000" w:fill="FFFFFF"/>
          </w:tcPr>
          <w:p w14:paraId="2AC9B1E2" w14:textId="77777777" w:rsidR="00536F6A" w:rsidRPr="00BC081A" w:rsidRDefault="00536F6A" w:rsidP="00E24EF0">
            <w:pPr>
              <w:pStyle w:val="TableContext"/>
              <w:rPr>
                <w:lang w:val="en-CA"/>
              </w:rPr>
            </w:pPr>
            <w:proofErr w:type="gramStart"/>
            <w:r w:rsidRPr="00BC081A">
              <w:rPr>
                <w:lang w:val="en-CA"/>
              </w:rPr>
              <w:t>e</w:t>
            </w:r>
            <w:proofErr w:type="gramEnd"/>
            <w:r w:rsidRPr="00BC081A">
              <w:rPr>
                <w:lang w:val="en-CA"/>
              </w:rPr>
              <w:t>-Learning</w:t>
            </w:r>
          </w:p>
        </w:tc>
      </w:tr>
      <w:tr w:rsidR="00536F6A" w:rsidRPr="00BC081A" w14:paraId="14BCBFBE" w14:textId="77777777" w:rsidTr="00E24EF0">
        <w:trPr>
          <w:trHeight w:val="303"/>
          <w:tblHeader/>
        </w:trPr>
        <w:tc>
          <w:tcPr>
            <w:tcW w:w="817" w:type="dxa"/>
            <w:shd w:val="clear" w:color="auto" w:fill="DDD9C3" w:themeFill="background2" w:themeFillShade="E6"/>
            <w:noWrap/>
            <w:vAlign w:val="bottom"/>
            <w:hideMark/>
          </w:tcPr>
          <w:p w14:paraId="783170AB" w14:textId="77777777" w:rsidR="00536F6A" w:rsidRPr="00BC081A" w:rsidRDefault="00536F6A" w:rsidP="00E24EF0">
            <w:pPr>
              <w:pStyle w:val="TableContext"/>
              <w:rPr>
                <w:lang w:val="en-CA"/>
              </w:rPr>
            </w:pPr>
            <w:r w:rsidRPr="00BC081A">
              <w:rPr>
                <w:lang w:val="en-CA"/>
              </w:rPr>
              <w:t>5</w:t>
            </w:r>
          </w:p>
        </w:tc>
        <w:tc>
          <w:tcPr>
            <w:tcW w:w="1276" w:type="dxa"/>
            <w:shd w:val="clear" w:color="000000" w:fill="FFFFFF"/>
            <w:noWrap/>
            <w:vAlign w:val="bottom"/>
            <w:hideMark/>
          </w:tcPr>
          <w:p w14:paraId="1BBC5678"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234E074C" w14:textId="77777777" w:rsidR="00536F6A" w:rsidRPr="00BC081A" w:rsidRDefault="00536F6A" w:rsidP="00E24EF0">
            <w:pPr>
              <w:pStyle w:val="TableContext"/>
              <w:rPr>
                <w:rFonts w:ascii="Calibri" w:hAnsi="Calibri"/>
                <w:lang w:val="en-CA"/>
              </w:rPr>
            </w:pPr>
            <w:r w:rsidRPr="00BC081A">
              <w:rPr>
                <w:lang w:val="en-CA"/>
              </w:rPr>
              <w:t>Jung et al. (2009)</w:t>
            </w:r>
          </w:p>
        </w:tc>
        <w:tc>
          <w:tcPr>
            <w:tcW w:w="2977" w:type="dxa"/>
            <w:shd w:val="clear" w:color="000000" w:fill="FFFFFF"/>
          </w:tcPr>
          <w:p w14:paraId="037AAFF3" w14:textId="77777777" w:rsidR="00536F6A" w:rsidRPr="00BC081A" w:rsidRDefault="00536F6A" w:rsidP="00E24EF0">
            <w:pPr>
              <w:pStyle w:val="TableContext"/>
              <w:rPr>
                <w:lang w:val="en-CA"/>
              </w:rPr>
            </w:pPr>
            <w:r w:rsidRPr="00BC081A">
              <w:rPr>
                <w:lang w:val="en-CA"/>
              </w:rPr>
              <w:t>Mobile TV</w:t>
            </w:r>
          </w:p>
        </w:tc>
      </w:tr>
      <w:tr w:rsidR="00536F6A" w:rsidRPr="00BC081A" w14:paraId="55EB990B" w14:textId="77777777" w:rsidTr="00E24EF0">
        <w:trPr>
          <w:trHeight w:val="303"/>
          <w:tblHeader/>
        </w:trPr>
        <w:tc>
          <w:tcPr>
            <w:tcW w:w="817" w:type="dxa"/>
            <w:shd w:val="clear" w:color="auto" w:fill="DDD9C3" w:themeFill="background2" w:themeFillShade="E6"/>
            <w:noWrap/>
            <w:vAlign w:val="bottom"/>
            <w:hideMark/>
          </w:tcPr>
          <w:p w14:paraId="281493EC" w14:textId="77777777" w:rsidR="00536F6A" w:rsidRPr="00BC081A" w:rsidRDefault="00536F6A" w:rsidP="00E24EF0">
            <w:pPr>
              <w:pStyle w:val="TableContext"/>
              <w:rPr>
                <w:lang w:val="en-CA"/>
              </w:rPr>
            </w:pPr>
            <w:r w:rsidRPr="00BC081A">
              <w:rPr>
                <w:lang w:val="en-CA"/>
              </w:rPr>
              <w:t>6</w:t>
            </w:r>
          </w:p>
        </w:tc>
        <w:tc>
          <w:tcPr>
            <w:tcW w:w="1276" w:type="dxa"/>
            <w:shd w:val="clear" w:color="000000" w:fill="FFFFFF"/>
            <w:noWrap/>
            <w:vAlign w:val="bottom"/>
            <w:hideMark/>
          </w:tcPr>
          <w:p w14:paraId="387B8B8B"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76A51FEC" w14:textId="77777777" w:rsidR="00536F6A" w:rsidRPr="00BC081A" w:rsidRDefault="00536F6A" w:rsidP="00E24EF0">
            <w:pPr>
              <w:pStyle w:val="TableContext"/>
              <w:rPr>
                <w:rFonts w:ascii="Calibri" w:hAnsi="Calibri"/>
                <w:lang w:val="en-CA"/>
              </w:rPr>
            </w:pPr>
            <w:r w:rsidRPr="00BC081A">
              <w:rPr>
                <w:lang w:val="en-CA"/>
              </w:rPr>
              <w:t>Shin and Shin (2010)</w:t>
            </w:r>
          </w:p>
        </w:tc>
        <w:tc>
          <w:tcPr>
            <w:tcW w:w="2977" w:type="dxa"/>
            <w:shd w:val="clear" w:color="000000" w:fill="FFFFFF"/>
          </w:tcPr>
          <w:p w14:paraId="37C68510" w14:textId="77777777" w:rsidR="00536F6A" w:rsidRPr="00BC081A" w:rsidRDefault="00536F6A" w:rsidP="00E24EF0">
            <w:pPr>
              <w:pStyle w:val="TableContext"/>
              <w:rPr>
                <w:lang w:val="en-CA"/>
              </w:rPr>
            </w:pPr>
            <w:r w:rsidRPr="00BC081A">
              <w:rPr>
                <w:lang w:val="en-CA"/>
              </w:rPr>
              <w:t>Social Net. Games</w:t>
            </w:r>
          </w:p>
        </w:tc>
      </w:tr>
      <w:tr w:rsidR="00536F6A" w:rsidRPr="00BC081A" w14:paraId="4BEAC922" w14:textId="77777777" w:rsidTr="00E24EF0">
        <w:trPr>
          <w:trHeight w:val="303"/>
          <w:tblHeader/>
        </w:trPr>
        <w:tc>
          <w:tcPr>
            <w:tcW w:w="817" w:type="dxa"/>
            <w:shd w:val="clear" w:color="auto" w:fill="DDD9C3" w:themeFill="background2" w:themeFillShade="E6"/>
            <w:noWrap/>
            <w:vAlign w:val="bottom"/>
            <w:hideMark/>
          </w:tcPr>
          <w:p w14:paraId="4A5B19DB" w14:textId="77777777" w:rsidR="00536F6A" w:rsidRPr="00BC081A" w:rsidRDefault="00536F6A" w:rsidP="00E24EF0">
            <w:pPr>
              <w:pStyle w:val="TableContext"/>
              <w:rPr>
                <w:lang w:val="en-CA"/>
              </w:rPr>
            </w:pPr>
            <w:r w:rsidRPr="00BC081A">
              <w:rPr>
                <w:lang w:val="en-CA"/>
              </w:rPr>
              <w:t>7</w:t>
            </w:r>
          </w:p>
        </w:tc>
        <w:tc>
          <w:tcPr>
            <w:tcW w:w="1276" w:type="dxa"/>
            <w:shd w:val="clear" w:color="000000" w:fill="FFFFFF"/>
            <w:noWrap/>
            <w:vAlign w:val="bottom"/>
          </w:tcPr>
          <w:p w14:paraId="23FBBEC0" w14:textId="77777777" w:rsidR="00536F6A" w:rsidRPr="00BC081A" w:rsidRDefault="00536F6A" w:rsidP="00E24EF0">
            <w:pPr>
              <w:pStyle w:val="TableContext"/>
              <w:rPr>
                <w:lang w:val="en-CA"/>
              </w:rPr>
            </w:pPr>
            <w:r w:rsidRPr="00BC081A">
              <w:rPr>
                <w:lang w:val="en-CA"/>
              </w:rPr>
              <w:t>1</w:t>
            </w:r>
          </w:p>
        </w:tc>
        <w:tc>
          <w:tcPr>
            <w:tcW w:w="3118" w:type="dxa"/>
            <w:shd w:val="clear" w:color="000000" w:fill="FFFFFF"/>
            <w:vAlign w:val="bottom"/>
          </w:tcPr>
          <w:p w14:paraId="0BD19D93" w14:textId="77777777" w:rsidR="00536F6A" w:rsidRPr="00BC081A" w:rsidRDefault="00536F6A" w:rsidP="00E24EF0">
            <w:pPr>
              <w:pStyle w:val="TableContext"/>
              <w:rPr>
                <w:rFonts w:ascii="Calibri" w:hAnsi="Calibri"/>
                <w:lang w:val="en-CA"/>
              </w:rPr>
            </w:pPr>
            <w:r w:rsidRPr="00BC081A">
              <w:rPr>
                <w:rFonts w:ascii="Calibri" w:hAnsi="Calibri"/>
                <w:lang w:val="en-CA"/>
              </w:rPr>
              <w:t>Choi et al. (2007)*</w:t>
            </w:r>
          </w:p>
        </w:tc>
        <w:tc>
          <w:tcPr>
            <w:tcW w:w="2977" w:type="dxa"/>
            <w:shd w:val="clear" w:color="000000" w:fill="FFFFFF"/>
          </w:tcPr>
          <w:p w14:paraId="0396D15F" w14:textId="77777777" w:rsidR="00536F6A" w:rsidRPr="00BC081A" w:rsidRDefault="00536F6A" w:rsidP="00E24EF0">
            <w:pPr>
              <w:pStyle w:val="TableContext"/>
              <w:rPr>
                <w:lang w:val="en-CA"/>
              </w:rPr>
            </w:pPr>
            <w:r w:rsidRPr="00BC081A">
              <w:rPr>
                <w:lang w:val="en-CA"/>
              </w:rPr>
              <w:t>ERP Training</w:t>
            </w:r>
          </w:p>
        </w:tc>
      </w:tr>
      <w:tr w:rsidR="00536F6A" w:rsidRPr="00BC081A" w14:paraId="1F2F207D" w14:textId="77777777" w:rsidTr="00E24EF0">
        <w:trPr>
          <w:trHeight w:val="303"/>
          <w:tblHeader/>
        </w:trPr>
        <w:tc>
          <w:tcPr>
            <w:tcW w:w="817" w:type="dxa"/>
            <w:shd w:val="clear" w:color="auto" w:fill="DDD9C3" w:themeFill="background2" w:themeFillShade="E6"/>
            <w:noWrap/>
            <w:vAlign w:val="bottom"/>
            <w:hideMark/>
          </w:tcPr>
          <w:p w14:paraId="0932E9DB" w14:textId="77777777" w:rsidR="00536F6A" w:rsidRPr="00BC081A" w:rsidRDefault="00536F6A" w:rsidP="00E24EF0">
            <w:pPr>
              <w:pStyle w:val="TableContext"/>
              <w:rPr>
                <w:lang w:val="en-CA"/>
              </w:rPr>
            </w:pPr>
            <w:r w:rsidRPr="00BC081A">
              <w:rPr>
                <w:lang w:val="en-CA"/>
              </w:rPr>
              <w:t>8</w:t>
            </w:r>
          </w:p>
        </w:tc>
        <w:tc>
          <w:tcPr>
            <w:tcW w:w="1276" w:type="dxa"/>
            <w:shd w:val="clear" w:color="000000" w:fill="FFFFFF"/>
            <w:noWrap/>
            <w:vAlign w:val="bottom"/>
          </w:tcPr>
          <w:p w14:paraId="01423B7F" w14:textId="77777777" w:rsidR="00536F6A" w:rsidRPr="00BC081A" w:rsidRDefault="00536F6A" w:rsidP="00E24EF0">
            <w:pPr>
              <w:pStyle w:val="TableContext"/>
              <w:rPr>
                <w:lang w:val="en-CA"/>
              </w:rPr>
            </w:pPr>
            <w:r w:rsidRPr="00BC081A">
              <w:rPr>
                <w:lang w:val="en-CA"/>
              </w:rPr>
              <w:t>1</w:t>
            </w:r>
          </w:p>
        </w:tc>
        <w:tc>
          <w:tcPr>
            <w:tcW w:w="3118" w:type="dxa"/>
            <w:shd w:val="clear" w:color="000000" w:fill="FFFFFF"/>
            <w:vAlign w:val="bottom"/>
          </w:tcPr>
          <w:p w14:paraId="64F12ECE" w14:textId="77777777" w:rsidR="00536F6A" w:rsidRPr="00BC081A" w:rsidRDefault="00536F6A" w:rsidP="00E24EF0">
            <w:pPr>
              <w:pStyle w:val="TableContext"/>
              <w:rPr>
                <w:rFonts w:ascii="Calibri" w:hAnsi="Calibri"/>
                <w:lang w:val="en-CA"/>
              </w:rPr>
            </w:pPr>
            <w:r w:rsidRPr="00BC081A">
              <w:rPr>
                <w:lang w:val="en-CA"/>
              </w:rPr>
              <w:t>Nah et al. (2010)</w:t>
            </w:r>
          </w:p>
        </w:tc>
        <w:tc>
          <w:tcPr>
            <w:tcW w:w="2977" w:type="dxa"/>
            <w:shd w:val="clear" w:color="000000" w:fill="FFFFFF"/>
          </w:tcPr>
          <w:p w14:paraId="139D9378" w14:textId="77777777" w:rsidR="00536F6A" w:rsidRPr="00BC081A" w:rsidRDefault="00536F6A" w:rsidP="00E24EF0">
            <w:pPr>
              <w:pStyle w:val="TableContext"/>
              <w:rPr>
                <w:lang w:val="en-CA"/>
              </w:rPr>
            </w:pPr>
            <w:r w:rsidRPr="00BC081A">
              <w:rPr>
                <w:lang w:val="en-CA"/>
              </w:rPr>
              <w:t>Brand Equity in Virtual World</w:t>
            </w:r>
          </w:p>
        </w:tc>
      </w:tr>
      <w:tr w:rsidR="00536F6A" w:rsidRPr="00BC081A" w14:paraId="31EAEFAA" w14:textId="77777777" w:rsidTr="00E24EF0">
        <w:trPr>
          <w:trHeight w:val="303"/>
          <w:tblHeader/>
        </w:trPr>
        <w:tc>
          <w:tcPr>
            <w:tcW w:w="817" w:type="dxa"/>
            <w:shd w:val="clear" w:color="auto" w:fill="DDD9C3" w:themeFill="background2" w:themeFillShade="E6"/>
            <w:noWrap/>
            <w:vAlign w:val="bottom"/>
            <w:hideMark/>
          </w:tcPr>
          <w:p w14:paraId="6DFE103B" w14:textId="77777777" w:rsidR="00536F6A" w:rsidRPr="00BC081A" w:rsidRDefault="00536F6A" w:rsidP="00E24EF0">
            <w:pPr>
              <w:pStyle w:val="TableContext"/>
              <w:rPr>
                <w:lang w:val="en-CA"/>
              </w:rPr>
            </w:pPr>
            <w:r w:rsidRPr="00BC081A">
              <w:rPr>
                <w:lang w:val="en-CA"/>
              </w:rPr>
              <w:t>9</w:t>
            </w:r>
          </w:p>
        </w:tc>
        <w:tc>
          <w:tcPr>
            <w:tcW w:w="1276" w:type="dxa"/>
            <w:shd w:val="clear" w:color="000000" w:fill="FFFFFF"/>
            <w:noWrap/>
            <w:vAlign w:val="bottom"/>
          </w:tcPr>
          <w:p w14:paraId="46C1A9CF" w14:textId="77777777" w:rsidR="00536F6A" w:rsidRPr="00BC081A" w:rsidRDefault="00536F6A" w:rsidP="00E24EF0">
            <w:pPr>
              <w:pStyle w:val="TableContext"/>
              <w:rPr>
                <w:lang w:val="en-CA"/>
              </w:rPr>
            </w:pPr>
            <w:r w:rsidRPr="00BC081A">
              <w:rPr>
                <w:lang w:val="en-CA"/>
              </w:rPr>
              <w:t>2</w:t>
            </w:r>
          </w:p>
        </w:tc>
        <w:tc>
          <w:tcPr>
            <w:tcW w:w="3118" w:type="dxa"/>
            <w:shd w:val="clear" w:color="000000" w:fill="FFFFFF"/>
            <w:vAlign w:val="bottom"/>
          </w:tcPr>
          <w:p w14:paraId="0E9C4624" w14:textId="77777777" w:rsidR="00536F6A" w:rsidRPr="00BC081A" w:rsidRDefault="00536F6A" w:rsidP="00E24EF0">
            <w:pPr>
              <w:pStyle w:val="TableContext"/>
              <w:rPr>
                <w:rFonts w:ascii="Calibri" w:hAnsi="Calibri"/>
                <w:lang w:val="en-CA"/>
              </w:rPr>
            </w:pPr>
            <w:r w:rsidRPr="00BC081A">
              <w:rPr>
                <w:lang w:val="en-CA"/>
              </w:rPr>
              <w:t>Lin (2009)</w:t>
            </w:r>
          </w:p>
        </w:tc>
        <w:tc>
          <w:tcPr>
            <w:tcW w:w="2977" w:type="dxa"/>
            <w:shd w:val="clear" w:color="000000" w:fill="FFFFFF"/>
          </w:tcPr>
          <w:p w14:paraId="1C3B81B0" w14:textId="77777777" w:rsidR="00536F6A" w:rsidRPr="00BC081A" w:rsidRDefault="00536F6A" w:rsidP="00E24EF0">
            <w:pPr>
              <w:pStyle w:val="TableContext"/>
              <w:rPr>
                <w:lang w:val="en-CA"/>
              </w:rPr>
            </w:pPr>
            <w:r w:rsidRPr="00BC081A">
              <w:rPr>
                <w:lang w:val="en-CA"/>
              </w:rPr>
              <w:t>Virtual Community</w:t>
            </w:r>
          </w:p>
        </w:tc>
      </w:tr>
      <w:tr w:rsidR="00536F6A" w:rsidRPr="00BC081A" w14:paraId="1A77C213" w14:textId="77777777" w:rsidTr="00E24EF0">
        <w:trPr>
          <w:trHeight w:val="303"/>
          <w:tblHeader/>
        </w:trPr>
        <w:tc>
          <w:tcPr>
            <w:tcW w:w="817" w:type="dxa"/>
            <w:shd w:val="clear" w:color="auto" w:fill="DDD9C3" w:themeFill="background2" w:themeFillShade="E6"/>
            <w:noWrap/>
            <w:vAlign w:val="bottom"/>
            <w:hideMark/>
          </w:tcPr>
          <w:p w14:paraId="1CF9257A" w14:textId="77777777" w:rsidR="00536F6A" w:rsidRPr="00BC081A" w:rsidRDefault="00536F6A" w:rsidP="00E24EF0">
            <w:pPr>
              <w:pStyle w:val="TableContext"/>
              <w:rPr>
                <w:lang w:val="en-CA"/>
              </w:rPr>
            </w:pPr>
            <w:r w:rsidRPr="00BC081A">
              <w:rPr>
                <w:lang w:val="en-CA"/>
              </w:rPr>
              <w:t>10</w:t>
            </w:r>
          </w:p>
        </w:tc>
        <w:tc>
          <w:tcPr>
            <w:tcW w:w="1276" w:type="dxa"/>
            <w:shd w:val="clear" w:color="000000" w:fill="FFFFFF"/>
            <w:noWrap/>
            <w:vAlign w:val="bottom"/>
          </w:tcPr>
          <w:p w14:paraId="1D1F6F32" w14:textId="77777777" w:rsidR="00536F6A" w:rsidRPr="00BC081A" w:rsidRDefault="00536F6A" w:rsidP="00E24EF0">
            <w:pPr>
              <w:pStyle w:val="TableContext"/>
              <w:rPr>
                <w:lang w:val="en-CA"/>
              </w:rPr>
            </w:pPr>
            <w:r w:rsidRPr="00BC081A">
              <w:rPr>
                <w:lang w:val="en-CA"/>
              </w:rPr>
              <w:t>2</w:t>
            </w:r>
          </w:p>
        </w:tc>
        <w:tc>
          <w:tcPr>
            <w:tcW w:w="3118" w:type="dxa"/>
            <w:shd w:val="clear" w:color="000000" w:fill="FFFFFF"/>
            <w:vAlign w:val="bottom"/>
          </w:tcPr>
          <w:p w14:paraId="59F99BA4" w14:textId="77777777" w:rsidR="00536F6A" w:rsidRPr="00BC081A" w:rsidRDefault="00536F6A" w:rsidP="00E24EF0">
            <w:pPr>
              <w:pStyle w:val="TableContext"/>
              <w:rPr>
                <w:rFonts w:ascii="Calibri" w:hAnsi="Calibri"/>
                <w:lang w:val="en-CA"/>
              </w:rPr>
            </w:pPr>
            <w:r w:rsidRPr="00BC081A">
              <w:rPr>
                <w:rFonts w:ascii="Calibri" w:hAnsi="Calibri"/>
                <w:lang w:val="en-CA"/>
              </w:rPr>
              <w:t>Zhang et al. (2006)*</w:t>
            </w:r>
          </w:p>
        </w:tc>
        <w:tc>
          <w:tcPr>
            <w:tcW w:w="2977" w:type="dxa"/>
            <w:shd w:val="clear" w:color="000000" w:fill="FFFFFF"/>
          </w:tcPr>
          <w:p w14:paraId="57D4D18C" w14:textId="77777777" w:rsidR="00536F6A" w:rsidRPr="00BC081A" w:rsidRDefault="00536F6A" w:rsidP="00E24EF0">
            <w:pPr>
              <w:pStyle w:val="TableContext"/>
              <w:rPr>
                <w:lang w:val="en-CA"/>
              </w:rPr>
            </w:pPr>
            <w:r w:rsidRPr="00BC081A">
              <w:rPr>
                <w:lang w:val="en-CA"/>
              </w:rPr>
              <w:t>TAM extension (web use)</w:t>
            </w:r>
          </w:p>
        </w:tc>
      </w:tr>
      <w:tr w:rsidR="00536F6A" w:rsidRPr="00BC081A" w14:paraId="31AFDE09" w14:textId="77777777" w:rsidTr="00E24EF0">
        <w:trPr>
          <w:trHeight w:val="303"/>
          <w:tblHeader/>
        </w:trPr>
        <w:tc>
          <w:tcPr>
            <w:tcW w:w="817" w:type="dxa"/>
            <w:shd w:val="clear" w:color="auto" w:fill="DDD9C3" w:themeFill="background2" w:themeFillShade="E6"/>
            <w:noWrap/>
            <w:vAlign w:val="bottom"/>
            <w:hideMark/>
          </w:tcPr>
          <w:p w14:paraId="7F5D210D" w14:textId="77777777" w:rsidR="00536F6A" w:rsidRPr="00BC081A" w:rsidRDefault="00536F6A" w:rsidP="00E24EF0">
            <w:pPr>
              <w:pStyle w:val="TableContext"/>
              <w:rPr>
                <w:lang w:val="en-CA"/>
              </w:rPr>
            </w:pPr>
            <w:r w:rsidRPr="00BC081A">
              <w:rPr>
                <w:lang w:val="en-CA"/>
              </w:rPr>
              <w:t>11</w:t>
            </w:r>
          </w:p>
        </w:tc>
        <w:tc>
          <w:tcPr>
            <w:tcW w:w="1276" w:type="dxa"/>
            <w:shd w:val="clear" w:color="000000" w:fill="FFFFFF"/>
            <w:noWrap/>
            <w:vAlign w:val="bottom"/>
          </w:tcPr>
          <w:p w14:paraId="32C9DADF" w14:textId="77777777" w:rsidR="00536F6A" w:rsidRPr="00BC081A" w:rsidRDefault="00536F6A" w:rsidP="00E24EF0">
            <w:pPr>
              <w:pStyle w:val="TableContext"/>
              <w:rPr>
                <w:lang w:val="en-CA"/>
              </w:rPr>
            </w:pPr>
            <w:r w:rsidRPr="00BC081A">
              <w:rPr>
                <w:lang w:val="en-CA"/>
              </w:rPr>
              <w:t>2</w:t>
            </w:r>
          </w:p>
        </w:tc>
        <w:tc>
          <w:tcPr>
            <w:tcW w:w="3118" w:type="dxa"/>
            <w:shd w:val="clear" w:color="000000" w:fill="FFFFFF"/>
            <w:vAlign w:val="bottom"/>
          </w:tcPr>
          <w:p w14:paraId="04DE6D44" w14:textId="77777777" w:rsidR="00536F6A" w:rsidRPr="00BC081A" w:rsidRDefault="00536F6A" w:rsidP="00E24EF0">
            <w:pPr>
              <w:pStyle w:val="TableContext"/>
              <w:rPr>
                <w:rFonts w:ascii="Calibri" w:hAnsi="Calibri"/>
                <w:lang w:val="en-CA"/>
              </w:rPr>
            </w:pPr>
            <w:r w:rsidRPr="00BC081A">
              <w:rPr>
                <w:lang w:val="en-CA"/>
              </w:rPr>
              <w:t>Wakefield and Whitten (2006)</w:t>
            </w:r>
          </w:p>
        </w:tc>
        <w:tc>
          <w:tcPr>
            <w:tcW w:w="2977" w:type="dxa"/>
            <w:shd w:val="clear" w:color="000000" w:fill="FFFFFF"/>
          </w:tcPr>
          <w:p w14:paraId="64126B6B" w14:textId="77777777" w:rsidR="00536F6A" w:rsidRPr="00BC081A" w:rsidRDefault="00536F6A" w:rsidP="00E24EF0">
            <w:pPr>
              <w:pStyle w:val="TableContext"/>
              <w:rPr>
                <w:lang w:val="en-CA"/>
              </w:rPr>
            </w:pPr>
            <w:r w:rsidRPr="00BC081A">
              <w:rPr>
                <w:lang w:val="en-CA"/>
              </w:rPr>
              <w:t>Mobile Computing</w:t>
            </w:r>
          </w:p>
        </w:tc>
      </w:tr>
      <w:tr w:rsidR="00536F6A" w:rsidRPr="00BC081A" w14:paraId="3606BD22" w14:textId="77777777" w:rsidTr="00E24EF0">
        <w:trPr>
          <w:trHeight w:val="263"/>
          <w:tblHeader/>
        </w:trPr>
        <w:tc>
          <w:tcPr>
            <w:tcW w:w="817" w:type="dxa"/>
            <w:shd w:val="clear" w:color="auto" w:fill="DDD9C3" w:themeFill="background2" w:themeFillShade="E6"/>
            <w:noWrap/>
            <w:vAlign w:val="bottom"/>
            <w:hideMark/>
          </w:tcPr>
          <w:p w14:paraId="42E5C3E7" w14:textId="77777777" w:rsidR="00536F6A" w:rsidRPr="00BC081A" w:rsidRDefault="00536F6A" w:rsidP="00E24EF0">
            <w:pPr>
              <w:pStyle w:val="TableContext"/>
              <w:rPr>
                <w:lang w:val="en-CA"/>
              </w:rPr>
            </w:pPr>
            <w:r w:rsidRPr="00BC081A">
              <w:rPr>
                <w:lang w:val="en-CA"/>
              </w:rPr>
              <w:t>12</w:t>
            </w:r>
          </w:p>
        </w:tc>
        <w:tc>
          <w:tcPr>
            <w:tcW w:w="1276" w:type="dxa"/>
            <w:shd w:val="clear" w:color="000000" w:fill="FFFFFF"/>
            <w:noWrap/>
            <w:vAlign w:val="bottom"/>
          </w:tcPr>
          <w:p w14:paraId="03995D72" w14:textId="77777777" w:rsidR="00536F6A" w:rsidRPr="00BC081A" w:rsidRDefault="00536F6A" w:rsidP="00E24EF0">
            <w:pPr>
              <w:pStyle w:val="TableContext"/>
              <w:rPr>
                <w:lang w:val="en-CA"/>
              </w:rPr>
            </w:pPr>
            <w:r w:rsidRPr="00BC081A">
              <w:rPr>
                <w:lang w:val="en-CA"/>
              </w:rPr>
              <w:t>2</w:t>
            </w:r>
          </w:p>
        </w:tc>
        <w:tc>
          <w:tcPr>
            <w:tcW w:w="3118" w:type="dxa"/>
            <w:shd w:val="clear" w:color="000000" w:fill="FFFFFF"/>
            <w:vAlign w:val="bottom"/>
          </w:tcPr>
          <w:p w14:paraId="2DA2A0CD" w14:textId="77777777" w:rsidR="00536F6A" w:rsidRPr="00BC081A" w:rsidRDefault="00536F6A" w:rsidP="00E24EF0">
            <w:pPr>
              <w:pStyle w:val="TableContext"/>
              <w:rPr>
                <w:rFonts w:ascii="Calibri" w:hAnsi="Calibri"/>
                <w:lang w:val="en-CA"/>
              </w:rPr>
            </w:pPr>
            <w:proofErr w:type="spellStart"/>
            <w:r w:rsidRPr="00BC081A">
              <w:rPr>
                <w:lang w:val="en-CA"/>
              </w:rPr>
              <w:t>Agarwal</w:t>
            </w:r>
            <w:proofErr w:type="spellEnd"/>
            <w:r w:rsidRPr="00BC081A">
              <w:rPr>
                <w:lang w:val="en-CA"/>
              </w:rPr>
              <w:t xml:space="preserve"> and </w:t>
            </w:r>
            <w:proofErr w:type="spellStart"/>
            <w:r w:rsidRPr="00BC081A">
              <w:rPr>
                <w:lang w:val="en-CA"/>
              </w:rPr>
              <w:t>Karahanna</w:t>
            </w:r>
            <w:proofErr w:type="spellEnd"/>
            <w:r w:rsidRPr="00BC081A">
              <w:rPr>
                <w:lang w:val="en-CA"/>
              </w:rPr>
              <w:t xml:space="preserve"> (2000)</w:t>
            </w:r>
          </w:p>
        </w:tc>
        <w:tc>
          <w:tcPr>
            <w:tcW w:w="2977" w:type="dxa"/>
            <w:shd w:val="clear" w:color="000000" w:fill="FFFFFF"/>
          </w:tcPr>
          <w:p w14:paraId="52FFAFC3" w14:textId="77777777" w:rsidR="00536F6A" w:rsidRPr="00BC081A" w:rsidRDefault="00536F6A" w:rsidP="00E24EF0">
            <w:pPr>
              <w:pStyle w:val="TableContext"/>
              <w:rPr>
                <w:lang w:val="en-CA"/>
              </w:rPr>
            </w:pPr>
            <w:r w:rsidRPr="00BC081A">
              <w:rPr>
                <w:lang w:val="en-CA"/>
              </w:rPr>
              <w:t>CA and TAM (web use)</w:t>
            </w:r>
          </w:p>
        </w:tc>
      </w:tr>
      <w:tr w:rsidR="00536F6A" w:rsidRPr="00BC081A" w14:paraId="127AFB32" w14:textId="77777777" w:rsidTr="00E24EF0">
        <w:trPr>
          <w:trHeight w:val="303"/>
          <w:tblHeader/>
        </w:trPr>
        <w:tc>
          <w:tcPr>
            <w:tcW w:w="817" w:type="dxa"/>
            <w:shd w:val="clear" w:color="auto" w:fill="DDD9C3" w:themeFill="background2" w:themeFillShade="E6"/>
            <w:noWrap/>
            <w:vAlign w:val="bottom"/>
            <w:hideMark/>
          </w:tcPr>
          <w:p w14:paraId="3B928D68" w14:textId="77777777" w:rsidR="00536F6A" w:rsidRPr="00BC081A" w:rsidRDefault="00536F6A" w:rsidP="00E24EF0">
            <w:pPr>
              <w:pStyle w:val="TableContext"/>
              <w:rPr>
                <w:lang w:val="en-CA"/>
              </w:rPr>
            </w:pPr>
            <w:r w:rsidRPr="00BC081A">
              <w:rPr>
                <w:lang w:val="en-CA"/>
              </w:rPr>
              <w:t>13</w:t>
            </w:r>
          </w:p>
        </w:tc>
        <w:tc>
          <w:tcPr>
            <w:tcW w:w="1276" w:type="dxa"/>
            <w:shd w:val="clear" w:color="000000" w:fill="FFFFFF"/>
            <w:noWrap/>
            <w:vAlign w:val="bottom"/>
          </w:tcPr>
          <w:p w14:paraId="00479046"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54767777" w14:textId="77777777" w:rsidR="00536F6A" w:rsidRPr="00BC081A" w:rsidRDefault="00536F6A" w:rsidP="00E24EF0">
            <w:pPr>
              <w:pStyle w:val="TableContext"/>
              <w:rPr>
                <w:rFonts w:ascii="Calibri" w:hAnsi="Calibri"/>
                <w:lang w:val="en-CA"/>
              </w:rPr>
            </w:pPr>
            <w:r w:rsidRPr="00BC081A">
              <w:rPr>
                <w:lang w:val="en-CA"/>
              </w:rPr>
              <w:t>Deng et al. (2010)</w:t>
            </w:r>
          </w:p>
        </w:tc>
        <w:tc>
          <w:tcPr>
            <w:tcW w:w="2977" w:type="dxa"/>
            <w:shd w:val="clear" w:color="000000" w:fill="FFFFFF"/>
          </w:tcPr>
          <w:p w14:paraId="5FD1E63F" w14:textId="77777777" w:rsidR="00536F6A" w:rsidRPr="00BC081A" w:rsidRDefault="00536F6A" w:rsidP="00E24EF0">
            <w:pPr>
              <w:pStyle w:val="TableContext"/>
              <w:rPr>
                <w:lang w:val="en-CA"/>
              </w:rPr>
            </w:pPr>
            <w:r w:rsidRPr="00BC081A">
              <w:rPr>
                <w:lang w:val="en-CA"/>
              </w:rPr>
              <w:t>Mobile internet services</w:t>
            </w:r>
          </w:p>
        </w:tc>
      </w:tr>
      <w:tr w:rsidR="00536F6A" w:rsidRPr="00BC081A" w14:paraId="506B6A3D" w14:textId="77777777" w:rsidTr="00E24EF0">
        <w:trPr>
          <w:trHeight w:val="303"/>
          <w:tblHeader/>
        </w:trPr>
        <w:tc>
          <w:tcPr>
            <w:tcW w:w="817" w:type="dxa"/>
            <w:shd w:val="clear" w:color="auto" w:fill="DDD9C3" w:themeFill="background2" w:themeFillShade="E6"/>
            <w:noWrap/>
            <w:vAlign w:val="bottom"/>
            <w:hideMark/>
          </w:tcPr>
          <w:p w14:paraId="13036DC1" w14:textId="77777777" w:rsidR="00536F6A" w:rsidRPr="00BC081A" w:rsidRDefault="00536F6A" w:rsidP="00E24EF0">
            <w:pPr>
              <w:pStyle w:val="TableContext"/>
              <w:rPr>
                <w:lang w:val="en-CA"/>
              </w:rPr>
            </w:pPr>
            <w:r w:rsidRPr="00BC081A">
              <w:rPr>
                <w:lang w:val="en-CA"/>
              </w:rPr>
              <w:lastRenderedPageBreak/>
              <w:t>14</w:t>
            </w:r>
          </w:p>
        </w:tc>
        <w:tc>
          <w:tcPr>
            <w:tcW w:w="1276" w:type="dxa"/>
            <w:shd w:val="clear" w:color="000000" w:fill="FFFFFF"/>
            <w:noWrap/>
            <w:vAlign w:val="bottom"/>
          </w:tcPr>
          <w:p w14:paraId="05964E9F"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7252E481" w14:textId="77777777" w:rsidR="00536F6A" w:rsidRPr="00BC081A" w:rsidRDefault="00536F6A" w:rsidP="00E24EF0">
            <w:pPr>
              <w:pStyle w:val="TableContext"/>
              <w:rPr>
                <w:rFonts w:ascii="Calibri" w:hAnsi="Calibri"/>
                <w:lang w:val="en-CA"/>
              </w:rPr>
            </w:pPr>
            <w:proofErr w:type="spellStart"/>
            <w:r w:rsidRPr="00BC081A">
              <w:rPr>
                <w:lang w:val="en-CA"/>
              </w:rPr>
              <w:t>Kamis</w:t>
            </w:r>
            <w:proofErr w:type="spellEnd"/>
            <w:r w:rsidRPr="00BC081A">
              <w:rPr>
                <w:lang w:val="en-CA"/>
              </w:rPr>
              <w:t xml:space="preserve"> (2010)</w:t>
            </w:r>
          </w:p>
        </w:tc>
        <w:tc>
          <w:tcPr>
            <w:tcW w:w="2977" w:type="dxa"/>
            <w:shd w:val="clear" w:color="000000" w:fill="FFFFFF"/>
          </w:tcPr>
          <w:p w14:paraId="71151249" w14:textId="77777777" w:rsidR="00536F6A" w:rsidRPr="00BC081A" w:rsidRDefault="00536F6A" w:rsidP="00E24EF0">
            <w:pPr>
              <w:pStyle w:val="TableContext"/>
              <w:rPr>
                <w:lang w:val="en-CA"/>
              </w:rPr>
            </w:pPr>
            <w:r w:rsidRPr="00BC081A">
              <w:rPr>
                <w:lang w:val="en-CA"/>
              </w:rPr>
              <w:t>Online shopping</w:t>
            </w:r>
          </w:p>
        </w:tc>
      </w:tr>
      <w:tr w:rsidR="00536F6A" w:rsidRPr="00BC081A" w14:paraId="7079C639" w14:textId="77777777" w:rsidTr="00E24EF0">
        <w:trPr>
          <w:trHeight w:val="303"/>
          <w:tblHeader/>
        </w:trPr>
        <w:tc>
          <w:tcPr>
            <w:tcW w:w="817" w:type="dxa"/>
            <w:shd w:val="clear" w:color="auto" w:fill="DDD9C3" w:themeFill="background2" w:themeFillShade="E6"/>
            <w:noWrap/>
            <w:vAlign w:val="bottom"/>
            <w:hideMark/>
          </w:tcPr>
          <w:p w14:paraId="43D77968" w14:textId="77777777" w:rsidR="00536F6A" w:rsidRPr="00BC081A" w:rsidRDefault="00536F6A" w:rsidP="00E24EF0">
            <w:pPr>
              <w:pStyle w:val="TableContext"/>
              <w:rPr>
                <w:lang w:val="en-CA"/>
              </w:rPr>
            </w:pPr>
            <w:r w:rsidRPr="00BC081A">
              <w:rPr>
                <w:lang w:val="en-CA"/>
              </w:rPr>
              <w:t>15</w:t>
            </w:r>
          </w:p>
        </w:tc>
        <w:tc>
          <w:tcPr>
            <w:tcW w:w="1276" w:type="dxa"/>
            <w:shd w:val="clear" w:color="000000" w:fill="FFFFFF"/>
            <w:noWrap/>
            <w:vAlign w:val="bottom"/>
          </w:tcPr>
          <w:p w14:paraId="3C595D0E"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4B53A67F" w14:textId="77777777" w:rsidR="00536F6A" w:rsidRPr="00BC081A" w:rsidRDefault="00536F6A" w:rsidP="00E24EF0">
            <w:pPr>
              <w:pStyle w:val="TableContext"/>
              <w:rPr>
                <w:rFonts w:ascii="Calibri" w:hAnsi="Calibri"/>
                <w:lang w:val="en-CA"/>
              </w:rPr>
            </w:pPr>
            <w:proofErr w:type="spellStart"/>
            <w:r w:rsidRPr="00BC081A">
              <w:rPr>
                <w:lang w:val="en-CA"/>
              </w:rPr>
              <w:t>Koufaris</w:t>
            </w:r>
            <w:proofErr w:type="spellEnd"/>
            <w:r w:rsidRPr="00BC081A">
              <w:rPr>
                <w:lang w:val="en-CA"/>
              </w:rPr>
              <w:t xml:space="preserve"> (2002)</w:t>
            </w:r>
          </w:p>
        </w:tc>
        <w:tc>
          <w:tcPr>
            <w:tcW w:w="2977" w:type="dxa"/>
            <w:shd w:val="clear" w:color="000000" w:fill="FFFFFF"/>
          </w:tcPr>
          <w:p w14:paraId="632729C1" w14:textId="77777777" w:rsidR="00536F6A" w:rsidRPr="00BC081A" w:rsidRDefault="00536F6A" w:rsidP="00E24EF0">
            <w:pPr>
              <w:pStyle w:val="TableContext"/>
              <w:rPr>
                <w:lang w:val="en-CA"/>
              </w:rPr>
            </w:pPr>
            <w:r w:rsidRPr="00BC081A">
              <w:rPr>
                <w:lang w:val="en-CA"/>
              </w:rPr>
              <w:t>Online shopping</w:t>
            </w:r>
          </w:p>
        </w:tc>
      </w:tr>
      <w:tr w:rsidR="00536F6A" w:rsidRPr="00BC081A" w14:paraId="75622B3E" w14:textId="77777777" w:rsidTr="00E24EF0">
        <w:trPr>
          <w:trHeight w:val="303"/>
          <w:tblHeader/>
        </w:trPr>
        <w:tc>
          <w:tcPr>
            <w:tcW w:w="817" w:type="dxa"/>
            <w:shd w:val="clear" w:color="auto" w:fill="DDD9C3" w:themeFill="background2" w:themeFillShade="E6"/>
            <w:noWrap/>
            <w:vAlign w:val="bottom"/>
            <w:hideMark/>
          </w:tcPr>
          <w:p w14:paraId="0AB6753E" w14:textId="77777777" w:rsidR="00536F6A" w:rsidRPr="00BC081A" w:rsidRDefault="00536F6A" w:rsidP="00E24EF0">
            <w:pPr>
              <w:pStyle w:val="TableContext"/>
              <w:rPr>
                <w:lang w:val="en-CA"/>
              </w:rPr>
            </w:pPr>
            <w:r w:rsidRPr="00BC081A">
              <w:rPr>
                <w:lang w:val="en-CA"/>
              </w:rPr>
              <w:t>16</w:t>
            </w:r>
          </w:p>
        </w:tc>
        <w:tc>
          <w:tcPr>
            <w:tcW w:w="1276" w:type="dxa"/>
            <w:shd w:val="clear" w:color="000000" w:fill="FFFFFF"/>
            <w:noWrap/>
            <w:vAlign w:val="bottom"/>
          </w:tcPr>
          <w:p w14:paraId="14BC7ACE"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1DBFFBEB" w14:textId="77777777" w:rsidR="00536F6A" w:rsidRPr="00BC081A" w:rsidRDefault="00536F6A" w:rsidP="00E24EF0">
            <w:pPr>
              <w:pStyle w:val="TableContext"/>
              <w:rPr>
                <w:rFonts w:ascii="Calibri" w:hAnsi="Calibri"/>
                <w:lang w:val="en-CA"/>
              </w:rPr>
            </w:pPr>
            <w:proofErr w:type="spellStart"/>
            <w:r w:rsidRPr="00BC081A">
              <w:rPr>
                <w:rFonts w:ascii="Calibri" w:hAnsi="Calibri"/>
                <w:lang w:val="en-CA"/>
              </w:rPr>
              <w:t>Saade</w:t>
            </w:r>
            <w:proofErr w:type="spellEnd"/>
            <w:r w:rsidRPr="00BC081A">
              <w:rPr>
                <w:rFonts w:ascii="Calibri" w:hAnsi="Calibri"/>
                <w:lang w:val="en-CA"/>
              </w:rPr>
              <w:t xml:space="preserve"> and </w:t>
            </w:r>
            <w:proofErr w:type="spellStart"/>
            <w:r w:rsidRPr="00BC081A">
              <w:rPr>
                <w:rFonts w:ascii="Calibri" w:hAnsi="Calibri"/>
                <w:lang w:val="en-CA"/>
              </w:rPr>
              <w:t>Bahli</w:t>
            </w:r>
            <w:proofErr w:type="spellEnd"/>
            <w:r w:rsidRPr="00BC081A">
              <w:rPr>
                <w:rFonts w:ascii="Calibri" w:hAnsi="Calibri"/>
                <w:lang w:val="en-CA"/>
              </w:rPr>
              <w:t xml:space="preserve"> (2005)*</w:t>
            </w:r>
          </w:p>
        </w:tc>
        <w:tc>
          <w:tcPr>
            <w:tcW w:w="2977" w:type="dxa"/>
            <w:shd w:val="clear" w:color="000000" w:fill="FFFFFF"/>
          </w:tcPr>
          <w:p w14:paraId="693019FF" w14:textId="77777777" w:rsidR="00536F6A" w:rsidRPr="00BC081A" w:rsidRDefault="00536F6A" w:rsidP="00E24EF0">
            <w:pPr>
              <w:pStyle w:val="TableContext"/>
              <w:rPr>
                <w:lang w:val="en-CA"/>
              </w:rPr>
            </w:pPr>
            <w:r w:rsidRPr="00BC081A">
              <w:rPr>
                <w:lang w:val="en-CA"/>
              </w:rPr>
              <w:t>Online learning</w:t>
            </w:r>
          </w:p>
        </w:tc>
      </w:tr>
      <w:tr w:rsidR="00536F6A" w:rsidRPr="00BC081A" w14:paraId="59BE6EB0" w14:textId="77777777" w:rsidTr="00E24EF0">
        <w:trPr>
          <w:trHeight w:val="283"/>
          <w:tblHeader/>
        </w:trPr>
        <w:tc>
          <w:tcPr>
            <w:tcW w:w="817" w:type="dxa"/>
            <w:shd w:val="clear" w:color="auto" w:fill="DDD9C3" w:themeFill="background2" w:themeFillShade="E6"/>
            <w:noWrap/>
            <w:vAlign w:val="bottom"/>
            <w:hideMark/>
          </w:tcPr>
          <w:p w14:paraId="5221E109" w14:textId="77777777" w:rsidR="00536F6A" w:rsidRPr="00BC081A" w:rsidRDefault="00536F6A" w:rsidP="00E24EF0">
            <w:pPr>
              <w:pStyle w:val="TableContext"/>
              <w:rPr>
                <w:lang w:val="en-CA"/>
              </w:rPr>
            </w:pPr>
            <w:r w:rsidRPr="00BC081A">
              <w:rPr>
                <w:lang w:val="en-CA"/>
              </w:rPr>
              <w:t>17</w:t>
            </w:r>
          </w:p>
        </w:tc>
        <w:tc>
          <w:tcPr>
            <w:tcW w:w="1276" w:type="dxa"/>
            <w:shd w:val="clear" w:color="000000" w:fill="FFFFFF"/>
            <w:noWrap/>
            <w:vAlign w:val="bottom"/>
          </w:tcPr>
          <w:p w14:paraId="78C2E551"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67E44677" w14:textId="77777777" w:rsidR="00536F6A" w:rsidRPr="00BC081A" w:rsidRDefault="00536F6A" w:rsidP="00E24EF0">
            <w:pPr>
              <w:pStyle w:val="TableContext"/>
              <w:rPr>
                <w:rFonts w:ascii="Calibri" w:hAnsi="Calibri"/>
                <w:lang w:val="en-CA"/>
              </w:rPr>
            </w:pPr>
            <w:proofErr w:type="spellStart"/>
            <w:r w:rsidRPr="00BC081A">
              <w:rPr>
                <w:lang w:val="en-CA"/>
              </w:rPr>
              <w:t>Siekpe</w:t>
            </w:r>
            <w:proofErr w:type="spellEnd"/>
            <w:r w:rsidRPr="00BC081A">
              <w:rPr>
                <w:lang w:val="en-CA"/>
              </w:rPr>
              <w:t xml:space="preserve"> (2005)</w:t>
            </w:r>
          </w:p>
        </w:tc>
        <w:tc>
          <w:tcPr>
            <w:tcW w:w="2977" w:type="dxa"/>
            <w:shd w:val="clear" w:color="000000" w:fill="FFFFFF"/>
          </w:tcPr>
          <w:p w14:paraId="3B702EC1" w14:textId="77777777" w:rsidR="00536F6A" w:rsidRPr="00BC081A" w:rsidRDefault="00536F6A" w:rsidP="00E24EF0">
            <w:pPr>
              <w:pStyle w:val="TableContext"/>
              <w:rPr>
                <w:lang w:val="en-CA"/>
              </w:rPr>
            </w:pPr>
            <w:r w:rsidRPr="00BC081A">
              <w:rPr>
                <w:lang w:val="en-CA"/>
              </w:rPr>
              <w:t>Online shopping</w:t>
            </w:r>
          </w:p>
        </w:tc>
      </w:tr>
      <w:tr w:rsidR="00536F6A" w:rsidRPr="00BC081A" w14:paraId="7AE28353" w14:textId="77777777" w:rsidTr="00E24EF0">
        <w:trPr>
          <w:trHeight w:val="303"/>
          <w:tblHeader/>
        </w:trPr>
        <w:tc>
          <w:tcPr>
            <w:tcW w:w="817" w:type="dxa"/>
            <w:shd w:val="clear" w:color="auto" w:fill="DDD9C3" w:themeFill="background2" w:themeFillShade="E6"/>
            <w:noWrap/>
            <w:vAlign w:val="bottom"/>
            <w:hideMark/>
          </w:tcPr>
          <w:p w14:paraId="79A94833" w14:textId="77777777" w:rsidR="00536F6A" w:rsidRPr="00BC081A" w:rsidRDefault="00536F6A" w:rsidP="00E24EF0">
            <w:pPr>
              <w:pStyle w:val="TableContext"/>
              <w:rPr>
                <w:lang w:val="en-CA"/>
              </w:rPr>
            </w:pPr>
            <w:r w:rsidRPr="00BC081A">
              <w:rPr>
                <w:lang w:val="en-CA"/>
              </w:rPr>
              <w:t>18</w:t>
            </w:r>
          </w:p>
        </w:tc>
        <w:tc>
          <w:tcPr>
            <w:tcW w:w="1276" w:type="dxa"/>
            <w:shd w:val="clear" w:color="000000" w:fill="FFFFFF"/>
            <w:noWrap/>
            <w:vAlign w:val="bottom"/>
          </w:tcPr>
          <w:p w14:paraId="6E43CCCD"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3A14D37A" w14:textId="77777777" w:rsidR="00536F6A" w:rsidRPr="00BC081A" w:rsidRDefault="00536F6A" w:rsidP="00E24EF0">
            <w:pPr>
              <w:pStyle w:val="TableContext"/>
              <w:rPr>
                <w:rFonts w:ascii="Calibri" w:hAnsi="Calibri"/>
                <w:lang w:val="en-CA"/>
              </w:rPr>
            </w:pPr>
            <w:r w:rsidRPr="00BC081A">
              <w:rPr>
                <w:lang w:val="en-CA"/>
              </w:rPr>
              <w:t>Roca et al (2006)</w:t>
            </w:r>
          </w:p>
        </w:tc>
        <w:tc>
          <w:tcPr>
            <w:tcW w:w="2977" w:type="dxa"/>
            <w:shd w:val="clear" w:color="000000" w:fill="FFFFFF"/>
          </w:tcPr>
          <w:p w14:paraId="4C01C4AA" w14:textId="77777777" w:rsidR="00536F6A" w:rsidRPr="00BC081A" w:rsidRDefault="00536F6A" w:rsidP="00E24EF0">
            <w:pPr>
              <w:pStyle w:val="TableContext"/>
              <w:rPr>
                <w:lang w:val="en-CA"/>
              </w:rPr>
            </w:pPr>
            <w:proofErr w:type="gramStart"/>
            <w:r w:rsidRPr="00BC081A">
              <w:rPr>
                <w:lang w:val="en-CA"/>
              </w:rPr>
              <w:t>e</w:t>
            </w:r>
            <w:proofErr w:type="gramEnd"/>
            <w:r w:rsidRPr="00BC081A">
              <w:rPr>
                <w:lang w:val="en-CA"/>
              </w:rPr>
              <w:t>-Learning</w:t>
            </w:r>
          </w:p>
        </w:tc>
      </w:tr>
      <w:tr w:rsidR="00536F6A" w:rsidRPr="00BC081A" w14:paraId="642D442F" w14:textId="77777777" w:rsidTr="00E24EF0">
        <w:trPr>
          <w:trHeight w:val="303"/>
          <w:tblHeader/>
        </w:trPr>
        <w:tc>
          <w:tcPr>
            <w:tcW w:w="817" w:type="dxa"/>
            <w:shd w:val="clear" w:color="auto" w:fill="DDD9C3" w:themeFill="background2" w:themeFillShade="E6"/>
            <w:noWrap/>
            <w:vAlign w:val="bottom"/>
            <w:hideMark/>
          </w:tcPr>
          <w:p w14:paraId="5ED4F1A0" w14:textId="77777777" w:rsidR="00536F6A" w:rsidRPr="00BC081A" w:rsidRDefault="00536F6A" w:rsidP="00E24EF0">
            <w:pPr>
              <w:pStyle w:val="TableContext"/>
              <w:rPr>
                <w:lang w:val="en-CA"/>
              </w:rPr>
            </w:pPr>
            <w:r w:rsidRPr="00BC081A">
              <w:rPr>
                <w:lang w:val="en-CA"/>
              </w:rPr>
              <w:t>19</w:t>
            </w:r>
          </w:p>
        </w:tc>
        <w:tc>
          <w:tcPr>
            <w:tcW w:w="1276" w:type="dxa"/>
            <w:shd w:val="clear" w:color="000000" w:fill="FFFFFF"/>
            <w:noWrap/>
            <w:vAlign w:val="bottom"/>
          </w:tcPr>
          <w:p w14:paraId="2A466550" w14:textId="77777777" w:rsidR="00536F6A" w:rsidRPr="00BC081A" w:rsidRDefault="00536F6A" w:rsidP="00E24EF0">
            <w:pPr>
              <w:pStyle w:val="TableContext"/>
              <w:rPr>
                <w:lang w:val="en-CA"/>
              </w:rPr>
            </w:pPr>
            <w:r w:rsidRPr="00BC081A">
              <w:rPr>
                <w:lang w:val="en-CA"/>
              </w:rPr>
              <w:t>2</w:t>
            </w:r>
          </w:p>
        </w:tc>
        <w:tc>
          <w:tcPr>
            <w:tcW w:w="3118" w:type="dxa"/>
            <w:shd w:val="clear" w:color="000000" w:fill="FFFFFF"/>
            <w:vAlign w:val="bottom"/>
          </w:tcPr>
          <w:p w14:paraId="69A96DE6" w14:textId="77777777" w:rsidR="00536F6A" w:rsidRPr="00BC081A" w:rsidRDefault="00536F6A" w:rsidP="00E24EF0">
            <w:pPr>
              <w:pStyle w:val="TableContext"/>
              <w:rPr>
                <w:rFonts w:ascii="Calibri" w:hAnsi="Calibri"/>
                <w:lang w:val="en-CA"/>
              </w:rPr>
            </w:pPr>
            <w:r w:rsidRPr="00BC081A">
              <w:rPr>
                <w:lang w:val="en-CA"/>
              </w:rPr>
              <w:t>Chandra et al. (2009)</w:t>
            </w:r>
          </w:p>
        </w:tc>
        <w:tc>
          <w:tcPr>
            <w:tcW w:w="2977" w:type="dxa"/>
            <w:shd w:val="clear" w:color="000000" w:fill="FFFFFF"/>
          </w:tcPr>
          <w:p w14:paraId="23EA0778" w14:textId="77777777" w:rsidR="00536F6A" w:rsidRPr="00BC081A" w:rsidRDefault="00536F6A" w:rsidP="00E24EF0">
            <w:pPr>
              <w:pStyle w:val="TableContext"/>
              <w:rPr>
                <w:lang w:val="en-CA"/>
              </w:rPr>
            </w:pPr>
            <w:r w:rsidRPr="00BC081A">
              <w:rPr>
                <w:lang w:val="en-CA"/>
              </w:rPr>
              <w:t>Virtual World Collaboration</w:t>
            </w:r>
          </w:p>
        </w:tc>
      </w:tr>
      <w:tr w:rsidR="00536F6A" w:rsidRPr="00BC081A" w14:paraId="0A09380B" w14:textId="77777777" w:rsidTr="00E24EF0">
        <w:trPr>
          <w:trHeight w:val="303"/>
          <w:tblHeader/>
        </w:trPr>
        <w:tc>
          <w:tcPr>
            <w:tcW w:w="817" w:type="dxa"/>
            <w:shd w:val="clear" w:color="auto" w:fill="DDD9C3" w:themeFill="background2" w:themeFillShade="E6"/>
            <w:noWrap/>
            <w:vAlign w:val="bottom"/>
            <w:hideMark/>
          </w:tcPr>
          <w:p w14:paraId="379DA4C1" w14:textId="77777777" w:rsidR="00536F6A" w:rsidRPr="00BC081A" w:rsidRDefault="00536F6A" w:rsidP="00E24EF0">
            <w:pPr>
              <w:pStyle w:val="TableContext"/>
              <w:rPr>
                <w:lang w:val="en-CA"/>
              </w:rPr>
            </w:pPr>
            <w:r w:rsidRPr="00BC081A">
              <w:rPr>
                <w:lang w:val="en-CA"/>
              </w:rPr>
              <w:t>20</w:t>
            </w:r>
          </w:p>
        </w:tc>
        <w:tc>
          <w:tcPr>
            <w:tcW w:w="1276" w:type="dxa"/>
            <w:shd w:val="clear" w:color="000000" w:fill="FFFFFF"/>
            <w:noWrap/>
            <w:vAlign w:val="bottom"/>
          </w:tcPr>
          <w:p w14:paraId="35C6463F"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1281B954" w14:textId="77777777" w:rsidR="00536F6A" w:rsidRPr="00BC081A" w:rsidRDefault="00536F6A" w:rsidP="00E24EF0">
            <w:pPr>
              <w:pStyle w:val="TableContext"/>
              <w:rPr>
                <w:rFonts w:ascii="Calibri" w:hAnsi="Calibri"/>
                <w:lang w:val="en-CA"/>
              </w:rPr>
            </w:pPr>
            <w:proofErr w:type="spellStart"/>
            <w:r w:rsidRPr="00BC081A">
              <w:rPr>
                <w:lang w:val="en-CA"/>
              </w:rPr>
              <w:t>Shiau</w:t>
            </w:r>
            <w:proofErr w:type="spellEnd"/>
            <w:r w:rsidRPr="00BC081A">
              <w:rPr>
                <w:lang w:val="en-CA"/>
              </w:rPr>
              <w:t xml:space="preserve"> et al. (2011)</w:t>
            </w:r>
          </w:p>
        </w:tc>
        <w:tc>
          <w:tcPr>
            <w:tcW w:w="2977" w:type="dxa"/>
            <w:shd w:val="clear" w:color="000000" w:fill="FFFFFF"/>
          </w:tcPr>
          <w:p w14:paraId="15AF8836" w14:textId="77777777" w:rsidR="00536F6A" w:rsidRPr="00BC081A" w:rsidRDefault="00536F6A" w:rsidP="00E24EF0">
            <w:pPr>
              <w:pStyle w:val="TableContext"/>
              <w:rPr>
                <w:lang w:val="en-CA"/>
              </w:rPr>
            </w:pPr>
            <w:r w:rsidRPr="00BC081A">
              <w:rPr>
                <w:lang w:val="en-CA"/>
              </w:rPr>
              <w:t>Blog Use</w:t>
            </w:r>
          </w:p>
        </w:tc>
      </w:tr>
      <w:tr w:rsidR="00536F6A" w:rsidRPr="00BC081A" w14:paraId="6613220C" w14:textId="77777777" w:rsidTr="00E24EF0">
        <w:trPr>
          <w:trHeight w:val="303"/>
          <w:tblHeader/>
        </w:trPr>
        <w:tc>
          <w:tcPr>
            <w:tcW w:w="817" w:type="dxa"/>
            <w:shd w:val="clear" w:color="auto" w:fill="DDD9C3" w:themeFill="background2" w:themeFillShade="E6"/>
            <w:noWrap/>
            <w:vAlign w:val="bottom"/>
            <w:hideMark/>
          </w:tcPr>
          <w:p w14:paraId="1EB7A8DC" w14:textId="77777777" w:rsidR="00536F6A" w:rsidRPr="00BC081A" w:rsidRDefault="00536F6A" w:rsidP="00E24EF0">
            <w:pPr>
              <w:pStyle w:val="TableContext"/>
              <w:rPr>
                <w:lang w:val="en-CA"/>
              </w:rPr>
            </w:pPr>
            <w:r w:rsidRPr="00BC081A">
              <w:rPr>
                <w:lang w:val="en-CA"/>
              </w:rPr>
              <w:t>21</w:t>
            </w:r>
          </w:p>
        </w:tc>
        <w:tc>
          <w:tcPr>
            <w:tcW w:w="1276" w:type="dxa"/>
            <w:shd w:val="clear" w:color="000000" w:fill="FFFFFF"/>
            <w:noWrap/>
            <w:vAlign w:val="bottom"/>
          </w:tcPr>
          <w:p w14:paraId="06D5AF81"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4EBAA873" w14:textId="77777777" w:rsidR="00536F6A" w:rsidRPr="00BC081A" w:rsidRDefault="00536F6A" w:rsidP="00E24EF0">
            <w:pPr>
              <w:pStyle w:val="TableContext"/>
              <w:rPr>
                <w:rFonts w:ascii="Calibri" w:hAnsi="Calibri"/>
                <w:lang w:val="en-CA"/>
              </w:rPr>
            </w:pPr>
            <w:r w:rsidRPr="00BC081A">
              <w:rPr>
                <w:rFonts w:ascii="Calibri" w:hAnsi="Calibri"/>
                <w:lang w:val="en-CA"/>
              </w:rPr>
              <w:t>Mahfouz (2004)</w:t>
            </w:r>
          </w:p>
        </w:tc>
        <w:tc>
          <w:tcPr>
            <w:tcW w:w="2977" w:type="dxa"/>
            <w:shd w:val="clear" w:color="000000" w:fill="FFFFFF"/>
          </w:tcPr>
          <w:p w14:paraId="69DD33A5" w14:textId="77777777" w:rsidR="00536F6A" w:rsidRPr="00BC081A" w:rsidRDefault="00536F6A" w:rsidP="00E24EF0">
            <w:pPr>
              <w:pStyle w:val="TableContext"/>
              <w:rPr>
                <w:lang w:val="en-CA"/>
              </w:rPr>
            </w:pPr>
            <w:r w:rsidRPr="00BC081A">
              <w:rPr>
                <w:lang w:val="en-CA"/>
              </w:rPr>
              <w:t>Online shopping</w:t>
            </w:r>
          </w:p>
        </w:tc>
      </w:tr>
      <w:tr w:rsidR="00536F6A" w:rsidRPr="00BC081A" w14:paraId="4F65FA16" w14:textId="77777777" w:rsidTr="00E24EF0">
        <w:trPr>
          <w:trHeight w:val="303"/>
          <w:tblHeader/>
        </w:trPr>
        <w:tc>
          <w:tcPr>
            <w:tcW w:w="817" w:type="dxa"/>
            <w:shd w:val="clear" w:color="auto" w:fill="DDD9C3" w:themeFill="background2" w:themeFillShade="E6"/>
            <w:noWrap/>
            <w:vAlign w:val="bottom"/>
            <w:hideMark/>
          </w:tcPr>
          <w:p w14:paraId="070E0FCA" w14:textId="77777777" w:rsidR="00536F6A" w:rsidRPr="00BC081A" w:rsidRDefault="00536F6A" w:rsidP="00E24EF0">
            <w:pPr>
              <w:pStyle w:val="TableContext"/>
              <w:rPr>
                <w:lang w:val="en-CA"/>
              </w:rPr>
            </w:pPr>
            <w:r w:rsidRPr="00BC081A">
              <w:rPr>
                <w:lang w:val="en-CA"/>
              </w:rPr>
              <w:t>22</w:t>
            </w:r>
          </w:p>
        </w:tc>
        <w:tc>
          <w:tcPr>
            <w:tcW w:w="1276" w:type="dxa"/>
            <w:shd w:val="clear" w:color="000000" w:fill="FFFFFF"/>
            <w:noWrap/>
            <w:vAlign w:val="bottom"/>
          </w:tcPr>
          <w:p w14:paraId="41805B4D"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743B652C" w14:textId="77777777" w:rsidR="00536F6A" w:rsidRPr="00BC081A" w:rsidRDefault="00536F6A" w:rsidP="00E24EF0">
            <w:pPr>
              <w:pStyle w:val="TableContext"/>
              <w:rPr>
                <w:lang w:val="en-CA"/>
              </w:rPr>
            </w:pPr>
            <w:r w:rsidRPr="00BC081A">
              <w:rPr>
                <w:lang w:val="en-CA"/>
              </w:rPr>
              <w:t>Jiang et al. (2009)</w:t>
            </w:r>
          </w:p>
        </w:tc>
        <w:tc>
          <w:tcPr>
            <w:tcW w:w="2977" w:type="dxa"/>
            <w:shd w:val="clear" w:color="000000" w:fill="FFFFFF"/>
          </w:tcPr>
          <w:p w14:paraId="25A53EC6" w14:textId="77777777" w:rsidR="00536F6A" w:rsidRPr="00BC081A" w:rsidRDefault="00536F6A" w:rsidP="00E24EF0">
            <w:pPr>
              <w:pStyle w:val="TableContext"/>
              <w:rPr>
                <w:lang w:val="en-CA"/>
              </w:rPr>
            </w:pPr>
            <w:r w:rsidRPr="00BC081A">
              <w:rPr>
                <w:lang w:val="en-CA"/>
              </w:rPr>
              <w:t>Web Browsing</w:t>
            </w:r>
          </w:p>
        </w:tc>
      </w:tr>
      <w:tr w:rsidR="00536F6A" w:rsidRPr="00BC081A" w14:paraId="1619D878" w14:textId="77777777" w:rsidTr="00E24EF0">
        <w:trPr>
          <w:trHeight w:val="303"/>
          <w:tblHeader/>
        </w:trPr>
        <w:tc>
          <w:tcPr>
            <w:tcW w:w="817" w:type="dxa"/>
            <w:shd w:val="clear" w:color="auto" w:fill="DDD9C3" w:themeFill="background2" w:themeFillShade="E6"/>
            <w:noWrap/>
            <w:vAlign w:val="bottom"/>
            <w:hideMark/>
          </w:tcPr>
          <w:p w14:paraId="1637F4C3" w14:textId="77777777" w:rsidR="00536F6A" w:rsidRPr="00BC081A" w:rsidRDefault="00536F6A" w:rsidP="00E24EF0">
            <w:pPr>
              <w:pStyle w:val="TableContext"/>
              <w:rPr>
                <w:lang w:val="en-CA"/>
              </w:rPr>
            </w:pPr>
            <w:r w:rsidRPr="00BC081A">
              <w:rPr>
                <w:lang w:val="en-CA"/>
              </w:rPr>
              <w:t>23</w:t>
            </w:r>
          </w:p>
        </w:tc>
        <w:tc>
          <w:tcPr>
            <w:tcW w:w="1276" w:type="dxa"/>
            <w:shd w:val="clear" w:color="000000" w:fill="FFFFFF"/>
            <w:noWrap/>
            <w:vAlign w:val="bottom"/>
          </w:tcPr>
          <w:p w14:paraId="7BB59D5A"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01626E99" w14:textId="77777777" w:rsidR="00536F6A" w:rsidRPr="00BC081A" w:rsidRDefault="00536F6A" w:rsidP="00E24EF0">
            <w:pPr>
              <w:pStyle w:val="TableContext"/>
              <w:rPr>
                <w:lang w:val="en-CA"/>
              </w:rPr>
            </w:pPr>
            <w:r w:rsidRPr="00BC081A">
              <w:rPr>
                <w:lang w:val="en-CA"/>
              </w:rPr>
              <w:t>Lin et al. (2008)</w:t>
            </w:r>
          </w:p>
        </w:tc>
        <w:tc>
          <w:tcPr>
            <w:tcW w:w="2977" w:type="dxa"/>
            <w:shd w:val="clear" w:color="000000" w:fill="FFFFFF"/>
          </w:tcPr>
          <w:p w14:paraId="3839A273" w14:textId="77777777" w:rsidR="00536F6A" w:rsidRPr="00BC081A" w:rsidRDefault="00536F6A" w:rsidP="00E24EF0">
            <w:pPr>
              <w:pStyle w:val="TableContext"/>
              <w:rPr>
                <w:lang w:val="en-CA"/>
              </w:rPr>
            </w:pPr>
            <w:proofErr w:type="gramStart"/>
            <w:r w:rsidRPr="00BC081A">
              <w:rPr>
                <w:lang w:val="en-CA"/>
              </w:rPr>
              <w:t>e</w:t>
            </w:r>
            <w:proofErr w:type="gramEnd"/>
            <w:r w:rsidRPr="00BC081A">
              <w:rPr>
                <w:lang w:val="en-CA"/>
              </w:rPr>
              <w:t>-Commerce</w:t>
            </w:r>
          </w:p>
        </w:tc>
      </w:tr>
      <w:tr w:rsidR="00536F6A" w:rsidRPr="00BC081A" w14:paraId="5BB33189" w14:textId="77777777" w:rsidTr="00E24EF0">
        <w:trPr>
          <w:trHeight w:val="303"/>
          <w:tblHeader/>
        </w:trPr>
        <w:tc>
          <w:tcPr>
            <w:tcW w:w="817" w:type="dxa"/>
            <w:shd w:val="clear" w:color="auto" w:fill="DDD9C3" w:themeFill="background2" w:themeFillShade="E6"/>
            <w:noWrap/>
            <w:vAlign w:val="bottom"/>
            <w:hideMark/>
          </w:tcPr>
          <w:p w14:paraId="7892257E" w14:textId="77777777" w:rsidR="00536F6A" w:rsidRPr="00BC081A" w:rsidRDefault="00536F6A" w:rsidP="00E24EF0">
            <w:pPr>
              <w:pStyle w:val="TableContext"/>
              <w:rPr>
                <w:lang w:val="en-CA"/>
              </w:rPr>
            </w:pPr>
            <w:r w:rsidRPr="00BC081A">
              <w:rPr>
                <w:lang w:val="en-CA"/>
              </w:rPr>
              <w:t>24</w:t>
            </w:r>
          </w:p>
        </w:tc>
        <w:tc>
          <w:tcPr>
            <w:tcW w:w="1276" w:type="dxa"/>
            <w:shd w:val="clear" w:color="000000" w:fill="FFFFFF"/>
            <w:noWrap/>
            <w:vAlign w:val="bottom"/>
          </w:tcPr>
          <w:p w14:paraId="19B551EE" w14:textId="77777777" w:rsidR="00536F6A" w:rsidRPr="00BC081A" w:rsidRDefault="00536F6A" w:rsidP="00E24EF0">
            <w:pPr>
              <w:pStyle w:val="TableContext"/>
              <w:rPr>
                <w:lang w:val="en-CA"/>
              </w:rPr>
            </w:pPr>
            <w:r w:rsidRPr="00BC081A">
              <w:rPr>
                <w:lang w:val="en-CA"/>
              </w:rPr>
              <w:t>1</w:t>
            </w:r>
          </w:p>
        </w:tc>
        <w:tc>
          <w:tcPr>
            <w:tcW w:w="3118" w:type="dxa"/>
            <w:shd w:val="clear" w:color="000000" w:fill="FFFFFF"/>
            <w:vAlign w:val="bottom"/>
          </w:tcPr>
          <w:p w14:paraId="5C14D460" w14:textId="77777777" w:rsidR="00536F6A" w:rsidRPr="00BC081A" w:rsidRDefault="00536F6A" w:rsidP="00E24EF0">
            <w:pPr>
              <w:pStyle w:val="TableContext"/>
              <w:rPr>
                <w:lang w:val="en-CA"/>
              </w:rPr>
            </w:pPr>
            <w:r w:rsidRPr="00BC081A">
              <w:rPr>
                <w:lang w:val="en-CA"/>
              </w:rPr>
              <w:t>Hooker (2010)</w:t>
            </w:r>
          </w:p>
        </w:tc>
        <w:tc>
          <w:tcPr>
            <w:tcW w:w="2977" w:type="dxa"/>
            <w:shd w:val="clear" w:color="000000" w:fill="FFFFFF"/>
          </w:tcPr>
          <w:p w14:paraId="26245A91" w14:textId="77777777" w:rsidR="00536F6A" w:rsidRPr="00BC081A" w:rsidRDefault="00536F6A" w:rsidP="00E24EF0">
            <w:pPr>
              <w:pStyle w:val="TableContext"/>
              <w:rPr>
                <w:lang w:val="en-CA"/>
              </w:rPr>
            </w:pPr>
            <w:r w:rsidRPr="00BC081A">
              <w:rPr>
                <w:lang w:val="en-CA"/>
              </w:rPr>
              <w:t>Online shopping (VW)</w:t>
            </w:r>
          </w:p>
        </w:tc>
      </w:tr>
      <w:tr w:rsidR="00536F6A" w:rsidRPr="00BC081A" w14:paraId="2BFBFF68" w14:textId="77777777" w:rsidTr="00E24EF0">
        <w:trPr>
          <w:trHeight w:val="303"/>
          <w:tblHeader/>
        </w:trPr>
        <w:tc>
          <w:tcPr>
            <w:tcW w:w="817" w:type="dxa"/>
            <w:shd w:val="clear" w:color="auto" w:fill="DDD9C3" w:themeFill="background2" w:themeFillShade="E6"/>
            <w:noWrap/>
            <w:vAlign w:val="bottom"/>
          </w:tcPr>
          <w:p w14:paraId="04802BD7" w14:textId="77777777" w:rsidR="00536F6A" w:rsidRPr="00BC081A" w:rsidRDefault="00536F6A" w:rsidP="00E24EF0">
            <w:pPr>
              <w:pStyle w:val="TableContext"/>
              <w:rPr>
                <w:lang w:val="en-CA"/>
              </w:rPr>
            </w:pPr>
            <w:r w:rsidRPr="00BC081A">
              <w:rPr>
                <w:lang w:val="en-CA"/>
              </w:rPr>
              <w:t>25</w:t>
            </w:r>
          </w:p>
        </w:tc>
        <w:tc>
          <w:tcPr>
            <w:tcW w:w="1276" w:type="dxa"/>
            <w:shd w:val="clear" w:color="000000" w:fill="FFFFFF"/>
            <w:noWrap/>
            <w:vAlign w:val="bottom"/>
          </w:tcPr>
          <w:p w14:paraId="441E8D21"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63190367" w14:textId="77777777" w:rsidR="00536F6A" w:rsidRPr="00BC081A" w:rsidRDefault="00536F6A" w:rsidP="00E24EF0">
            <w:pPr>
              <w:pStyle w:val="TableContext"/>
              <w:rPr>
                <w:lang w:val="en-CA"/>
              </w:rPr>
            </w:pPr>
            <w:proofErr w:type="spellStart"/>
            <w:r w:rsidRPr="00BC081A">
              <w:rPr>
                <w:lang w:val="en-CA"/>
              </w:rPr>
              <w:t>Guo</w:t>
            </w:r>
            <w:proofErr w:type="spellEnd"/>
            <w:r w:rsidRPr="00BC081A">
              <w:rPr>
                <w:lang w:val="en-CA"/>
              </w:rPr>
              <w:t xml:space="preserve"> and Klein (2009)</w:t>
            </w:r>
          </w:p>
        </w:tc>
        <w:tc>
          <w:tcPr>
            <w:tcW w:w="2977" w:type="dxa"/>
            <w:shd w:val="clear" w:color="000000" w:fill="FFFFFF"/>
          </w:tcPr>
          <w:p w14:paraId="51A46D25" w14:textId="77777777" w:rsidR="00536F6A" w:rsidRPr="00BC081A" w:rsidRDefault="00536F6A" w:rsidP="00E24EF0">
            <w:pPr>
              <w:pStyle w:val="TableContext"/>
              <w:rPr>
                <w:lang w:val="en-CA"/>
              </w:rPr>
            </w:pPr>
            <w:r w:rsidRPr="00BC081A">
              <w:rPr>
                <w:lang w:val="en-CA"/>
              </w:rPr>
              <w:t>Online shopping</w:t>
            </w:r>
          </w:p>
        </w:tc>
      </w:tr>
      <w:tr w:rsidR="00536F6A" w:rsidRPr="00BC081A" w14:paraId="7F540920" w14:textId="77777777" w:rsidTr="00E24EF0">
        <w:trPr>
          <w:trHeight w:val="303"/>
          <w:tblHeader/>
        </w:trPr>
        <w:tc>
          <w:tcPr>
            <w:tcW w:w="817" w:type="dxa"/>
            <w:shd w:val="clear" w:color="auto" w:fill="DDD9C3" w:themeFill="background2" w:themeFillShade="E6"/>
            <w:noWrap/>
            <w:vAlign w:val="bottom"/>
          </w:tcPr>
          <w:p w14:paraId="7D81FFE3" w14:textId="77777777" w:rsidR="00536F6A" w:rsidRPr="00BC081A" w:rsidRDefault="00536F6A" w:rsidP="00E24EF0">
            <w:pPr>
              <w:pStyle w:val="TableContext"/>
              <w:rPr>
                <w:lang w:val="en-CA"/>
              </w:rPr>
            </w:pPr>
            <w:r w:rsidRPr="00BC081A">
              <w:rPr>
                <w:lang w:val="en-CA"/>
              </w:rPr>
              <w:t>26</w:t>
            </w:r>
          </w:p>
        </w:tc>
        <w:tc>
          <w:tcPr>
            <w:tcW w:w="1276" w:type="dxa"/>
            <w:shd w:val="clear" w:color="000000" w:fill="FFFFFF"/>
            <w:noWrap/>
            <w:vAlign w:val="bottom"/>
          </w:tcPr>
          <w:p w14:paraId="7F428FC3"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3792260C" w14:textId="77777777" w:rsidR="00536F6A" w:rsidRPr="00BC081A" w:rsidRDefault="00536F6A" w:rsidP="00E24EF0">
            <w:pPr>
              <w:pStyle w:val="TableContext"/>
              <w:rPr>
                <w:lang w:val="en-CA"/>
              </w:rPr>
            </w:pPr>
            <w:r w:rsidRPr="00BC081A">
              <w:rPr>
                <w:lang w:val="en-CA"/>
              </w:rPr>
              <w:t xml:space="preserve">Webster and </w:t>
            </w:r>
            <w:proofErr w:type="spellStart"/>
            <w:r w:rsidRPr="00BC081A">
              <w:rPr>
                <w:lang w:val="en-CA"/>
              </w:rPr>
              <w:t>Ahuja</w:t>
            </w:r>
            <w:proofErr w:type="spellEnd"/>
            <w:r w:rsidRPr="00BC081A">
              <w:rPr>
                <w:lang w:val="en-CA"/>
              </w:rPr>
              <w:t xml:space="preserve"> (2006)</w:t>
            </w:r>
          </w:p>
        </w:tc>
        <w:tc>
          <w:tcPr>
            <w:tcW w:w="2977" w:type="dxa"/>
            <w:shd w:val="clear" w:color="000000" w:fill="FFFFFF"/>
          </w:tcPr>
          <w:p w14:paraId="7CCA7E16" w14:textId="77777777" w:rsidR="00536F6A" w:rsidRPr="00BC081A" w:rsidRDefault="00536F6A" w:rsidP="00E24EF0">
            <w:pPr>
              <w:pStyle w:val="TableContext"/>
              <w:rPr>
                <w:lang w:val="en-CA"/>
              </w:rPr>
            </w:pPr>
            <w:r w:rsidRPr="00BC081A">
              <w:rPr>
                <w:lang w:val="en-CA"/>
              </w:rPr>
              <w:t>Web Browsing</w:t>
            </w:r>
          </w:p>
        </w:tc>
      </w:tr>
      <w:tr w:rsidR="00536F6A" w:rsidRPr="00BC081A" w14:paraId="63C1E48E" w14:textId="77777777" w:rsidTr="00E24EF0">
        <w:trPr>
          <w:trHeight w:val="303"/>
          <w:tblHeader/>
        </w:trPr>
        <w:tc>
          <w:tcPr>
            <w:tcW w:w="817" w:type="dxa"/>
            <w:shd w:val="clear" w:color="auto" w:fill="DDD9C3" w:themeFill="background2" w:themeFillShade="E6"/>
            <w:noWrap/>
            <w:vAlign w:val="bottom"/>
          </w:tcPr>
          <w:p w14:paraId="55EF09A2" w14:textId="77777777" w:rsidR="00536F6A" w:rsidRPr="00BC081A" w:rsidRDefault="00536F6A" w:rsidP="00E24EF0">
            <w:pPr>
              <w:pStyle w:val="TableContext"/>
              <w:rPr>
                <w:lang w:val="en-CA"/>
              </w:rPr>
            </w:pPr>
            <w:r w:rsidRPr="00BC081A">
              <w:rPr>
                <w:lang w:val="en-CA"/>
              </w:rPr>
              <w:t>27</w:t>
            </w:r>
          </w:p>
        </w:tc>
        <w:tc>
          <w:tcPr>
            <w:tcW w:w="1276" w:type="dxa"/>
            <w:shd w:val="clear" w:color="000000" w:fill="FFFFFF"/>
            <w:noWrap/>
            <w:vAlign w:val="bottom"/>
          </w:tcPr>
          <w:p w14:paraId="4E51732D"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25BC71B2" w14:textId="77777777" w:rsidR="00536F6A" w:rsidRPr="00BC081A" w:rsidRDefault="00536F6A" w:rsidP="00E24EF0">
            <w:pPr>
              <w:pStyle w:val="TableContext"/>
              <w:rPr>
                <w:lang w:val="en-CA"/>
              </w:rPr>
            </w:pPr>
            <w:r w:rsidRPr="00BC081A">
              <w:rPr>
                <w:lang w:val="en-CA"/>
              </w:rPr>
              <w:t>Tung et al. (2006)</w:t>
            </w:r>
          </w:p>
        </w:tc>
        <w:tc>
          <w:tcPr>
            <w:tcW w:w="2977" w:type="dxa"/>
            <w:shd w:val="clear" w:color="000000" w:fill="FFFFFF"/>
          </w:tcPr>
          <w:p w14:paraId="4962862A" w14:textId="77777777" w:rsidR="00536F6A" w:rsidRPr="00BC081A" w:rsidRDefault="00536F6A" w:rsidP="00E24EF0">
            <w:pPr>
              <w:pStyle w:val="TableContext"/>
              <w:rPr>
                <w:lang w:val="en-CA"/>
              </w:rPr>
            </w:pPr>
            <w:r w:rsidRPr="00BC081A">
              <w:rPr>
                <w:lang w:val="en-CA"/>
              </w:rPr>
              <w:t>Website Advertising</w:t>
            </w:r>
          </w:p>
        </w:tc>
      </w:tr>
      <w:tr w:rsidR="00536F6A" w:rsidRPr="00BC081A" w14:paraId="47E3A45A" w14:textId="77777777" w:rsidTr="00E24EF0">
        <w:trPr>
          <w:trHeight w:val="303"/>
          <w:tblHeader/>
        </w:trPr>
        <w:tc>
          <w:tcPr>
            <w:tcW w:w="817" w:type="dxa"/>
            <w:shd w:val="clear" w:color="auto" w:fill="DDD9C3" w:themeFill="background2" w:themeFillShade="E6"/>
            <w:noWrap/>
            <w:vAlign w:val="bottom"/>
          </w:tcPr>
          <w:p w14:paraId="2069F9A0" w14:textId="77777777" w:rsidR="00536F6A" w:rsidRPr="00BC081A" w:rsidRDefault="00536F6A" w:rsidP="00E24EF0">
            <w:pPr>
              <w:pStyle w:val="TableContext"/>
              <w:rPr>
                <w:lang w:val="en-CA"/>
              </w:rPr>
            </w:pPr>
            <w:r w:rsidRPr="00BC081A">
              <w:rPr>
                <w:lang w:val="en-CA"/>
              </w:rPr>
              <w:t>28</w:t>
            </w:r>
          </w:p>
        </w:tc>
        <w:tc>
          <w:tcPr>
            <w:tcW w:w="1276" w:type="dxa"/>
            <w:shd w:val="clear" w:color="000000" w:fill="FFFFFF"/>
            <w:noWrap/>
            <w:vAlign w:val="bottom"/>
          </w:tcPr>
          <w:p w14:paraId="1C9A2108"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5FF1E255" w14:textId="77777777" w:rsidR="00536F6A" w:rsidRPr="00BC081A" w:rsidRDefault="00536F6A" w:rsidP="00E24EF0">
            <w:pPr>
              <w:pStyle w:val="TableContext"/>
              <w:rPr>
                <w:lang w:val="en-CA"/>
              </w:rPr>
            </w:pPr>
            <w:r w:rsidRPr="00BC081A">
              <w:rPr>
                <w:lang w:val="en-CA"/>
              </w:rPr>
              <w:t>Trevino et al. (2000)</w:t>
            </w:r>
          </w:p>
        </w:tc>
        <w:tc>
          <w:tcPr>
            <w:tcW w:w="2977" w:type="dxa"/>
            <w:shd w:val="clear" w:color="000000" w:fill="FFFFFF"/>
          </w:tcPr>
          <w:p w14:paraId="5D84BA15" w14:textId="77777777" w:rsidR="00536F6A" w:rsidRPr="00BC081A" w:rsidRDefault="00536F6A" w:rsidP="00E24EF0">
            <w:pPr>
              <w:pStyle w:val="TableContext"/>
              <w:rPr>
                <w:lang w:val="en-CA"/>
              </w:rPr>
            </w:pPr>
            <w:r w:rsidRPr="00BC081A">
              <w:rPr>
                <w:lang w:val="en-CA"/>
              </w:rPr>
              <w:t>Media Attitude</w:t>
            </w:r>
          </w:p>
        </w:tc>
      </w:tr>
      <w:tr w:rsidR="00536F6A" w:rsidRPr="00BC081A" w14:paraId="298A15D2" w14:textId="77777777" w:rsidTr="00E24EF0">
        <w:trPr>
          <w:trHeight w:val="303"/>
          <w:tblHeader/>
        </w:trPr>
        <w:tc>
          <w:tcPr>
            <w:tcW w:w="817" w:type="dxa"/>
            <w:shd w:val="clear" w:color="auto" w:fill="DDD9C3" w:themeFill="background2" w:themeFillShade="E6"/>
            <w:noWrap/>
            <w:vAlign w:val="bottom"/>
          </w:tcPr>
          <w:p w14:paraId="0324D9AE" w14:textId="77777777" w:rsidR="00536F6A" w:rsidRPr="00BC081A" w:rsidRDefault="00536F6A" w:rsidP="00E24EF0">
            <w:pPr>
              <w:pStyle w:val="TableContext"/>
              <w:rPr>
                <w:lang w:val="en-CA"/>
              </w:rPr>
            </w:pPr>
            <w:r w:rsidRPr="00BC081A">
              <w:rPr>
                <w:lang w:val="en-CA"/>
              </w:rPr>
              <w:t>29</w:t>
            </w:r>
          </w:p>
        </w:tc>
        <w:tc>
          <w:tcPr>
            <w:tcW w:w="1276" w:type="dxa"/>
            <w:shd w:val="clear" w:color="000000" w:fill="FFFFFF"/>
            <w:noWrap/>
            <w:vAlign w:val="bottom"/>
          </w:tcPr>
          <w:p w14:paraId="37BF988A" w14:textId="77777777" w:rsidR="00536F6A" w:rsidRPr="00BC081A" w:rsidRDefault="00536F6A" w:rsidP="00E24EF0">
            <w:pPr>
              <w:pStyle w:val="TableContext"/>
              <w:rPr>
                <w:lang w:val="en-CA"/>
              </w:rPr>
            </w:pPr>
            <w:r w:rsidRPr="00BC081A">
              <w:rPr>
                <w:lang w:val="en-CA"/>
              </w:rPr>
              <w:t>3</w:t>
            </w:r>
          </w:p>
        </w:tc>
        <w:tc>
          <w:tcPr>
            <w:tcW w:w="3118" w:type="dxa"/>
            <w:shd w:val="clear" w:color="000000" w:fill="FFFFFF"/>
            <w:vAlign w:val="bottom"/>
          </w:tcPr>
          <w:p w14:paraId="4C4BC60B" w14:textId="77777777" w:rsidR="00536F6A" w:rsidRPr="00BC081A" w:rsidRDefault="00536F6A" w:rsidP="00E24EF0">
            <w:pPr>
              <w:pStyle w:val="TableContext"/>
              <w:rPr>
                <w:lang w:val="en-CA"/>
              </w:rPr>
            </w:pPr>
            <w:r w:rsidRPr="00BC081A">
              <w:rPr>
                <w:lang w:val="en-CA"/>
              </w:rPr>
              <w:t>Lee (2009)</w:t>
            </w:r>
          </w:p>
        </w:tc>
        <w:tc>
          <w:tcPr>
            <w:tcW w:w="2977" w:type="dxa"/>
            <w:shd w:val="clear" w:color="000000" w:fill="FFFFFF"/>
          </w:tcPr>
          <w:p w14:paraId="11F971A9" w14:textId="77777777" w:rsidR="00536F6A" w:rsidRPr="00BC081A" w:rsidRDefault="00536F6A" w:rsidP="00E24EF0">
            <w:pPr>
              <w:pStyle w:val="TableContext"/>
              <w:rPr>
                <w:lang w:val="en-CA"/>
              </w:rPr>
            </w:pPr>
            <w:r w:rsidRPr="00BC081A">
              <w:rPr>
                <w:lang w:val="en-CA"/>
              </w:rPr>
              <w:t>Online Gaming</w:t>
            </w:r>
          </w:p>
        </w:tc>
      </w:tr>
      <w:tr w:rsidR="00536F6A" w:rsidRPr="00BC081A" w14:paraId="33BCEA06" w14:textId="77777777" w:rsidTr="00E24EF0">
        <w:trPr>
          <w:trHeight w:val="303"/>
          <w:tblHeader/>
        </w:trPr>
        <w:tc>
          <w:tcPr>
            <w:tcW w:w="817" w:type="dxa"/>
            <w:shd w:val="clear" w:color="auto" w:fill="DDD9C3" w:themeFill="background2" w:themeFillShade="E6"/>
            <w:noWrap/>
            <w:vAlign w:val="bottom"/>
          </w:tcPr>
          <w:p w14:paraId="3173E053" w14:textId="77777777" w:rsidR="00536F6A" w:rsidRPr="00BC081A" w:rsidRDefault="00536F6A" w:rsidP="00E24EF0">
            <w:pPr>
              <w:pStyle w:val="TableContext"/>
              <w:rPr>
                <w:lang w:val="en-CA"/>
              </w:rPr>
            </w:pPr>
            <w:r w:rsidRPr="00BC081A">
              <w:rPr>
                <w:lang w:val="en-CA"/>
              </w:rPr>
              <w:t>30</w:t>
            </w:r>
          </w:p>
        </w:tc>
        <w:tc>
          <w:tcPr>
            <w:tcW w:w="1276" w:type="dxa"/>
            <w:shd w:val="clear" w:color="000000" w:fill="FFFFFF"/>
            <w:noWrap/>
            <w:vAlign w:val="bottom"/>
          </w:tcPr>
          <w:p w14:paraId="45718B1F"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2FF2FC3B" w14:textId="77777777" w:rsidR="00536F6A" w:rsidRPr="00BC081A" w:rsidRDefault="00536F6A" w:rsidP="00E24EF0">
            <w:pPr>
              <w:pStyle w:val="TableContext"/>
              <w:rPr>
                <w:lang w:val="en-CA"/>
              </w:rPr>
            </w:pPr>
            <w:r w:rsidRPr="00BC081A">
              <w:rPr>
                <w:lang w:val="en-CA"/>
              </w:rPr>
              <w:t>Lu et al. (2009)</w:t>
            </w:r>
          </w:p>
        </w:tc>
        <w:tc>
          <w:tcPr>
            <w:tcW w:w="2977" w:type="dxa"/>
            <w:shd w:val="clear" w:color="000000" w:fill="FFFFFF"/>
          </w:tcPr>
          <w:p w14:paraId="17C3205A" w14:textId="77777777" w:rsidR="00536F6A" w:rsidRPr="00BC081A" w:rsidRDefault="00536F6A" w:rsidP="00E24EF0">
            <w:pPr>
              <w:pStyle w:val="TableContext"/>
              <w:rPr>
                <w:lang w:val="en-CA"/>
              </w:rPr>
            </w:pPr>
            <w:r w:rsidRPr="00BC081A">
              <w:rPr>
                <w:lang w:val="en-CA"/>
              </w:rPr>
              <w:t>IM use (Chinese context)</w:t>
            </w:r>
          </w:p>
        </w:tc>
      </w:tr>
      <w:tr w:rsidR="00536F6A" w:rsidRPr="00BC081A" w14:paraId="044DFC65" w14:textId="77777777" w:rsidTr="00E24EF0">
        <w:trPr>
          <w:trHeight w:val="303"/>
          <w:tblHeader/>
        </w:trPr>
        <w:tc>
          <w:tcPr>
            <w:tcW w:w="817" w:type="dxa"/>
            <w:shd w:val="clear" w:color="auto" w:fill="DDD9C3" w:themeFill="background2" w:themeFillShade="E6"/>
            <w:noWrap/>
            <w:vAlign w:val="bottom"/>
          </w:tcPr>
          <w:p w14:paraId="716AAD09" w14:textId="77777777" w:rsidR="00536F6A" w:rsidRPr="00BC081A" w:rsidRDefault="00536F6A" w:rsidP="00E24EF0">
            <w:pPr>
              <w:pStyle w:val="TableContext"/>
              <w:rPr>
                <w:lang w:val="en-CA"/>
              </w:rPr>
            </w:pPr>
            <w:r w:rsidRPr="00BC081A">
              <w:rPr>
                <w:lang w:val="en-CA"/>
              </w:rPr>
              <w:t>31</w:t>
            </w:r>
          </w:p>
        </w:tc>
        <w:tc>
          <w:tcPr>
            <w:tcW w:w="1276" w:type="dxa"/>
            <w:shd w:val="clear" w:color="000000" w:fill="FFFFFF"/>
            <w:noWrap/>
            <w:vAlign w:val="bottom"/>
          </w:tcPr>
          <w:p w14:paraId="247D2FB4"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719BC290" w14:textId="77777777" w:rsidR="00536F6A" w:rsidRPr="00BC081A" w:rsidRDefault="00536F6A" w:rsidP="00E24EF0">
            <w:pPr>
              <w:pStyle w:val="TableContext"/>
              <w:rPr>
                <w:lang w:val="en-CA"/>
              </w:rPr>
            </w:pPr>
            <w:r w:rsidRPr="00BC081A">
              <w:rPr>
                <w:lang w:val="en-CA"/>
              </w:rPr>
              <w:t>Lee (2010)*</w:t>
            </w:r>
          </w:p>
        </w:tc>
        <w:tc>
          <w:tcPr>
            <w:tcW w:w="2977" w:type="dxa"/>
            <w:shd w:val="clear" w:color="000000" w:fill="FFFFFF"/>
          </w:tcPr>
          <w:p w14:paraId="7F83F4A9" w14:textId="77777777" w:rsidR="00536F6A" w:rsidRPr="00BC081A" w:rsidRDefault="00536F6A" w:rsidP="00E24EF0">
            <w:pPr>
              <w:pStyle w:val="TableContext"/>
              <w:rPr>
                <w:lang w:val="en-CA"/>
              </w:rPr>
            </w:pPr>
            <w:proofErr w:type="gramStart"/>
            <w:r w:rsidRPr="00BC081A">
              <w:rPr>
                <w:lang w:val="en-CA"/>
              </w:rPr>
              <w:t>e</w:t>
            </w:r>
            <w:proofErr w:type="gramEnd"/>
            <w:r w:rsidRPr="00BC081A">
              <w:rPr>
                <w:lang w:val="en-CA"/>
              </w:rPr>
              <w:t>-Learning</w:t>
            </w:r>
          </w:p>
        </w:tc>
      </w:tr>
      <w:tr w:rsidR="00536F6A" w:rsidRPr="00BC081A" w14:paraId="5E8E1B07" w14:textId="77777777" w:rsidTr="00E24EF0">
        <w:trPr>
          <w:trHeight w:val="303"/>
          <w:tblHeader/>
        </w:trPr>
        <w:tc>
          <w:tcPr>
            <w:tcW w:w="817" w:type="dxa"/>
            <w:shd w:val="clear" w:color="auto" w:fill="DDD9C3" w:themeFill="background2" w:themeFillShade="E6"/>
            <w:noWrap/>
            <w:vAlign w:val="bottom"/>
          </w:tcPr>
          <w:p w14:paraId="3ED8720D" w14:textId="77777777" w:rsidR="00536F6A" w:rsidRPr="00BC081A" w:rsidRDefault="00536F6A" w:rsidP="00E24EF0">
            <w:pPr>
              <w:pStyle w:val="TableContext"/>
              <w:rPr>
                <w:lang w:val="en-CA"/>
              </w:rPr>
            </w:pPr>
            <w:r w:rsidRPr="00BC081A">
              <w:rPr>
                <w:lang w:val="en-CA"/>
              </w:rPr>
              <w:t>32</w:t>
            </w:r>
          </w:p>
        </w:tc>
        <w:tc>
          <w:tcPr>
            <w:tcW w:w="1276" w:type="dxa"/>
            <w:shd w:val="clear" w:color="000000" w:fill="FFFFFF"/>
            <w:noWrap/>
            <w:vAlign w:val="bottom"/>
          </w:tcPr>
          <w:p w14:paraId="109C41E1" w14:textId="77777777" w:rsidR="00536F6A" w:rsidRPr="00BC081A" w:rsidRDefault="00536F6A" w:rsidP="00E24EF0">
            <w:pPr>
              <w:pStyle w:val="TableContext"/>
              <w:rPr>
                <w:lang w:val="en-CA"/>
              </w:rPr>
            </w:pPr>
            <w:r w:rsidRPr="00BC081A">
              <w:rPr>
                <w:lang w:val="en-CA"/>
              </w:rPr>
              <w:t>1</w:t>
            </w:r>
          </w:p>
        </w:tc>
        <w:tc>
          <w:tcPr>
            <w:tcW w:w="3118" w:type="dxa"/>
            <w:shd w:val="clear" w:color="000000" w:fill="FFFFFF"/>
            <w:vAlign w:val="bottom"/>
          </w:tcPr>
          <w:p w14:paraId="55981075" w14:textId="77777777" w:rsidR="00536F6A" w:rsidRPr="00BC081A" w:rsidRDefault="00536F6A" w:rsidP="00E24EF0">
            <w:pPr>
              <w:pStyle w:val="TableContext"/>
              <w:rPr>
                <w:lang w:val="en-CA"/>
              </w:rPr>
            </w:pPr>
            <w:r w:rsidRPr="00BC081A">
              <w:rPr>
                <w:lang w:val="en-CA"/>
              </w:rPr>
              <w:t>Sicilia and Ruiz (2007)</w:t>
            </w:r>
          </w:p>
        </w:tc>
        <w:tc>
          <w:tcPr>
            <w:tcW w:w="2977" w:type="dxa"/>
            <w:shd w:val="clear" w:color="000000" w:fill="FFFFFF"/>
          </w:tcPr>
          <w:p w14:paraId="45BC296D" w14:textId="77777777" w:rsidR="00536F6A" w:rsidRPr="00BC081A" w:rsidRDefault="00536F6A" w:rsidP="00E24EF0">
            <w:pPr>
              <w:pStyle w:val="TableContext"/>
              <w:rPr>
                <w:lang w:val="en-CA"/>
              </w:rPr>
            </w:pPr>
            <w:r w:rsidRPr="00BC081A">
              <w:rPr>
                <w:lang w:val="en-CA"/>
              </w:rPr>
              <w:t>Online shopping</w:t>
            </w:r>
          </w:p>
        </w:tc>
      </w:tr>
      <w:tr w:rsidR="00536F6A" w:rsidRPr="00BC081A" w14:paraId="752E2075" w14:textId="77777777" w:rsidTr="00E24EF0">
        <w:trPr>
          <w:trHeight w:val="303"/>
          <w:tblHeader/>
        </w:trPr>
        <w:tc>
          <w:tcPr>
            <w:tcW w:w="817" w:type="dxa"/>
            <w:shd w:val="clear" w:color="auto" w:fill="DDD9C3" w:themeFill="background2" w:themeFillShade="E6"/>
            <w:noWrap/>
            <w:vAlign w:val="bottom"/>
          </w:tcPr>
          <w:p w14:paraId="0CAFD2FB" w14:textId="77777777" w:rsidR="00536F6A" w:rsidRPr="00BC081A" w:rsidRDefault="00536F6A" w:rsidP="00E24EF0">
            <w:pPr>
              <w:pStyle w:val="TableContext"/>
              <w:rPr>
                <w:lang w:val="en-CA"/>
              </w:rPr>
            </w:pPr>
            <w:r w:rsidRPr="00BC081A">
              <w:rPr>
                <w:lang w:val="en-CA"/>
              </w:rPr>
              <w:t>33</w:t>
            </w:r>
          </w:p>
        </w:tc>
        <w:tc>
          <w:tcPr>
            <w:tcW w:w="1276" w:type="dxa"/>
            <w:shd w:val="clear" w:color="000000" w:fill="FFFFFF"/>
            <w:noWrap/>
            <w:vAlign w:val="bottom"/>
          </w:tcPr>
          <w:p w14:paraId="503DAF30"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6976B3A1" w14:textId="77777777" w:rsidR="00536F6A" w:rsidRPr="00BC081A" w:rsidRDefault="00536F6A" w:rsidP="00E24EF0">
            <w:pPr>
              <w:pStyle w:val="TableContext"/>
              <w:rPr>
                <w:lang w:val="en-CA"/>
              </w:rPr>
            </w:pPr>
            <w:r w:rsidRPr="00BC081A">
              <w:rPr>
                <w:lang w:val="en-CA"/>
              </w:rPr>
              <w:t>Zhou (2011a)</w:t>
            </w:r>
          </w:p>
        </w:tc>
        <w:tc>
          <w:tcPr>
            <w:tcW w:w="2977" w:type="dxa"/>
            <w:shd w:val="clear" w:color="000000" w:fill="FFFFFF"/>
          </w:tcPr>
          <w:p w14:paraId="09D6169C" w14:textId="77777777" w:rsidR="00536F6A" w:rsidRPr="00BC081A" w:rsidRDefault="00536F6A" w:rsidP="00E24EF0">
            <w:pPr>
              <w:pStyle w:val="TableContext"/>
              <w:rPr>
                <w:lang w:val="en-CA"/>
              </w:rPr>
            </w:pPr>
            <w:r w:rsidRPr="00BC081A">
              <w:rPr>
                <w:lang w:val="en-CA"/>
              </w:rPr>
              <w:t>Mobile Purchase</w:t>
            </w:r>
          </w:p>
        </w:tc>
      </w:tr>
      <w:tr w:rsidR="00536F6A" w:rsidRPr="00BC081A" w14:paraId="31C2E585" w14:textId="77777777" w:rsidTr="00E24EF0">
        <w:trPr>
          <w:trHeight w:val="303"/>
          <w:tblHeader/>
        </w:trPr>
        <w:tc>
          <w:tcPr>
            <w:tcW w:w="817" w:type="dxa"/>
            <w:shd w:val="clear" w:color="auto" w:fill="DDD9C3" w:themeFill="background2" w:themeFillShade="E6"/>
            <w:noWrap/>
            <w:vAlign w:val="bottom"/>
          </w:tcPr>
          <w:p w14:paraId="05A014C7" w14:textId="77777777" w:rsidR="00536F6A" w:rsidRPr="00BC081A" w:rsidRDefault="00536F6A" w:rsidP="00E24EF0">
            <w:pPr>
              <w:pStyle w:val="TableContext"/>
              <w:rPr>
                <w:lang w:val="en-CA"/>
              </w:rPr>
            </w:pPr>
            <w:r w:rsidRPr="00BC081A">
              <w:rPr>
                <w:lang w:val="en-CA"/>
              </w:rPr>
              <w:t>34</w:t>
            </w:r>
          </w:p>
        </w:tc>
        <w:tc>
          <w:tcPr>
            <w:tcW w:w="1276" w:type="dxa"/>
            <w:shd w:val="clear" w:color="000000" w:fill="FFFFFF"/>
            <w:noWrap/>
            <w:vAlign w:val="bottom"/>
          </w:tcPr>
          <w:p w14:paraId="6949DBE6"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5185FCF1" w14:textId="77777777" w:rsidR="00536F6A" w:rsidRPr="00BC081A" w:rsidRDefault="00536F6A" w:rsidP="00E24EF0">
            <w:pPr>
              <w:pStyle w:val="TableContext"/>
              <w:rPr>
                <w:lang w:val="en-CA"/>
              </w:rPr>
            </w:pPr>
            <w:r w:rsidRPr="00BC081A">
              <w:rPr>
                <w:lang w:val="en-CA"/>
              </w:rPr>
              <w:t>Zhou (2011b)</w:t>
            </w:r>
          </w:p>
        </w:tc>
        <w:tc>
          <w:tcPr>
            <w:tcW w:w="2977" w:type="dxa"/>
            <w:shd w:val="clear" w:color="000000" w:fill="FFFFFF"/>
          </w:tcPr>
          <w:p w14:paraId="1C458318" w14:textId="77777777" w:rsidR="00536F6A" w:rsidRPr="00BC081A" w:rsidRDefault="00536F6A" w:rsidP="00E24EF0">
            <w:pPr>
              <w:pStyle w:val="TableContext"/>
              <w:rPr>
                <w:lang w:val="en-CA"/>
              </w:rPr>
            </w:pPr>
            <w:r w:rsidRPr="00BC081A">
              <w:rPr>
                <w:lang w:val="en-CA"/>
              </w:rPr>
              <w:t>Mobile Banking</w:t>
            </w:r>
          </w:p>
        </w:tc>
      </w:tr>
      <w:tr w:rsidR="00536F6A" w:rsidRPr="00BC081A" w14:paraId="6FFF1C64" w14:textId="77777777" w:rsidTr="00E24EF0">
        <w:trPr>
          <w:trHeight w:val="303"/>
          <w:tblHeader/>
        </w:trPr>
        <w:tc>
          <w:tcPr>
            <w:tcW w:w="817" w:type="dxa"/>
            <w:shd w:val="clear" w:color="auto" w:fill="DDD9C3" w:themeFill="background2" w:themeFillShade="E6"/>
            <w:noWrap/>
            <w:vAlign w:val="bottom"/>
          </w:tcPr>
          <w:p w14:paraId="1CEBE2D4" w14:textId="77777777" w:rsidR="00536F6A" w:rsidRPr="00BC081A" w:rsidRDefault="00536F6A" w:rsidP="00E24EF0">
            <w:pPr>
              <w:pStyle w:val="TableContext"/>
              <w:rPr>
                <w:lang w:val="en-CA"/>
              </w:rPr>
            </w:pPr>
            <w:r w:rsidRPr="00BC081A">
              <w:rPr>
                <w:lang w:val="en-CA"/>
              </w:rPr>
              <w:t>35</w:t>
            </w:r>
          </w:p>
        </w:tc>
        <w:tc>
          <w:tcPr>
            <w:tcW w:w="1276" w:type="dxa"/>
            <w:shd w:val="clear" w:color="000000" w:fill="FFFFFF"/>
            <w:noWrap/>
            <w:vAlign w:val="bottom"/>
          </w:tcPr>
          <w:p w14:paraId="2069ABBF"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10EE71DE" w14:textId="77777777" w:rsidR="00536F6A" w:rsidRPr="00BC081A" w:rsidRDefault="00536F6A" w:rsidP="00E24EF0">
            <w:pPr>
              <w:pStyle w:val="TableContext"/>
              <w:rPr>
                <w:lang w:val="en-CA"/>
              </w:rPr>
            </w:pPr>
            <w:r w:rsidRPr="00BC081A">
              <w:rPr>
                <w:lang w:val="en-CA"/>
              </w:rPr>
              <w:t>Sanchez-Franco and Ray (2006)</w:t>
            </w:r>
          </w:p>
        </w:tc>
        <w:tc>
          <w:tcPr>
            <w:tcW w:w="2977" w:type="dxa"/>
            <w:shd w:val="clear" w:color="000000" w:fill="FFFFFF"/>
          </w:tcPr>
          <w:p w14:paraId="2692FCF5" w14:textId="77777777" w:rsidR="00536F6A" w:rsidRPr="00BC081A" w:rsidRDefault="00536F6A" w:rsidP="00E24EF0">
            <w:pPr>
              <w:pStyle w:val="TableContext"/>
              <w:rPr>
                <w:lang w:val="en-CA"/>
              </w:rPr>
            </w:pPr>
            <w:r w:rsidRPr="00BC081A">
              <w:rPr>
                <w:lang w:val="en-CA"/>
              </w:rPr>
              <w:t>Web Use</w:t>
            </w:r>
          </w:p>
        </w:tc>
      </w:tr>
      <w:tr w:rsidR="00536F6A" w:rsidRPr="00BC081A" w14:paraId="2622B789" w14:textId="77777777" w:rsidTr="00E24EF0">
        <w:trPr>
          <w:trHeight w:val="303"/>
          <w:tblHeader/>
        </w:trPr>
        <w:tc>
          <w:tcPr>
            <w:tcW w:w="817" w:type="dxa"/>
            <w:shd w:val="clear" w:color="auto" w:fill="DDD9C3" w:themeFill="background2" w:themeFillShade="E6"/>
            <w:noWrap/>
            <w:vAlign w:val="bottom"/>
          </w:tcPr>
          <w:p w14:paraId="28F11CEB" w14:textId="77777777" w:rsidR="00536F6A" w:rsidRPr="00BC081A" w:rsidRDefault="00536F6A" w:rsidP="00E24EF0">
            <w:pPr>
              <w:pStyle w:val="TableContext"/>
              <w:rPr>
                <w:lang w:val="en-CA"/>
              </w:rPr>
            </w:pPr>
            <w:r w:rsidRPr="00BC081A">
              <w:rPr>
                <w:lang w:val="en-CA"/>
              </w:rPr>
              <w:t>36</w:t>
            </w:r>
          </w:p>
        </w:tc>
        <w:tc>
          <w:tcPr>
            <w:tcW w:w="1276" w:type="dxa"/>
            <w:shd w:val="clear" w:color="000000" w:fill="FFFFFF"/>
            <w:noWrap/>
            <w:vAlign w:val="bottom"/>
          </w:tcPr>
          <w:p w14:paraId="44EF2F20"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26EFAA9B" w14:textId="77777777" w:rsidR="00536F6A" w:rsidRPr="00BC081A" w:rsidRDefault="00536F6A" w:rsidP="00E24EF0">
            <w:pPr>
              <w:pStyle w:val="TableContext"/>
              <w:rPr>
                <w:lang w:val="en-CA"/>
              </w:rPr>
            </w:pPr>
            <w:r w:rsidRPr="00BC081A">
              <w:rPr>
                <w:lang w:val="en-CA"/>
              </w:rPr>
              <w:t>Zhou (2011c)</w:t>
            </w:r>
          </w:p>
        </w:tc>
        <w:tc>
          <w:tcPr>
            <w:tcW w:w="2977" w:type="dxa"/>
            <w:shd w:val="clear" w:color="000000" w:fill="FFFFFF"/>
          </w:tcPr>
          <w:p w14:paraId="5370B6D4" w14:textId="77777777" w:rsidR="00536F6A" w:rsidRPr="00BC081A" w:rsidRDefault="00536F6A" w:rsidP="00E24EF0">
            <w:pPr>
              <w:pStyle w:val="TableContext"/>
              <w:rPr>
                <w:lang w:val="en-CA"/>
              </w:rPr>
            </w:pPr>
            <w:r w:rsidRPr="00BC081A">
              <w:rPr>
                <w:lang w:val="en-CA"/>
              </w:rPr>
              <w:t>Mobile Use</w:t>
            </w:r>
          </w:p>
        </w:tc>
      </w:tr>
      <w:tr w:rsidR="00536F6A" w:rsidRPr="00BC081A" w14:paraId="11B31166" w14:textId="77777777" w:rsidTr="00E24EF0">
        <w:trPr>
          <w:trHeight w:val="303"/>
          <w:tblHeader/>
        </w:trPr>
        <w:tc>
          <w:tcPr>
            <w:tcW w:w="817" w:type="dxa"/>
            <w:shd w:val="clear" w:color="auto" w:fill="DDD9C3" w:themeFill="background2" w:themeFillShade="E6"/>
            <w:noWrap/>
            <w:vAlign w:val="bottom"/>
          </w:tcPr>
          <w:p w14:paraId="1CE7D86A" w14:textId="77777777" w:rsidR="00536F6A" w:rsidRPr="00BC081A" w:rsidRDefault="00536F6A" w:rsidP="00E24EF0">
            <w:pPr>
              <w:pStyle w:val="TableContext"/>
              <w:rPr>
                <w:lang w:val="en-CA"/>
              </w:rPr>
            </w:pPr>
            <w:r w:rsidRPr="00BC081A">
              <w:rPr>
                <w:lang w:val="en-CA"/>
              </w:rPr>
              <w:t>37</w:t>
            </w:r>
          </w:p>
        </w:tc>
        <w:tc>
          <w:tcPr>
            <w:tcW w:w="1276" w:type="dxa"/>
            <w:shd w:val="clear" w:color="000000" w:fill="FFFFFF"/>
            <w:noWrap/>
            <w:vAlign w:val="bottom"/>
          </w:tcPr>
          <w:p w14:paraId="05662597" w14:textId="77777777" w:rsidR="00536F6A" w:rsidRPr="00BC081A" w:rsidRDefault="00536F6A" w:rsidP="00E24EF0">
            <w:pPr>
              <w:pStyle w:val="TableContext"/>
              <w:rPr>
                <w:lang w:val="en-CA"/>
              </w:rPr>
            </w:pPr>
            <w:r w:rsidRPr="00BC081A">
              <w:rPr>
                <w:lang w:val="en-CA"/>
              </w:rPr>
              <w:t>4</w:t>
            </w:r>
          </w:p>
        </w:tc>
        <w:tc>
          <w:tcPr>
            <w:tcW w:w="3118" w:type="dxa"/>
            <w:shd w:val="clear" w:color="000000" w:fill="FFFFFF"/>
            <w:vAlign w:val="bottom"/>
          </w:tcPr>
          <w:p w14:paraId="3ABCC57B" w14:textId="77777777" w:rsidR="00536F6A" w:rsidRPr="00BC081A" w:rsidRDefault="00536F6A" w:rsidP="00E24EF0">
            <w:pPr>
              <w:pStyle w:val="TableContext"/>
              <w:rPr>
                <w:lang w:val="en-CA"/>
              </w:rPr>
            </w:pPr>
            <w:r w:rsidRPr="00BC081A">
              <w:rPr>
                <w:lang w:val="en-CA"/>
              </w:rPr>
              <w:t>Zhou and Lu (2011)</w:t>
            </w:r>
          </w:p>
        </w:tc>
        <w:tc>
          <w:tcPr>
            <w:tcW w:w="2977" w:type="dxa"/>
            <w:shd w:val="clear" w:color="000000" w:fill="FFFFFF"/>
          </w:tcPr>
          <w:p w14:paraId="76F0DF4A" w14:textId="77777777" w:rsidR="00536F6A" w:rsidRPr="00BC081A" w:rsidRDefault="00536F6A" w:rsidP="00E24EF0">
            <w:pPr>
              <w:pStyle w:val="TableContext"/>
              <w:rPr>
                <w:lang w:val="en-CA"/>
              </w:rPr>
            </w:pPr>
            <w:r w:rsidRPr="00BC081A">
              <w:rPr>
                <w:lang w:val="en-CA"/>
              </w:rPr>
              <w:t>Mobile Use</w:t>
            </w:r>
          </w:p>
        </w:tc>
      </w:tr>
      <w:tr w:rsidR="00536F6A" w:rsidRPr="00BC081A" w14:paraId="623B2AB3" w14:textId="77777777" w:rsidTr="00E24EF0">
        <w:trPr>
          <w:trHeight w:val="303"/>
          <w:tblHeader/>
        </w:trPr>
        <w:tc>
          <w:tcPr>
            <w:tcW w:w="8188" w:type="dxa"/>
            <w:gridSpan w:val="4"/>
            <w:tcBorders>
              <w:top w:val="single" w:sz="4" w:space="0" w:color="auto"/>
              <w:left w:val="nil"/>
              <w:bottom w:val="nil"/>
              <w:right w:val="nil"/>
            </w:tcBorders>
            <w:shd w:val="clear" w:color="auto" w:fill="auto"/>
            <w:noWrap/>
            <w:vAlign w:val="bottom"/>
          </w:tcPr>
          <w:p w14:paraId="1DAF1EBE" w14:textId="77777777" w:rsidR="00536F6A" w:rsidRPr="00BC081A" w:rsidRDefault="00536F6A" w:rsidP="00E24EF0">
            <w:pPr>
              <w:spacing w:line="240" w:lineRule="auto"/>
            </w:pPr>
            <w:r w:rsidRPr="00BC081A">
              <w:lastRenderedPageBreak/>
              <w:t xml:space="preserve">Note: Studies marked with asterisks (*) are the studies that were eliminated for the final calculations in the meta-analysis as explained earlier in the “methodology” section. </w:t>
            </w:r>
          </w:p>
        </w:tc>
      </w:tr>
    </w:tbl>
    <w:p w14:paraId="12E20067" w14:textId="77777777" w:rsidR="00536F6A" w:rsidRPr="00BC081A" w:rsidRDefault="00536F6A" w:rsidP="00536F6A">
      <w:r w:rsidRPr="00BC081A">
        <w:br w:type="textWrapping" w:clear="all"/>
      </w:r>
    </w:p>
    <w:p w14:paraId="03362E10" w14:textId="77777777" w:rsidR="00536F6A" w:rsidRPr="00BC081A" w:rsidRDefault="00536F6A" w:rsidP="00536F6A">
      <w:r w:rsidRPr="00BC081A">
        <w:t>The following table shows the information that was required for performing meta-analysis extracted from the studies mentioned in the previous table.</w:t>
      </w:r>
    </w:p>
    <w:p w14:paraId="20A5C710" w14:textId="6F9EF422" w:rsidR="002847AF" w:rsidRPr="002847AF" w:rsidRDefault="002847AF" w:rsidP="00C92D78">
      <w:pPr>
        <w:pStyle w:val="Caption"/>
      </w:pPr>
      <w:bookmarkStart w:id="136" w:name="_Toc275209775"/>
      <w:r>
        <w:t xml:space="preserve">Table </w:t>
      </w:r>
      <w:r w:rsidR="007804FF">
        <w:fldChar w:fldCharType="begin"/>
      </w:r>
      <w:r w:rsidR="007804FF">
        <w:instrText xml:space="preserve"> SEQ Table \* ARABIC </w:instrText>
      </w:r>
      <w:r w:rsidR="007804FF">
        <w:fldChar w:fldCharType="separate"/>
      </w:r>
      <w:r w:rsidR="008C71FB">
        <w:rPr>
          <w:noProof/>
        </w:rPr>
        <w:t>17</w:t>
      </w:r>
      <w:r w:rsidR="007804FF">
        <w:rPr>
          <w:noProof/>
        </w:rPr>
        <w:fldChar w:fldCharType="end"/>
      </w:r>
      <w:r>
        <w:t xml:space="preserve"> – </w:t>
      </w:r>
      <w:r w:rsidRPr="00BC081A">
        <w:t>The extracted data for the studies that were used in the final meta-analysis</w:t>
      </w:r>
      <w:bookmarkEnd w:id="136"/>
    </w:p>
    <w:tbl>
      <w:tblPr>
        <w:tblW w:w="3962" w:type="pct"/>
        <w:jc w:val="center"/>
        <w:tblInd w:w="93" w:type="dxa"/>
        <w:tblLook w:val="04A0" w:firstRow="1" w:lastRow="0" w:firstColumn="1" w:lastColumn="0" w:noHBand="0" w:noVBand="1"/>
      </w:tblPr>
      <w:tblGrid>
        <w:gridCol w:w="1037"/>
        <w:gridCol w:w="1036"/>
        <w:gridCol w:w="1036"/>
        <w:gridCol w:w="1371"/>
        <w:gridCol w:w="1036"/>
        <w:gridCol w:w="1036"/>
        <w:gridCol w:w="1036"/>
      </w:tblGrid>
      <w:tr w:rsidR="00536F6A" w:rsidRPr="00BC081A" w14:paraId="509E2738" w14:textId="77777777" w:rsidTr="00E24EF0">
        <w:trPr>
          <w:trHeight w:val="300"/>
          <w:jc w:val="center"/>
        </w:trPr>
        <w:tc>
          <w:tcPr>
            <w:tcW w:w="1037"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1BA8974A" w14:textId="77777777" w:rsidR="00536F6A" w:rsidRPr="00BC081A" w:rsidRDefault="00536F6A" w:rsidP="00E24EF0">
            <w:pPr>
              <w:pStyle w:val="TableContext"/>
              <w:rPr>
                <w:lang w:val="en-CA"/>
              </w:rPr>
            </w:pPr>
            <w:proofErr w:type="gramStart"/>
            <w:r w:rsidRPr="00BC081A">
              <w:rPr>
                <w:lang w:val="en-CA"/>
              </w:rPr>
              <w:t>k</w:t>
            </w:r>
            <w:proofErr w:type="gramEnd"/>
          </w:p>
        </w:tc>
        <w:tc>
          <w:tcPr>
            <w:tcW w:w="1036"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2DC0C0EF" w14:textId="77777777" w:rsidR="00536F6A" w:rsidRPr="00BC081A" w:rsidRDefault="00536F6A" w:rsidP="00E24EF0">
            <w:pPr>
              <w:pStyle w:val="TableContext"/>
              <w:rPr>
                <w:lang w:val="en-CA"/>
              </w:rPr>
            </w:pPr>
            <w:proofErr w:type="gramStart"/>
            <w:r w:rsidRPr="00BC081A">
              <w:rPr>
                <w:lang w:val="en-CA"/>
              </w:rPr>
              <w:t>n</w:t>
            </w:r>
            <w:proofErr w:type="gramEnd"/>
          </w:p>
        </w:tc>
        <w:tc>
          <w:tcPr>
            <w:tcW w:w="1036"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56B65C80" w14:textId="77777777" w:rsidR="00536F6A" w:rsidRPr="00BC081A" w:rsidRDefault="00536F6A" w:rsidP="00E24EF0">
            <w:pPr>
              <w:pStyle w:val="TableContext"/>
              <w:rPr>
                <w:lang w:val="en-CA"/>
              </w:rPr>
            </w:pPr>
            <w:proofErr w:type="gramStart"/>
            <w:r w:rsidRPr="00BC081A">
              <w:rPr>
                <w:lang w:val="en-CA"/>
              </w:rPr>
              <w:t>r</w:t>
            </w:r>
            <w:proofErr w:type="gramEnd"/>
            <w:r w:rsidRPr="00BC081A">
              <w:rPr>
                <w:lang w:val="en-CA"/>
              </w:rPr>
              <w:t xml:space="preserve"> (ATT)</w:t>
            </w:r>
          </w:p>
        </w:tc>
        <w:tc>
          <w:tcPr>
            <w:tcW w:w="1371"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2D0785E0" w14:textId="77777777" w:rsidR="00536F6A" w:rsidRPr="00BC081A" w:rsidRDefault="00536F6A" w:rsidP="00E24EF0">
            <w:pPr>
              <w:pStyle w:val="TableContext"/>
              <w:rPr>
                <w:lang w:val="en-CA"/>
              </w:rPr>
            </w:pPr>
            <w:proofErr w:type="gramStart"/>
            <w:r w:rsidRPr="00BC081A">
              <w:rPr>
                <w:lang w:val="en-CA"/>
              </w:rPr>
              <w:t>r</w:t>
            </w:r>
            <w:proofErr w:type="gramEnd"/>
            <w:r w:rsidRPr="00BC081A">
              <w:rPr>
                <w:lang w:val="en-CA"/>
              </w:rPr>
              <w:t xml:space="preserve"> (INT)</w:t>
            </w:r>
          </w:p>
        </w:tc>
        <w:tc>
          <w:tcPr>
            <w:tcW w:w="1036"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14A7A105" w14:textId="77777777" w:rsidR="00536F6A" w:rsidRPr="00BC081A" w:rsidRDefault="00536F6A" w:rsidP="00E24EF0">
            <w:pPr>
              <w:pStyle w:val="TableContext"/>
              <w:rPr>
                <w:lang w:val="en-CA"/>
              </w:rPr>
            </w:pPr>
            <w:proofErr w:type="gramStart"/>
            <w:r w:rsidRPr="00BC081A">
              <w:rPr>
                <w:lang w:val="en-CA"/>
              </w:rPr>
              <w:t>flow</w:t>
            </w:r>
            <w:proofErr w:type="gramEnd"/>
            <w:r w:rsidRPr="00BC081A">
              <w:rPr>
                <w:lang w:val="en-CA"/>
              </w:rPr>
              <w:t xml:space="preserve"> alpha</w:t>
            </w:r>
          </w:p>
        </w:tc>
        <w:tc>
          <w:tcPr>
            <w:tcW w:w="1036"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7DD8EA98" w14:textId="77777777" w:rsidR="00536F6A" w:rsidRPr="00BC081A" w:rsidRDefault="00536F6A" w:rsidP="00E24EF0">
            <w:pPr>
              <w:pStyle w:val="TableContext"/>
              <w:rPr>
                <w:lang w:val="en-CA"/>
              </w:rPr>
            </w:pPr>
            <w:r w:rsidRPr="00BC081A">
              <w:rPr>
                <w:lang w:val="en-CA"/>
              </w:rPr>
              <w:t>ATT alpha</w:t>
            </w:r>
          </w:p>
        </w:tc>
        <w:tc>
          <w:tcPr>
            <w:tcW w:w="1036"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05ACC8C0" w14:textId="77777777" w:rsidR="00536F6A" w:rsidRPr="00BC081A" w:rsidRDefault="00536F6A" w:rsidP="00E24EF0">
            <w:pPr>
              <w:pStyle w:val="TableContext"/>
              <w:rPr>
                <w:lang w:val="en-CA"/>
              </w:rPr>
            </w:pPr>
            <w:r w:rsidRPr="00BC081A">
              <w:rPr>
                <w:lang w:val="en-CA"/>
              </w:rPr>
              <w:t>INT alpha</w:t>
            </w:r>
          </w:p>
        </w:tc>
      </w:tr>
      <w:tr w:rsidR="00536F6A" w:rsidRPr="00BC081A" w14:paraId="3DB869BA"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5E537565" w14:textId="77777777" w:rsidR="00536F6A" w:rsidRPr="00BC081A" w:rsidRDefault="00536F6A" w:rsidP="00E24EF0">
            <w:pPr>
              <w:pStyle w:val="TableContext"/>
              <w:rPr>
                <w:lang w:val="en-CA"/>
              </w:rPr>
            </w:pPr>
            <w:r w:rsidRPr="00BC081A">
              <w:rPr>
                <w:lang w:val="en-CA"/>
              </w:rPr>
              <w:t>1</w:t>
            </w:r>
          </w:p>
        </w:tc>
        <w:tc>
          <w:tcPr>
            <w:tcW w:w="1036" w:type="dxa"/>
            <w:tcBorders>
              <w:top w:val="nil"/>
              <w:left w:val="nil"/>
              <w:bottom w:val="single" w:sz="4" w:space="0" w:color="auto"/>
              <w:right w:val="single" w:sz="4" w:space="0" w:color="auto"/>
            </w:tcBorders>
            <w:shd w:val="clear" w:color="auto" w:fill="auto"/>
            <w:noWrap/>
            <w:hideMark/>
          </w:tcPr>
          <w:p w14:paraId="42CB8CAB" w14:textId="77777777" w:rsidR="00536F6A" w:rsidRPr="00BC081A" w:rsidRDefault="00536F6A" w:rsidP="00E24EF0">
            <w:pPr>
              <w:pStyle w:val="TableContext"/>
              <w:rPr>
                <w:lang w:val="en-CA"/>
              </w:rPr>
            </w:pPr>
            <w:r w:rsidRPr="00BC081A">
              <w:rPr>
                <w:lang w:val="en-CA"/>
              </w:rPr>
              <w:t>233</w:t>
            </w:r>
          </w:p>
        </w:tc>
        <w:tc>
          <w:tcPr>
            <w:tcW w:w="1036" w:type="dxa"/>
            <w:tcBorders>
              <w:top w:val="nil"/>
              <w:left w:val="nil"/>
              <w:bottom w:val="single" w:sz="4" w:space="0" w:color="auto"/>
              <w:right w:val="single" w:sz="4" w:space="0" w:color="auto"/>
            </w:tcBorders>
            <w:shd w:val="clear" w:color="auto" w:fill="auto"/>
            <w:noWrap/>
            <w:hideMark/>
          </w:tcPr>
          <w:p w14:paraId="15E041F5" w14:textId="77777777" w:rsidR="00536F6A" w:rsidRPr="00BC081A" w:rsidRDefault="00536F6A" w:rsidP="00E24EF0">
            <w:pPr>
              <w:pStyle w:val="TableContext"/>
              <w:rPr>
                <w:lang w:val="en-CA"/>
              </w:rPr>
            </w:pPr>
            <w:r w:rsidRPr="00BC081A">
              <w:rPr>
                <w:lang w:val="en-CA"/>
              </w:rPr>
              <w:t>0.2</w:t>
            </w:r>
          </w:p>
        </w:tc>
        <w:tc>
          <w:tcPr>
            <w:tcW w:w="1371" w:type="dxa"/>
            <w:tcBorders>
              <w:top w:val="nil"/>
              <w:left w:val="nil"/>
              <w:bottom w:val="single" w:sz="4" w:space="0" w:color="auto"/>
              <w:right w:val="single" w:sz="4" w:space="0" w:color="auto"/>
            </w:tcBorders>
            <w:shd w:val="clear" w:color="auto" w:fill="auto"/>
            <w:noWrap/>
            <w:hideMark/>
          </w:tcPr>
          <w:p w14:paraId="574F1291" w14:textId="77777777" w:rsidR="00536F6A" w:rsidRPr="00BC081A" w:rsidRDefault="00536F6A" w:rsidP="00E24EF0">
            <w:pPr>
              <w:pStyle w:val="TableContext"/>
              <w:rPr>
                <w:lang w:val="en-CA"/>
              </w:rPr>
            </w:pPr>
            <w:r w:rsidRPr="00BC081A">
              <w:rPr>
                <w:lang w:val="en-CA"/>
              </w:rPr>
              <w:t>0.28</w:t>
            </w:r>
          </w:p>
        </w:tc>
        <w:tc>
          <w:tcPr>
            <w:tcW w:w="1036" w:type="dxa"/>
            <w:tcBorders>
              <w:top w:val="nil"/>
              <w:left w:val="nil"/>
              <w:bottom w:val="single" w:sz="4" w:space="0" w:color="auto"/>
              <w:right w:val="single" w:sz="4" w:space="0" w:color="auto"/>
            </w:tcBorders>
            <w:shd w:val="clear" w:color="auto" w:fill="auto"/>
            <w:noWrap/>
            <w:hideMark/>
          </w:tcPr>
          <w:p w14:paraId="0F883838" w14:textId="77777777" w:rsidR="00536F6A" w:rsidRPr="00BC081A" w:rsidRDefault="00536F6A" w:rsidP="00E24EF0">
            <w:pPr>
              <w:pStyle w:val="TableContext"/>
              <w:rPr>
                <w:lang w:val="en-CA"/>
              </w:rPr>
            </w:pPr>
            <w:r w:rsidRPr="00BC081A">
              <w:rPr>
                <w:lang w:val="en-CA"/>
              </w:rPr>
              <w:t>0.907</w:t>
            </w:r>
          </w:p>
        </w:tc>
        <w:tc>
          <w:tcPr>
            <w:tcW w:w="1036" w:type="dxa"/>
            <w:tcBorders>
              <w:top w:val="nil"/>
              <w:left w:val="nil"/>
              <w:bottom w:val="single" w:sz="4" w:space="0" w:color="auto"/>
              <w:right w:val="single" w:sz="4" w:space="0" w:color="auto"/>
            </w:tcBorders>
            <w:shd w:val="clear" w:color="auto" w:fill="auto"/>
            <w:noWrap/>
            <w:hideMark/>
          </w:tcPr>
          <w:p w14:paraId="77E17343" w14:textId="77777777" w:rsidR="00536F6A" w:rsidRPr="00BC081A" w:rsidRDefault="00536F6A" w:rsidP="00E24EF0">
            <w:pPr>
              <w:pStyle w:val="TableContext"/>
              <w:rPr>
                <w:lang w:val="en-CA"/>
              </w:rPr>
            </w:pPr>
            <w:r w:rsidRPr="00BC081A">
              <w:rPr>
                <w:lang w:val="en-CA"/>
              </w:rPr>
              <w:t>0.82</w:t>
            </w:r>
          </w:p>
        </w:tc>
        <w:tc>
          <w:tcPr>
            <w:tcW w:w="1036" w:type="dxa"/>
            <w:tcBorders>
              <w:top w:val="nil"/>
              <w:left w:val="nil"/>
              <w:bottom w:val="single" w:sz="4" w:space="0" w:color="auto"/>
              <w:right w:val="single" w:sz="4" w:space="0" w:color="auto"/>
            </w:tcBorders>
            <w:shd w:val="clear" w:color="auto" w:fill="auto"/>
            <w:noWrap/>
            <w:hideMark/>
          </w:tcPr>
          <w:p w14:paraId="1F0FD704" w14:textId="77777777" w:rsidR="00536F6A" w:rsidRPr="00BC081A" w:rsidRDefault="00536F6A" w:rsidP="00E24EF0">
            <w:pPr>
              <w:pStyle w:val="TableContext"/>
              <w:rPr>
                <w:lang w:val="en-CA"/>
              </w:rPr>
            </w:pPr>
            <w:r w:rsidRPr="00BC081A">
              <w:rPr>
                <w:lang w:val="en-CA"/>
              </w:rPr>
              <w:t>0.805</w:t>
            </w:r>
          </w:p>
        </w:tc>
      </w:tr>
      <w:tr w:rsidR="00536F6A" w:rsidRPr="00BC081A" w14:paraId="13287C41"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6BCE407" w14:textId="77777777" w:rsidR="00536F6A" w:rsidRPr="00BC081A" w:rsidRDefault="00536F6A" w:rsidP="00E24EF0">
            <w:pPr>
              <w:pStyle w:val="TableContext"/>
              <w:rPr>
                <w:lang w:val="en-CA"/>
              </w:rPr>
            </w:pPr>
            <w:r w:rsidRPr="00BC081A">
              <w:rPr>
                <w:lang w:val="en-CA"/>
              </w:rPr>
              <w:t>2</w:t>
            </w:r>
          </w:p>
        </w:tc>
        <w:tc>
          <w:tcPr>
            <w:tcW w:w="1036" w:type="dxa"/>
            <w:tcBorders>
              <w:top w:val="nil"/>
              <w:left w:val="nil"/>
              <w:bottom w:val="single" w:sz="4" w:space="0" w:color="auto"/>
              <w:right w:val="single" w:sz="4" w:space="0" w:color="auto"/>
            </w:tcBorders>
            <w:shd w:val="clear" w:color="auto" w:fill="auto"/>
            <w:noWrap/>
            <w:hideMark/>
          </w:tcPr>
          <w:p w14:paraId="7784CA1D" w14:textId="77777777" w:rsidR="00536F6A" w:rsidRPr="00BC081A" w:rsidRDefault="00536F6A" w:rsidP="00E24EF0">
            <w:pPr>
              <w:pStyle w:val="TableContext"/>
              <w:rPr>
                <w:lang w:val="en-CA"/>
              </w:rPr>
            </w:pPr>
            <w:r w:rsidRPr="00BC081A">
              <w:rPr>
                <w:lang w:val="en-CA"/>
              </w:rPr>
              <w:t>342</w:t>
            </w:r>
          </w:p>
        </w:tc>
        <w:tc>
          <w:tcPr>
            <w:tcW w:w="1036" w:type="dxa"/>
            <w:tcBorders>
              <w:top w:val="nil"/>
              <w:left w:val="nil"/>
              <w:bottom w:val="single" w:sz="4" w:space="0" w:color="auto"/>
              <w:right w:val="single" w:sz="4" w:space="0" w:color="auto"/>
            </w:tcBorders>
            <w:shd w:val="clear" w:color="auto" w:fill="auto"/>
            <w:noWrap/>
            <w:hideMark/>
          </w:tcPr>
          <w:p w14:paraId="3C4AB81E" w14:textId="77777777" w:rsidR="00536F6A" w:rsidRPr="00BC081A" w:rsidRDefault="00536F6A" w:rsidP="00E24EF0">
            <w:pPr>
              <w:pStyle w:val="TableContext"/>
              <w:rPr>
                <w:lang w:val="en-CA"/>
              </w:rPr>
            </w:pPr>
            <w:r w:rsidRPr="00BC081A">
              <w:rPr>
                <w:lang w:val="en-CA"/>
              </w:rPr>
              <w:t>0.24</w:t>
            </w:r>
          </w:p>
        </w:tc>
        <w:tc>
          <w:tcPr>
            <w:tcW w:w="1371" w:type="dxa"/>
            <w:tcBorders>
              <w:top w:val="nil"/>
              <w:left w:val="nil"/>
              <w:bottom w:val="single" w:sz="4" w:space="0" w:color="auto"/>
              <w:right w:val="single" w:sz="4" w:space="0" w:color="auto"/>
            </w:tcBorders>
            <w:shd w:val="clear" w:color="auto" w:fill="auto"/>
            <w:noWrap/>
            <w:hideMark/>
          </w:tcPr>
          <w:p w14:paraId="19861ADC" w14:textId="77777777" w:rsidR="00536F6A" w:rsidRPr="00BC081A" w:rsidRDefault="00536F6A" w:rsidP="00E24EF0">
            <w:pPr>
              <w:pStyle w:val="TableContext"/>
              <w:rPr>
                <w:lang w:val="en-CA"/>
              </w:rPr>
            </w:pPr>
            <w:r w:rsidRPr="00BC081A">
              <w:rPr>
                <w:lang w:val="en-CA"/>
              </w:rPr>
              <w:t>0.21</w:t>
            </w:r>
          </w:p>
        </w:tc>
        <w:tc>
          <w:tcPr>
            <w:tcW w:w="1036" w:type="dxa"/>
            <w:tcBorders>
              <w:top w:val="nil"/>
              <w:left w:val="nil"/>
              <w:bottom w:val="single" w:sz="4" w:space="0" w:color="auto"/>
              <w:right w:val="single" w:sz="4" w:space="0" w:color="auto"/>
            </w:tcBorders>
            <w:shd w:val="clear" w:color="auto" w:fill="auto"/>
            <w:noWrap/>
            <w:hideMark/>
          </w:tcPr>
          <w:p w14:paraId="48C13A18" w14:textId="77777777" w:rsidR="00536F6A" w:rsidRPr="00BC081A" w:rsidRDefault="00536F6A" w:rsidP="00E24EF0">
            <w:pPr>
              <w:pStyle w:val="TableContext"/>
              <w:rPr>
                <w:lang w:val="en-CA"/>
              </w:rPr>
            </w:pPr>
            <w:r w:rsidRPr="00BC081A">
              <w:rPr>
                <w:lang w:val="en-CA"/>
              </w:rPr>
              <w:t>0.92</w:t>
            </w:r>
          </w:p>
        </w:tc>
        <w:tc>
          <w:tcPr>
            <w:tcW w:w="1036" w:type="dxa"/>
            <w:tcBorders>
              <w:top w:val="nil"/>
              <w:left w:val="nil"/>
              <w:bottom w:val="single" w:sz="4" w:space="0" w:color="auto"/>
              <w:right w:val="single" w:sz="4" w:space="0" w:color="auto"/>
            </w:tcBorders>
            <w:shd w:val="clear" w:color="auto" w:fill="auto"/>
            <w:noWrap/>
            <w:hideMark/>
          </w:tcPr>
          <w:p w14:paraId="37DE9232" w14:textId="77777777" w:rsidR="00536F6A" w:rsidRPr="00BC081A" w:rsidRDefault="00536F6A" w:rsidP="00E24EF0">
            <w:pPr>
              <w:pStyle w:val="TableContext"/>
              <w:rPr>
                <w:lang w:val="en-CA"/>
              </w:rPr>
            </w:pPr>
            <w:r w:rsidRPr="00BC081A">
              <w:rPr>
                <w:lang w:val="en-CA"/>
              </w:rPr>
              <w:t>0.89</w:t>
            </w:r>
          </w:p>
        </w:tc>
        <w:tc>
          <w:tcPr>
            <w:tcW w:w="1036" w:type="dxa"/>
            <w:tcBorders>
              <w:top w:val="nil"/>
              <w:left w:val="nil"/>
              <w:bottom w:val="single" w:sz="4" w:space="0" w:color="auto"/>
              <w:right w:val="single" w:sz="4" w:space="0" w:color="auto"/>
            </w:tcBorders>
            <w:shd w:val="clear" w:color="auto" w:fill="auto"/>
            <w:noWrap/>
            <w:hideMark/>
          </w:tcPr>
          <w:p w14:paraId="709B5C15" w14:textId="77777777" w:rsidR="00536F6A" w:rsidRPr="00BC081A" w:rsidRDefault="00536F6A" w:rsidP="00E24EF0">
            <w:pPr>
              <w:pStyle w:val="TableContext"/>
              <w:rPr>
                <w:lang w:val="en-CA"/>
              </w:rPr>
            </w:pPr>
            <w:r w:rsidRPr="00BC081A">
              <w:rPr>
                <w:lang w:val="en-CA"/>
              </w:rPr>
              <w:t>0.94</w:t>
            </w:r>
          </w:p>
        </w:tc>
      </w:tr>
      <w:tr w:rsidR="00536F6A" w:rsidRPr="00BC081A" w14:paraId="16345A88"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3338F60" w14:textId="77777777" w:rsidR="00536F6A" w:rsidRPr="00BC081A" w:rsidRDefault="00536F6A" w:rsidP="00E24EF0">
            <w:pPr>
              <w:pStyle w:val="TableContext"/>
              <w:rPr>
                <w:lang w:val="en-CA"/>
              </w:rPr>
            </w:pPr>
            <w:r w:rsidRPr="00BC081A">
              <w:rPr>
                <w:lang w:val="en-CA"/>
              </w:rPr>
              <w:t>3</w:t>
            </w:r>
          </w:p>
        </w:tc>
        <w:tc>
          <w:tcPr>
            <w:tcW w:w="1036" w:type="dxa"/>
            <w:tcBorders>
              <w:top w:val="nil"/>
              <w:left w:val="nil"/>
              <w:bottom w:val="single" w:sz="4" w:space="0" w:color="auto"/>
              <w:right w:val="single" w:sz="4" w:space="0" w:color="auto"/>
            </w:tcBorders>
            <w:shd w:val="clear" w:color="auto" w:fill="auto"/>
            <w:noWrap/>
            <w:hideMark/>
          </w:tcPr>
          <w:p w14:paraId="3C100D79" w14:textId="77777777" w:rsidR="00536F6A" w:rsidRPr="00BC081A" w:rsidRDefault="00536F6A" w:rsidP="00E24EF0">
            <w:pPr>
              <w:pStyle w:val="TableContext"/>
              <w:rPr>
                <w:lang w:val="en-CA"/>
              </w:rPr>
            </w:pPr>
            <w:r w:rsidRPr="00BC081A">
              <w:rPr>
                <w:lang w:val="en-CA"/>
              </w:rPr>
              <w:t>253</w:t>
            </w:r>
          </w:p>
        </w:tc>
        <w:tc>
          <w:tcPr>
            <w:tcW w:w="1036" w:type="dxa"/>
            <w:tcBorders>
              <w:top w:val="nil"/>
              <w:left w:val="nil"/>
              <w:bottom w:val="single" w:sz="4" w:space="0" w:color="auto"/>
              <w:right w:val="single" w:sz="4" w:space="0" w:color="auto"/>
            </w:tcBorders>
            <w:shd w:val="clear" w:color="auto" w:fill="auto"/>
            <w:noWrap/>
            <w:hideMark/>
          </w:tcPr>
          <w:p w14:paraId="4EE1AC41"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429A1686" w14:textId="77777777" w:rsidR="00536F6A" w:rsidRPr="00BC081A" w:rsidRDefault="00536F6A" w:rsidP="00E24EF0">
            <w:pPr>
              <w:pStyle w:val="TableContext"/>
              <w:rPr>
                <w:lang w:val="en-CA"/>
              </w:rPr>
            </w:pPr>
            <w:r w:rsidRPr="00BC081A">
              <w:rPr>
                <w:lang w:val="en-CA"/>
              </w:rPr>
              <w:t>0.57</w:t>
            </w:r>
          </w:p>
        </w:tc>
        <w:tc>
          <w:tcPr>
            <w:tcW w:w="1036" w:type="dxa"/>
            <w:tcBorders>
              <w:top w:val="nil"/>
              <w:left w:val="nil"/>
              <w:bottom w:val="single" w:sz="4" w:space="0" w:color="auto"/>
              <w:right w:val="single" w:sz="4" w:space="0" w:color="auto"/>
            </w:tcBorders>
            <w:shd w:val="clear" w:color="auto" w:fill="auto"/>
            <w:noWrap/>
            <w:hideMark/>
          </w:tcPr>
          <w:p w14:paraId="2C5EF583" w14:textId="77777777" w:rsidR="00536F6A" w:rsidRPr="00BC081A" w:rsidRDefault="00536F6A" w:rsidP="00E24EF0">
            <w:pPr>
              <w:pStyle w:val="TableContext"/>
              <w:rPr>
                <w:lang w:val="en-CA"/>
              </w:rPr>
            </w:pPr>
            <w:r w:rsidRPr="00BC081A">
              <w:rPr>
                <w:lang w:val="en-CA"/>
              </w:rPr>
              <w:t>0.86</w:t>
            </w:r>
          </w:p>
        </w:tc>
        <w:tc>
          <w:tcPr>
            <w:tcW w:w="1036" w:type="dxa"/>
            <w:tcBorders>
              <w:top w:val="nil"/>
              <w:left w:val="nil"/>
              <w:bottom w:val="single" w:sz="4" w:space="0" w:color="auto"/>
              <w:right w:val="single" w:sz="4" w:space="0" w:color="auto"/>
            </w:tcBorders>
            <w:shd w:val="clear" w:color="auto" w:fill="auto"/>
            <w:noWrap/>
            <w:hideMark/>
          </w:tcPr>
          <w:p w14:paraId="51FD6C78"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0237152F" w14:textId="77777777" w:rsidR="00536F6A" w:rsidRPr="00BC081A" w:rsidRDefault="00536F6A" w:rsidP="00E24EF0">
            <w:pPr>
              <w:pStyle w:val="TableContext"/>
              <w:rPr>
                <w:lang w:val="en-CA"/>
              </w:rPr>
            </w:pPr>
            <w:r w:rsidRPr="00BC081A">
              <w:rPr>
                <w:lang w:val="en-CA"/>
              </w:rPr>
              <w:t>0.91</w:t>
            </w:r>
          </w:p>
        </w:tc>
      </w:tr>
      <w:tr w:rsidR="00536F6A" w:rsidRPr="00BC081A" w14:paraId="629761F8"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7181DE8F" w14:textId="77777777" w:rsidR="00536F6A" w:rsidRPr="00BC081A" w:rsidRDefault="00536F6A" w:rsidP="00E24EF0">
            <w:pPr>
              <w:pStyle w:val="TableContext"/>
              <w:rPr>
                <w:lang w:val="en-CA"/>
              </w:rPr>
            </w:pPr>
            <w:r w:rsidRPr="00BC081A">
              <w:rPr>
                <w:lang w:val="en-CA"/>
              </w:rPr>
              <w:t>4</w:t>
            </w:r>
          </w:p>
        </w:tc>
        <w:tc>
          <w:tcPr>
            <w:tcW w:w="1036" w:type="dxa"/>
            <w:tcBorders>
              <w:top w:val="nil"/>
              <w:left w:val="nil"/>
              <w:bottom w:val="single" w:sz="4" w:space="0" w:color="auto"/>
              <w:right w:val="single" w:sz="4" w:space="0" w:color="auto"/>
            </w:tcBorders>
            <w:shd w:val="clear" w:color="auto" w:fill="auto"/>
            <w:noWrap/>
            <w:hideMark/>
          </w:tcPr>
          <w:p w14:paraId="1E440BE9" w14:textId="77777777" w:rsidR="00536F6A" w:rsidRPr="00BC081A" w:rsidRDefault="00536F6A" w:rsidP="00E24EF0">
            <w:pPr>
              <w:pStyle w:val="TableContext"/>
              <w:rPr>
                <w:lang w:val="en-CA"/>
              </w:rPr>
            </w:pPr>
            <w:r w:rsidRPr="00BC081A">
              <w:rPr>
                <w:lang w:val="en-CA"/>
              </w:rPr>
              <w:t>102</w:t>
            </w:r>
          </w:p>
        </w:tc>
        <w:tc>
          <w:tcPr>
            <w:tcW w:w="1036" w:type="dxa"/>
            <w:tcBorders>
              <w:top w:val="nil"/>
              <w:left w:val="nil"/>
              <w:bottom w:val="single" w:sz="4" w:space="0" w:color="auto"/>
              <w:right w:val="single" w:sz="4" w:space="0" w:color="auto"/>
            </w:tcBorders>
            <w:shd w:val="clear" w:color="auto" w:fill="auto"/>
            <w:noWrap/>
            <w:hideMark/>
          </w:tcPr>
          <w:p w14:paraId="3389BC24" w14:textId="77777777" w:rsidR="00536F6A" w:rsidRPr="00BC081A" w:rsidRDefault="00536F6A" w:rsidP="00E24EF0">
            <w:pPr>
              <w:pStyle w:val="TableContext"/>
              <w:rPr>
                <w:lang w:val="en-CA"/>
              </w:rPr>
            </w:pPr>
            <w:r w:rsidRPr="00BC081A">
              <w:rPr>
                <w:lang w:val="en-CA"/>
              </w:rPr>
              <w:t>0.39</w:t>
            </w:r>
          </w:p>
        </w:tc>
        <w:tc>
          <w:tcPr>
            <w:tcW w:w="1371" w:type="dxa"/>
            <w:tcBorders>
              <w:top w:val="nil"/>
              <w:left w:val="nil"/>
              <w:bottom w:val="single" w:sz="4" w:space="0" w:color="auto"/>
              <w:right w:val="single" w:sz="4" w:space="0" w:color="auto"/>
            </w:tcBorders>
            <w:shd w:val="clear" w:color="auto" w:fill="auto"/>
            <w:noWrap/>
            <w:hideMark/>
          </w:tcPr>
          <w:p w14:paraId="46038A65" w14:textId="77777777" w:rsidR="00536F6A" w:rsidRPr="00BC081A" w:rsidRDefault="00536F6A" w:rsidP="00E24EF0">
            <w:pPr>
              <w:pStyle w:val="TableContext"/>
              <w:rPr>
                <w:lang w:val="en-CA"/>
              </w:rPr>
            </w:pPr>
            <w:r w:rsidRPr="00BC081A">
              <w:rPr>
                <w:lang w:val="en-CA"/>
              </w:rPr>
              <w:t>0.42</w:t>
            </w:r>
          </w:p>
        </w:tc>
        <w:tc>
          <w:tcPr>
            <w:tcW w:w="1036" w:type="dxa"/>
            <w:tcBorders>
              <w:top w:val="nil"/>
              <w:left w:val="nil"/>
              <w:bottom w:val="single" w:sz="4" w:space="0" w:color="auto"/>
              <w:right w:val="single" w:sz="4" w:space="0" w:color="auto"/>
            </w:tcBorders>
            <w:shd w:val="clear" w:color="auto" w:fill="auto"/>
            <w:noWrap/>
            <w:hideMark/>
          </w:tcPr>
          <w:p w14:paraId="10E10BF4" w14:textId="77777777" w:rsidR="00536F6A" w:rsidRPr="00BC081A" w:rsidRDefault="00536F6A" w:rsidP="00E24EF0">
            <w:pPr>
              <w:pStyle w:val="TableContext"/>
              <w:rPr>
                <w:lang w:val="en-CA"/>
              </w:rPr>
            </w:pPr>
            <w:r w:rsidRPr="00BC081A">
              <w:rPr>
                <w:lang w:val="en-CA"/>
              </w:rPr>
              <w:t>0.83</w:t>
            </w:r>
          </w:p>
        </w:tc>
        <w:tc>
          <w:tcPr>
            <w:tcW w:w="1036" w:type="dxa"/>
            <w:tcBorders>
              <w:top w:val="nil"/>
              <w:left w:val="nil"/>
              <w:bottom w:val="single" w:sz="4" w:space="0" w:color="auto"/>
              <w:right w:val="single" w:sz="4" w:space="0" w:color="auto"/>
            </w:tcBorders>
            <w:shd w:val="clear" w:color="auto" w:fill="auto"/>
            <w:noWrap/>
            <w:hideMark/>
          </w:tcPr>
          <w:p w14:paraId="24943927" w14:textId="77777777" w:rsidR="00536F6A" w:rsidRPr="00BC081A" w:rsidRDefault="00536F6A" w:rsidP="00E24EF0">
            <w:pPr>
              <w:pStyle w:val="TableContext"/>
              <w:rPr>
                <w:lang w:val="en-CA"/>
              </w:rPr>
            </w:pPr>
            <w:r w:rsidRPr="00BC081A">
              <w:rPr>
                <w:lang w:val="en-CA"/>
              </w:rPr>
              <w:t>0.88</w:t>
            </w:r>
          </w:p>
        </w:tc>
        <w:tc>
          <w:tcPr>
            <w:tcW w:w="1036" w:type="dxa"/>
            <w:tcBorders>
              <w:top w:val="nil"/>
              <w:left w:val="nil"/>
              <w:bottom w:val="single" w:sz="4" w:space="0" w:color="auto"/>
              <w:right w:val="single" w:sz="4" w:space="0" w:color="auto"/>
            </w:tcBorders>
            <w:shd w:val="clear" w:color="auto" w:fill="auto"/>
            <w:noWrap/>
            <w:hideMark/>
          </w:tcPr>
          <w:p w14:paraId="656158C5" w14:textId="77777777" w:rsidR="00536F6A" w:rsidRPr="00BC081A" w:rsidRDefault="00536F6A" w:rsidP="00E24EF0">
            <w:pPr>
              <w:pStyle w:val="TableContext"/>
              <w:rPr>
                <w:lang w:val="en-CA"/>
              </w:rPr>
            </w:pPr>
            <w:r w:rsidRPr="00BC081A">
              <w:rPr>
                <w:lang w:val="en-CA"/>
              </w:rPr>
              <w:t>0.87</w:t>
            </w:r>
          </w:p>
        </w:tc>
      </w:tr>
      <w:tr w:rsidR="00536F6A" w:rsidRPr="00BC081A" w14:paraId="0DEEC591"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4965037" w14:textId="77777777" w:rsidR="00536F6A" w:rsidRPr="00BC081A" w:rsidRDefault="00536F6A" w:rsidP="00E24EF0">
            <w:pPr>
              <w:pStyle w:val="TableContext"/>
              <w:rPr>
                <w:lang w:val="en-CA"/>
              </w:rPr>
            </w:pPr>
            <w:r w:rsidRPr="00BC081A">
              <w:rPr>
                <w:lang w:val="en-CA"/>
              </w:rPr>
              <w:t>5</w:t>
            </w:r>
          </w:p>
        </w:tc>
        <w:tc>
          <w:tcPr>
            <w:tcW w:w="1036" w:type="dxa"/>
            <w:tcBorders>
              <w:top w:val="nil"/>
              <w:left w:val="nil"/>
              <w:bottom w:val="single" w:sz="4" w:space="0" w:color="auto"/>
              <w:right w:val="single" w:sz="4" w:space="0" w:color="auto"/>
            </w:tcBorders>
            <w:shd w:val="clear" w:color="auto" w:fill="auto"/>
            <w:noWrap/>
            <w:hideMark/>
          </w:tcPr>
          <w:p w14:paraId="7590481C" w14:textId="77777777" w:rsidR="00536F6A" w:rsidRPr="00BC081A" w:rsidRDefault="00536F6A" w:rsidP="00E24EF0">
            <w:pPr>
              <w:pStyle w:val="TableContext"/>
              <w:rPr>
                <w:lang w:val="en-CA"/>
              </w:rPr>
            </w:pPr>
            <w:r w:rsidRPr="00BC081A">
              <w:rPr>
                <w:lang w:val="en-CA"/>
              </w:rPr>
              <w:t>208</w:t>
            </w:r>
          </w:p>
        </w:tc>
        <w:tc>
          <w:tcPr>
            <w:tcW w:w="1036" w:type="dxa"/>
            <w:tcBorders>
              <w:top w:val="nil"/>
              <w:left w:val="nil"/>
              <w:bottom w:val="single" w:sz="4" w:space="0" w:color="auto"/>
              <w:right w:val="single" w:sz="4" w:space="0" w:color="auto"/>
            </w:tcBorders>
            <w:shd w:val="clear" w:color="auto" w:fill="auto"/>
            <w:noWrap/>
            <w:hideMark/>
          </w:tcPr>
          <w:p w14:paraId="3B2B5D39"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09A421B6" w14:textId="77777777" w:rsidR="00536F6A" w:rsidRPr="00BC081A" w:rsidRDefault="00536F6A" w:rsidP="00E24EF0">
            <w:pPr>
              <w:pStyle w:val="TableContext"/>
              <w:rPr>
                <w:lang w:val="en-CA"/>
              </w:rPr>
            </w:pPr>
            <w:r w:rsidRPr="00BC081A">
              <w:rPr>
                <w:lang w:val="en-CA"/>
              </w:rPr>
              <w:t>0.46</w:t>
            </w:r>
          </w:p>
        </w:tc>
        <w:tc>
          <w:tcPr>
            <w:tcW w:w="1036" w:type="dxa"/>
            <w:tcBorders>
              <w:top w:val="nil"/>
              <w:left w:val="nil"/>
              <w:bottom w:val="single" w:sz="4" w:space="0" w:color="auto"/>
              <w:right w:val="single" w:sz="4" w:space="0" w:color="auto"/>
            </w:tcBorders>
            <w:shd w:val="clear" w:color="auto" w:fill="auto"/>
            <w:noWrap/>
            <w:hideMark/>
          </w:tcPr>
          <w:p w14:paraId="78ADF9F6" w14:textId="77777777" w:rsidR="00536F6A" w:rsidRPr="00BC081A" w:rsidRDefault="00536F6A" w:rsidP="00E24EF0">
            <w:pPr>
              <w:pStyle w:val="TableContext"/>
              <w:rPr>
                <w:lang w:val="en-CA"/>
              </w:rPr>
            </w:pPr>
            <w:r w:rsidRPr="00BC081A">
              <w:rPr>
                <w:lang w:val="en-CA"/>
              </w:rPr>
              <w:t>0.85</w:t>
            </w:r>
          </w:p>
        </w:tc>
        <w:tc>
          <w:tcPr>
            <w:tcW w:w="1036" w:type="dxa"/>
            <w:tcBorders>
              <w:top w:val="nil"/>
              <w:left w:val="nil"/>
              <w:bottom w:val="single" w:sz="4" w:space="0" w:color="auto"/>
              <w:right w:val="single" w:sz="4" w:space="0" w:color="auto"/>
            </w:tcBorders>
            <w:shd w:val="clear" w:color="auto" w:fill="auto"/>
            <w:noWrap/>
            <w:hideMark/>
          </w:tcPr>
          <w:p w14:paraId="455B5112"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5B41FF5F" w14:textId="77777777" w:rsidR="00536F6A" w:rsidRPr="00BC081A" w:rsidRDefault="00536F6A" w:rsidP="00E24EF0">
            <w:pPr>
              <w:pStyle w:val="TableContext"/>
              <w:rPr>
                <w:lang w:val="en-CA"/>
              </w:rPr>
            </w:pPr>
            <w:r w:rsidRPr="00BC081A">
              <w:rPr>
                <w:lang w:val="en-CA"/>
              </w:rPr>
              <w:t>0.9</w:t>
            </w:r>
          </w:p>
        </w:tc>
      </w:tr>
      <w:tr w:rsidR="00536F6A" w:rsidRPr="00BC081A" w14:paraId="7701AE12"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C1E0E4A" w14:textId="77777777" w:rsidR="00536F6A" w:rsidRPr="00BC081A" w:rsidRDefault="00536F6A" w:rsidP="00E24EF0">
            <w:pPr>
              <w:pStyle w:val="TableContext"/>
              <w:rPr>
                <w:lang w:val="en-CA"/>
              </w:rPr>
            </w:pPr>
            <w:r w:rsidRPr="00BC081A">
              <w:rPr>
                <w:lang w:val="en-CA"/>
              </w:rPr>
              <w:t>6</w:t>
            </w:r>
          </w:p>
        </w:tc>
        <w:tc>
          <w:tcPr>
            <w:tcW w:w="1036" w:type="dxa"/>
            <w:tcBorders>
              <w:top w:val="nil"/>
              <w:left w:val="nil"/>
              <w:bottom w:val="single" w:sz="4" w:space="0" w:color="auto"/>
              <w:right w:val="single" w:sz="4" w:space="0" w:color="auto"/>
            </w:tcBorders>
            <w:shd w:val="clear" w:color="auto" w:fill="auto"/>
            <w:noWrap/>
            <w:hideMark/>
          </w:tcPr>
          <w:p w14:paraId="4816F2B7" w14:textId="77777777" w:rsidR="00536F6A" w:rsidRPr="00BC081A" w:rsidRDefault="00536F6A" w:rsidP="00E24EF0">
            <w:pPr>
              <w:pStyle w:val="TableContext"/>
              <w:rPr>
                <w:lang w:val="en-CA"/>
              </w:rPr>
            </w:pPr>
            <w:r w:rsidRPr="00BC081A">
              <w:rPr>
                <w:lang w:val="en-CA"/>
              </w:rPr>
              <w:t>280</w:t>
            </w:r>
          </w:p>
        </w:tc>
        <w:tc>
          <w:tcPr>
            <w:tcW w:w="1036" w:type="dxa"/>
            <w:tcBorders>
              <w:top w:val="nil"/>
              <w:left w:val="nil"/>
              <w:bottom w:val="single" w:sz="4" w:space="0" w:color="auto"/>
              <w:right w:val="single" w:sz="4" w:space="0" w:color="auto"/>
            </w:tcBorders>
            <w:shd w:val="clear" w:color="auto" w:fill="auto"/>
            <w:noWrap/>
            <w:hideMark/>
          </w:tcPr>
          <w:p w14:paraId="336A3B69" w14:textId="77777777" w:rsidR="00536F6A" w:rsidRPr="00BC081A" w:rsidRDefault="00536F6A" w:rsidP="00E24EF0">
            <w:pPr>
              <w:pStyle w:val="TableContext"/>
              <w:rPr>
                <w:lang w:val="en-CA"/>
              </w:rPr>
            </w:pPr>
            <w:r w:rsidRPr="00BC081A">
              <w:rPr>
                <w:lang w:val="en-CA"/>
              </w:rPr>
              <w:t>0.42</w:t>
            </w:r>
          </w:p>
        </w:tc>
        <w:tc>
          <w:tcPr>
            <w:tcW w:w="1371" w:type="dxa"/>
            <w:tcBorders>
              <w:top w:val="nil"/>
              <w:left w:val="nil"/>
              <w:bottom w:val="single" w:sz="4" w:space="0" w:color="auto"/>
              <w:right w:val="single" w:sz="4" w:space="0" w:color="auto"/>
            </w:tcBorders>
            <w:shd w:val="clear" w:color="auto" w:fill="auto"/>
            <w:noWrap/>
            <w:hideMark/>
          </w:tcPr>
          <w:p w14:paraId="0D75F853" w14:textId="77777777" w:rsidR="00536F6A" w:rsidRPr="00BC081A" w:rsidRDefault="00536F6A" w:rsidP="00E24EF0">
            <w:pPr>
              <w:pStyle w:val="TableContext"/>
              <w:rPr>
                <w:lang w:val="en-CA"/>
              </w:rPr>
            </w:pPr>
            <w:r w:rsidRPr="00BC081A">
              <w:rPr>
                <w:lang w:val="en-CA"/>
              </w:rPr>
              <w:t>0.19</w:t>
            </w:r>
          </w:p>
        </w:tc>
        <w:tc>
          <w:tcPr>
            <w:tcW w:w="1036" w:type="dxa"/>
            <w:tcBorders>
              <w:top w:val="nil"/>
              <w:left w:val="nil"/>
              <w:bottom w:val="single" w:sz="4" w:space="0" w:color="auto"/>
              <w:right w:val="single" w:sz="4" w:space="0" w:color="auto"/>
            </w:tcBorders>
            <w:shd w:val="clear" w:color="auto" w:fill="auto"/>
            <w:noWrap/>
            <w:hideMark/>
          </w:tcPr>
          <w:p w14:paraId="01C43F14" w14:textId="77777777" w:rsidR="00536F6A" w:rsidRPr="00BC081A" w:rsidRDefault="00536F6A" w:rsidP="00E24EF0">
            <w:pPr>
              <w:pStyle w:val="TableContext"/>
              <w:rPr>
                <w:lang w:val="en-CA"/>
              </w:rPr>
            </w:pPr>
            <w:r w:rsidRPr="00BC081A">
              <w:rPr>
                <w:lang w:val="en-CA"/>
              </w:rPr>
              <w:t>0.88</w:t>
            </w:r>
          </w:p>
        </w:tc>
        <w:tc>
          <w:tcPr>
            <w:tcW w:w="1036" w:type="dxa"/>
            <w:tcBorders>
              <w:top w:val="nil"/>
              <w:left w:val="nil"/>
              <w:bottom w:val="single" w:sz="4" w:space="0" w:color="auto"/>
              <w:right w:val="single" w:sz="4" w:space="0" w:color="auto"/>
            </w:tcBorders>
            <w:shd w:val="clear" w:color="auto" w:fill="auto"/>
            <w:noWrap/>
            <w:hideMark/>
          </w:tcPr>
          <w:p w14:paraId="60B49B36" w14:textId="77777777" w:rsidR="00536F6A" w:rsidRPr="00BC081A" w:rsidRDefault="00536F6A" w:rsidP="00E24EF0">
            <w:pPr>
              <w:pStyle w:val="TableContext"/>
              <w:rPr>
                <w:lang w:val="en-CA"/>
              </w:rPr>
            </w:pPr>
            <w:r w:rsidRPr="00BC081A">
              <w:rPr>
                <w:lang w:val="en-CA"/>
              </w:rPr>
              <w:t>0.82</w:t>
            </w:r>
          </w:p>
        </w:tc>
        <w:tc>
          <w:tcPr>
            <w:tcW w:w="1036" w:type="dxa"/>
            <w:tcBorders>
              <w:top w:val="nil"/>
              <w:left w:val="nil"/>
              <w:bottom w:val="single" w:sz="4" w:space="0" w:color="auto"/>
              <w:right w:val="single" w:sz="4" w:space="0" w:color="auto"/>
            </w:tcBorders>
            <w:shd w:val="clear" w:color="auto" w:fill="auto"/>
            <w:noWrap/>
            <w:hideMark/>
          </w:tcPr>
          <w:p w14:paraId="0BB34243" w14:textId="77777777" w:rsidR="00536F6A" w:rsidRPr="00BC081A" w:rsidRDefault="00536F6A" w:rsidP="00E24EF0">
            <w:pPr>
              <w:pStyle w:val="TableContext"/>
              <w:rPr>
                <w:lang w:val="en-CA"/>
              </w:rPr>
            </w:pPr>
            <w:r w:rsidRPr="00BC081A">
              <w:rPr>
                <w:lang w:val="en-CA"/>
              </w:rPr>
              <w:t>0.91</w:t>
            </w:r>
          </w:p>
        </w:tc>
      </w:tr>
      <w:tr w:rsidR="00536F6A" w:rsidRPr="00BC081A" w14:paraId="10B40527"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67FEF6A" w14:textId="77777777" w:rsidR="00536F6A" w:rsidRPr="00BC081A" w:rsidRDefault="00536F6A" w:rsidP="00E24EF0">
            <w:pPr>
              <w:pStyle w:val="TableContext"/>
              <w:rPr>
                <w:lang w:val="en-CA"/>
              </w:rPr>
            </w:pPr>
            <w:r w:rsidRPr="00BC081A">
              <w:rPr>
                <w:lang w:val="en-CA"/>
              </w:rPr>
              <w:t>7</w:t>
            </w:r>
          </w:p>
        </w:tc>
        <w:tc>
          <w:tcPr>
            <w:tcW w:w="1036" w:type="dxa"/>
            <w:tcBorders>
              <w:top w:val="nil"/>
              <w:left w:val="nil"/>
              <w:bottom w:val="single" w:sz="4" w:space="0" w:color="auto"/>
              <w:right w:val="single" w:sz="4" w:space="0" w:color="auto"/>
            </w:tcBorders>
            <w:shd w:val="clear" w:color="auto" w:fill="auto"/>
            <w:noWrap/>
            <w:hideMark/>
          </w:tcPr>
          <w:p w14:paraId="4510672F" w14:textId="77777777" w:rsidR="00536F6A" w:rsidRPr="00BC081A" w:rsidRDefault="00536F6A" w:rsidP="00E24EF0">
            <w:pPr>
              <w:pStyle w:val="TableContext"/>
              <w:rPr>
                <w:lang w:val="en-CA"/>
              </w:rPr>
            </w:pPr>
            <w:r w:rsidRPr="00BC081A">
              <w:rPr>
                <w:lang w:val="en-CA"/>
              </w:rPr>
              <w:t>223</w:t>
            </w:r>
          </w:p>
        </w:tc>
        <w:tc>
          <w:tcPr>
            <w:tcW w:w="1036" w:type="dxa"/>
            <w:tcBorders>
              <w:top w:val="nil"/>
              <w:left w:val="nil"/>
              <w:bottom w:val="single" w:sz="4" w:space="0" w:color="auto"/>
              <w:right w:val="single" w:sz="4" w:space="0" w:color="auto"/>
            </w:tcBorders>
            <w:shd w:val="clear" w:color="auto" w:fill="auto"/>
            <w:noWrap/>
            <w:hideMark/>
          </w:tcPr>
          <w:p w14:paraId="21536053" w14:textId="77777777" w:rsidR="00536F6A" w:rsidRPr="00BC081A" w:rsidRDefault="00536F6A" w:rsidP="00E24EF0">
            <w:pPr>
              <w:pStyle w:val="TableContext"/>
              <w:rPr>
                <w:lang w:val="en-CA"/>
              </w:rPr>
            </w:pPr>
            <w:r w:rsidRPr="00BC081A">
              <w:rPr>
                <w:lang w:val="en-CA"/>
              </w:rPr>
              <w:t>0.63</w:t>
            </w:r>
          </w:p>
        </w:tc>
        <w:tc>
          <w:tcPr>
            <w:tcW w:w="1371" w:type="dxa"/>
            <w:tcBorders>
              <w:top w:val="nil"/>
              <w:left w:val="nil"/>
              <w:bottom w:val="single" w:sz="4" w:space="0" w:color="auto"/>
              <w:right w:val="single" w:sz="4" w:space="0" w:color="auto"/>
            </w:tcBorders>
            <w:shd w:val="clear" w:color="auto" w:fill="auto"/>
            <w:noWrap/>
            <w:hideMark/>
          </w:tcPr>
          <w:p w14:paraId="16A3195C"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0A10A3A9" w14:textId="77777777" w:rsidR="00536F6A" w:rsidRPr="00BC081A" w:rsidRDefault="00536F6A" w:rsidP="00E24EF0">
            <w:pPr>
              <w:pStyle w:val="TableContext"/>
              <w:rPr>
                <w:lang w:val="en-CA"/>
              </w:rPr>
            </w:pPr>
            <w:r w:rsidRPr="00BC081A">
              <w:rPr>
                <w:lang w:val="en-CA"/>
              </w:rPr>
              <w:t>0.92</w:t>
            </w:r>
          </w:p>
        </w:tc>
        <w:tc>
          <w:tcPr>
            <w:tcW w:w="1036" w:type="dxa"/>
            <w:tcBorders>
              <w:top w:val="nil"/>
              <w:left w:val="nil"/>
              <w:bottom w:val="single" w:sz="4" w:space="0" w:color="auto"/>
              <w:right w:val="single" w:sz="4" w:space="0" w:color="auto"/>
            </w:tcBorders>
            <w:shd w:val="clear" w:color="auto" w:fill="auto"/>
            <w:noWrap/>
            <w:hideMark/>
          </w:tcPr>
          <w:p w14:paraId="3B633794" w14:textId="77777777" w:rsidR="00536F6A" w:rsidRPr="00BC081A" w:rsidRDefault="00536F6A" w:rsidP="00E24EF0">
            <w:pPr>
              <w:pStyle w:val="TableContext"/>
              <w:rPr>
                <w:lang w:val="en-CA"/>
              </w:rPr>
            </w:pPr>
            <w:r w:rsidRPr="00BC081A">
              <w:rPr>
                <w:lang w:val="en-CA"/>
              </w:rPr>
              <w:t>0.89</w:t>
            </w:r>
          </w:p>
        </w:tc>
        <w:tc>
          <w:tcPr>
            <w:tcW w:w="1036" w:type="dxa"/>
            <w:tcBorders>
              <w:top w:val="nil"/>
              <w:left w:val="nil"/>
              <w:bottom w:val="single" w:sz="4" w:space="0" w:color="auto"/>
              <w:right w:val="single" w:sz="4" w:space="0" w:color="auto"/>
            </w:tcBorders>
            <w:shd w:val="clear" w:color="auto" w:fill="auto"/>
            <w:noWrap/>
            <w:hideMark/>
          </w:tcPr>
          <w:p w14:paraId="6857F08B" w14:textId="77777777" w:rsidR="00536F6A" w:rsidRPr="00BC081A" w:rsidRDefault="00536F6A" w:rsidP="00E24EF0">
            <w:pPr>
              <w:pStyle w:val="TableContext"/>
              <w:rPr>
                <w:lang w:val="en-CA"/>
              </w:rPr>
            </w:pPr>
            <w:r w:rsidRPr="00BC081A">
              <w:rPr>
                <w:lang w:val="en-CA"/>
              </w:rPr>
              <w:t>N/A</w:t>
            </w:r>
          </w:p>
        </w:tc>
      </w:tr>
      <w:tr w:rsidR="00536F6A" w:rsidRPr="00BC081A" w14:paraId="41E2D286"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53657EC" w14:textId="77777777" w:rsidR="00536F6A" w:rsidRPr="00BC081A" w:rsidRDefault="00536F6A" w:rsidP="00E24EF0">
            <w:pPr>
              <w:pStyle w:val="TableContext"/>
              <w:rPr>
                <w:lang w:val="en-CA"/>
              </w:rPr>
            </w:pPr>
            <w:r w:rsidRPr="00BC081A">
              <w:rPr>
                <w:lang w:val="en-CA"/>
              </w:rPr>
              <w:t>8</w:t>
            </w:r>
          </w:p>
        </w:tc>
        <w:tc>
          <w:tcPr>
            <w:tcW w:w="1036" w:type="dxa"/>
            <w:tcBorders>
              <w:top w:val="nil"/>
              <w:left w:val="nil"/>
              <w:bottom w:val="single" w:sz="4" w:space="0" w:color="auto"/>
              <w:right w:val="single" w:sz="4" w:space="0" w:color="auto"/>
            </w:tcBorders>
            <w:shd w:val="clear" w:color="auto" w:fill="auto"/>
            <w:noWrap/>
            <w:hideMark/>
          </w:tcPr>
          <w:p w14:paraId="70D7DFC2" w14:textId="77777777" w:rsidR="00536F6A" w:rsidRPr="00BC081A" w:rsidRDefault="00536F6A" w:rsidP="00E24EF0">
            <w:pPr>
              <w:pStyle w:val="TableContext"/>
              <w:rPr>
                <w:lang w:val="en-CA"/>
              </w:rPr>
            </w:pPr>
            <w:r w:rsidRPr="00BC081A">
              <w:rPr>
                <w:lang w:val="en-CA"/>
              </w:rPr>
              <w:t>211</w:t>
            </w:r>
          </w:p>
        </w:tc>
        <w:tc>
          <w:tcPr>
            <w:tcW w:w="1036" w:type="dxa"/>
            <w:tcBorders>
              <w:top w:val="nil"/>
              <w:left w:val="nil"/>
              <w:bottom w:val="single" w:sz="4" w:space="0" w:color="auto"/>
              <w:right w:val="single" w:sz="4" w:space="0" w:color="auto"/>
            </w:tcBorders>
            <w:shd w:val="clear" w:color="auto" w:fill="auto"/>
            <w:noWrap/>
            <w:hideMark/>
          </w:tcPr>
          <w:p w14:paraId="24B00C51"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10D53634" w14:textId="77777777" w:rsidR="00536F6A" w:rsidRPr="00BC081A" w:rsidRDefault="00536F6A" w:rsidP="00E24EF0">
            <w:pPr>
              <w:pStyle w:val="TableContext"/>
              <w:rPr>
                <w:lang w:val="en-CA"/>
              </w:rPr>
            </w:pPr>
            <w:r w:rsidRPr="00BC081A">
              <w:rPr>
                <w:lang w:val="en-CA"/>
              </w:rPr>
              <w:t>0.23</w:t>
            </w:r>
          </w:p>
        </w:tc>
        <w:tc>
          <w:tcPr>
            <w:tcW w:w="1036" w:type="dxa"/>
            <w:tcBorders>
              <w:top w:val="nil"/>
              <w:left w:val="nil"/>
              <w:bottom w:val="single" w:sz="4" w:space="0" w:color="auto"/>
              <w:right w:val="single" w:sz="4" w:space="0" w:color="auto"/>
            </w:tcBorders>
            <w:shd w:val="clear" w:color="auto" w:fill="auto"/>
            <w:noWrap/>
            <w:hideMark/>
          </w:tcPr>
          <w:p w14:paraId="5E8D13E6" w14:textId="77777777" w:rsidR="00536F6A" w:rsidRPr="00BC081A" w:rsidRDefault="00536F6A" w:rsidP="00E24EF0">
            <w:pPr>
              <w:pStyle w:val="TableContext"/>
              <w:rPr>
                <w:lang w:val="en-CA"/>
              </w:rPr>
            </w:pPr>
            <w:r w:rsidRPr="00BC081A">
              <w:rPr>
                <w:lang w:val="en-CA"/>
              </w:rPr>
              <w:t>0.9</w:t>
            </w:r>
          </w:p>
        </w:tc>
        <w:tc>
          <w:tcPr>
            <w:tcW w:w="1036" w:type="dxa"/>
            <w:tcBorders>
              <w:top w:val="nil"/>
              <w:left w:val="nil"/>
              <w:bottom w:val="single" w:sz="4" w:space="0" w:color="auto"/>
              <w:right w:val="single" w:sz="4" w:space="0" w:color="auto"/>
            </w:tcBorders>
            <w:shd w:val="clear" w:color="auto" w:fill="auto"/>
            <w:noWrap/>
            <w:hideMark/>
          </w:tcPr>
          <w:p w14:paraId="6541426F"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139E7B09" w14:textId="77777777" w:rsidR="00536F6A" w:rsidRPr="00BC081A" w:rsidRDefault="00536F6A" w:rsidP="00E24EF0">
            <w:pPr>
              <w:pStyle w:val="TableContext"/>
              <w:rPr>
                <w:lang w:val="en-CA"/>
              </w:rPr>
            </w:pPr>
            <w:r w:rsidRPr="00BC081A">
              <w:rPr>
                <w:lang w:val="en-CA"/>
              </w:rPr>
              <w:t>0.91</w:t>
            </w:r>
          </w:p>
        </w:tc>
      </w:tr>
      <w:tr w:rsidR="00536F6A" w:rsidRPr="00BC081A" w14:paraId="00C6C1F6"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35B338BF" w14:textId="77777777" w:rsidR="00536F6A" w:rsidRPr="00BC081A" w:rsidRDefault="00536F6A" w:rsidP="00E24EF0">
            <w:pPr>
              <w:pStyle w:val="TableContext"/>
              <w:rPr>
                <w:lang w:val="en-CA"/>
              </w:rPr>
            </w:pPr>
            <w:r w:rsidRPr="00BC081A">
              <w:rPr>
                <w:lang w:val="en-CA"/>
              </w:rPr>
              <w:t>9</w:t>
            </w:r>
          </w:p>
        </w:tc>
        <w:tc>
          <w:tcPr>
            <w:tcW w:w="1036" w:type="dxa"/>
            <w:tcBorders>
              <w:top w:val="nil"/>
              <w:left w:val="nil"/>
              <w:bottom w:val="single" w:sz="4" w:space="0" w:color="auto"/>
              <w:right w:val="single" w:sz="4" w:space="0" w:color="auto"/>
            </w:tcBorders>
            <w:shd w:val="clear" w:color="auto" w:fill="auto"/>
            <w:noWrap/>
            <w:hideMark/>
          </w:tcPr>
          <w:p w14:paraId="3794B79A" w14:textId="77777777" w:rsidR="00536F6A" w:rsidRPr="00BC081A" w:rsidRDefault="00536F6A" w:rsidP="00E24EF0">
            <w:pPr>
              <w:pStyle w:val="TableContext"/>
              <w:rPr>
                <w:lang w:val="en-CA"/>
              </w:rPr>
            </w:pPr>
            <w:r w:rsidRPr="00BC081A">
              <w:rPr>
                <w:lang w:val="en-CA"/>
              </w:rPr>
              <w:t>172</w:t>
            </w:r>
          </w:p>
        </w:tc>
        <w:tc>
          <w:tcPr>
            <w:tcW w:w="1036" w:type="dxa"/>
            <w:tcBorders>
              <w:top w:val="nil"/>
              <w:left w:val="nil"/>
              <w:bottom w:val="single" w:sz="4" w:space="0" w:color="auto"/>
              <w:right w:val="single" w:sz="4" w:space="0" w:color="auto"/>
            </w:tcBorders>
            <w:shd w:val="clear" w:color="auto" w:fill="auto"/>
            <w:noWrap/>
            <w:hideMark/>
          </w:tcPr>
          <w:p w14:paraId="5F545BF8"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42592ECE" w14:textId="77777777" w:rsidR="00536F6A" w:rsidRPr="00BC081A" w:rsidRDefault="00536F6A" w:rsidP="00E24EF0">
            <w:pPr>
              <w:pStyle w:val="TableContext"/>
              <w:rPr>
                <w:lang w:val="en-CA"/>
              </w:rPr>
            </w:pPr>
            <w:r w:rsidRPr="00BC081A">
              <w:rPr>
                <w:lang w:val="en-CA"/>
              </w:rPr>
              <w:t>0.51</w:t>
            </w:r>
          </w:p>
        </w:tc>
        <w:tc>
          <w:tcPr>
            <w:tcW w:w="1036" w:type="dxa"/>
            <w:tcBorders>
              <w:top w:val="nil"/>
              <w:left w:val="nil"/>
              <w:bottom w:val="single" w:sz="4" w:space="0" w:color="auto"/>
              <w:right w:val="single" w:sz="4" w:space="0" w:color="auto"/>
            </w:tcBorders>
            <w:shd w:val="clear" w:color="auto" w:fill="auto"/>
            <w:noWrap/>
            <w:hideMark/>
          </w:tcPr>
          <w:p w14:paraId="72657C62" w14:textId="77777777" w:rsidR="00536F6A" w:rsidRPr="00BC081A" w:rsidRDefault="00536F6A" w:rsidP="00E24EF0">
            <w:pPr>
              <w:pStyle w:val="TableContext"/>
              <w:rPr>
                <w:lang w:val="en-CA"/>
              </w:rPr>
            </w:pPr>
            <w:r w:rsidRPr="00BC081A">
              <w:rPr>
                <w:lang w:val="en-CA"/>
              </w:rPr>
              <w:t>0.89</w:t>
            </w:r>
          </w:p>
        </w:tc>
        <w:tc>
          <w:tcPr>
            <w:tcW w:w="1036" w:type="dxa"/>
            <w:tcBorders>
              <w:top w:val="nil"/>
              <w:left w:val="nil"/>
              <w:bottom w:val="single" w:sz="4" w:space="0" w:color="auto"/>
              <w:right w:val="single" w:sz="4" w:space="0" w:color="auto"/>
            </w:tcBorders>
            <w:shd w:val="clear" w:color="auto" w:fill="auto"/>
            <w:noWrap/>
            <w:hideMark/>
          </w:tcPr>
          <w:p w14:paraId="3A61BCDB"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5296DDC5" w14:textId="77777777" w:rsidR="00536F6A" w:rsidRPr="00BC081A" w:rsidRDefault="00536F6A" w:rsidP="00E24EF0">
            <w:pPr>
              <w:pStyle w:val="TableContext"/>
              <w:rPr>
                <w:lang w:val="en-CA"/>
              </w:rPr>
            </w:pPr>
            <w:r w:rsidRPr="00BC081A">
              <w:rPr>
                <w:lang w:val="en-CA"/>
              </w:rPr>
              <w:t>0.81</w:t>
            </w:r>
          </w:p>
        </w:tc>
      </w:tr>
      <w:tr w:rsidR="00536F6A" w:rsidRPr="00BC081A" w14:paraId="661683B9"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40BA35A" w14:textId="77777777" w:rsidR="00536F6A" w:rsidRPr="00BC081A" w:rsidRDefault="00536F6A" w:rsidP="00E24EF0">
            <w:pPr>
              <w:pStyle w:val="TableContext"/>
              <w:rPr>
                <w:lang w:val="en-CA"/>
              </w:rPr>
            </w:pPr>
            <w:r w:rsidRPr="00BC081A">
              <w:rPr>
                <w:lang w:val="en-CA"/>
              </w:rPr>
              <w:t>10</w:t>
            </w:r>
          </w:p>
        </w:tc>
        <w:tc>
          <w:tcPr>
            <w:tcW w:w="1036" w:type="dxa"/>
            <w:tcBorders>
              <w:top w:val="nil"/>
              <w:left w:val="nil"/>
              <w:bottom w:val="single" w:sz="4" w:space="0" w:color="auto"/>
              <w:right w:val="single" w:sz="4" w:space="0" w:color="auto"/>
            </w:tcBorders>
            <w:shd w:val="clear" w:color="auto" w:fill="auto"/>
            <w:noWrap/>
            <w:hideMark/>
          </w:tcPr>
          <w:p w14:paraId="2D869B40" w14:textId="77777777" w:rsidR="00536F6A" w:rsidRPr="00BC081A" w:rsidRDefault="00536F6A" w:rsidP="00E24EF0">
            <w:pPr>
              <w:pStyle w:val="TableContext"/>
              <w:rPr>
                <w:lang w:val="en-CA"/>
              </w:rPr>
            </w:pPr>
            <w:r w:rsidRPr="00BC081A">
              <w:rPr>
                <w:lang w:val="en-CA"/>
              </w:rPr>
              <w:t>194</w:t>
            </w:r>
          </w:p>
        </w:tc>
        <w:tc>
          <w:tcPr>
            <w:tcW w:w="1036" w:type="dxa"/>
            <w:tcBorders>
              <w:top w:val="nil"/>
              <w:left w:val="nil"/>
              <w:bottom w:val="single" w:sz="4" w:space="0" w:color="auto"/>
              <w:right w:val="single" w:sz="4" w:space="0" w:color="auto"/>
            </w:tcBorders>
            <w:shd w:val="clear" w:color="auto" w:fill="auto"/>
            <w:noWrap/>
            <w:hideMark/>
          </w:tcPr>
          <w:p w14:paraId="1FFEA63E"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073C50A6" w14:textId="77777777" w:rsidR="00536F6A" w:rsidRPr="00BC081A" w:rsidRDefault="00536F6A" w:rsidP="00E24EF0">
            <w:pPr>
              <w:pStyle w:val="TableContext"/>
              <w:rPr>
                <w:lang w:val="en-CA"/>
              </w:rPr>
            </w:pPr>
            <w:r w:rsidRPr="00BC081A">
              <w:rPr>
                <w:lang w:val="en-CA"/>
              </w:rPr>
              <w:t>0.26</w:t>
            </w:r>
          </w:p>
        </w:tc>
        <w:tc>
          <w:tcPr>
            <w:tcW w:w="1036" w:type="dxa"/>
            <w:tcBorders>
              <w:top w:val="nil"/>
              <w:left w:val="nil"/>
              <w:bottom w:val="single" w:sz="4" w:space="0" w:color="auto"/>
              <w:right w:val="single" w:sz="4" w:space="0" w:color="auto"/>
            </w:tcBorders>
            <w:shd w:val="clear" w:color="auto" w:fill="auto"/>
            <w:noWrap/>
            <w:hideMark/>
          </w:tcPr>
          <w:p w14:paraId="2FEEA5A8" w14:textId="77777777" w:rsidR="00536F6A" w:rsidRPr="00BC081A" w:rsidRDefault="00536F6A" w:rsidP="00E24EF0">
            <w:pPr>
              <w:pStyle w:val="TableContext"/>
              <w:rPr>
                <w:lang w:val="en-CA"/>
              </w:rPr>
            </w:pPr>
            <w:r w:rsidRPr="00BC081A">
              <w:rPr>
                <w:lang w:val="en-CA"/>
              </w:rPr>
              <w:t>0.89</w:t>
            </w:r>
          </w:p>
        </w:tc>
        <w:tc>
          <w:tcPr>
            <w:tcW w:w="1036" w:type="dxa"/>
            <w:tcBorders>
              <w:top w:val="nil"/>
              <w:left w:val="nil"/>
              <w:bottom w:val="single" w:sz="4" w:space="0" w:color="auto"/>
              <w:right w:val="single" w:sz="4" w:space="0" w:color="auto"/>
            </w:tcBorders>
            <w:shd w:val="clear" w:color="auto" w:fill="auto"/>
            <w:noWrap/>
            <w:hideMark/>
          </w:tcPr>
          <w:p w14:paraId="7155DE18"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0636242D" w14:textId="77777777" w:rsidR="00536F6A" w:rsidRPr="00BC081A" w:rsidRDefault="00536F6A" w:rsidP="00E24EF0">
            <w:pPr>
              <w:pStyle w:val="TableContext"/>
              <w:rPr>
                <w:lang w:val="en-CA"/>
              </w:rPr>
            </w:pPr>
            <w:r w:rsidRPr="00BC081A">
              <w:rPr>
                <w:lang w:val="en-CA"/>
              </w:rPr>
              <w:t>0.97</w:t>
            </w:r>
          </w:p>
        </w:tc>
      </w:tr>
      <w:tr w:rsidR="00536F6A" w:rsidRPr="00BC081A" w14:paraId="0C50D3CA"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08C844F3" w14:textId="77777777" w:rsidR="00536F6A" w:rsidRPr="00BC081A" w:rsidRDefault="00536F6A" w:rsidP="00E24EF0">
            <w:pPr>
              <w:pStyle w:val="TableContext"/>
              <w:rPr>
                <w:lang w:val="en-CA"/>
              </w:rPr>
            </w:pPr>
            <w:r w:rsidRPr="00BC081A">
              <w:rPr>
                <w:lang w:val="en-CA"/>
              </w:rPr>
              <w:t>11</w:t>
            </w:r>
          </w:p>
        </w:tc>
        <w:tc>
          <w:tcPr>
            <w:tcW w:w="1036" w:type="dxa"/>
            <w:tcBorders>
              <w:top w:val="nil"/>
              <w:left w:val="nil"/>
              <w:bottom w:val="single" w:sz="4" w:space="0" w:color="auto"/>
              <w:right w:val="single" w:sz="4" w:space="0" w:color="auto"/>
            </w:tcBorders>
            <w:shd w:val="clear" w:color="auto" w:fill="auto"/>
            <w:noWrap/>
            <w:hideMark/>
          </w:tcPr>
          <w:p w14:paraId="0609D19B" w14:textId="77777777" w:rsidR="00536F6A" w:rsidRPr="00BC081A" w:rsidRDefault="00536F6A" w:rsidP="00E24EF0">
            <w:pPr>
              <w:pStyle w:val="TableContext"/>
              <w:rPr>
                <w:lang w:val="en-CA"/>
              </w:rPr>
            </w:pPr>
            <w:r w:rsidRPr="00BC081A">
              <w:rPr>
                <w:lang w:val="en-CA"/>
              </w:rPr>
              <w:t>185</w:t>
            </w:r>
          </w:p>
        </w:tc>
        <w:tc>
          <w:tcPr>
            <w:tcW w:w="1036" w:type="dxa"/>
            <w:tcBorders>
              <w:top w:val="nil"/>
              <w:left w:val="nil"/>
              <w:bottom w:val="single" w:sz="4" w:space="0" w:color="auto"/>
              <w:right w:val="single" w:sz="4" w:space="0" w:color="auto"/>
            </w:tcBorders>
            <w:shd w:val="clear" w:color="auto" w:fill="auto"/>
            <w:noWrap/>
            <w:hideMark/>
          </w:tcPr>
          <w:p w14:paraId="41BAEB0B"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3AD7E6A1" w14:textId="77777777" w:rsidR="00536F6A" w:rsidRPr="00BC081A" w:rsidRDefault="00536F6A" w:rsidP="00E24EF0">
            <w:pPr>
              <w:pStyle w:val="TableContext"/>
              <w:rPr>
                <w:lang w:val="en-CA"/>
              </w:rPr>
            </w:pPr>
            <w:r w:rsidRPr="00BC081A">
              <w:rPr>
                <w:lang w:val="en-CA"/>
              </w:rPr>
              <w:t>0.61</w:t>
            </w:r>
          </w:p>
        </w:tc>
        <w:tc>
          <w:tcPr>
            <w:tcW w:w="1036" w:type="dxa"/>
            <w:tcBorders>
              <w:top w:val="nil"/>
              <w:left w:val="nil"/>
              <w:bottom w:val="single" w:sz="4" w:space="0" w:color="auto"/>
              <w:right w:val="single" w:sz="4" w:space="0" w:color="auto"/>
            </w:tcBorders>
            <w:shd w:val="clear" w:color="auto" w:fill="auto"/>
            <w:noWrap/>
            <w:hideMark/>
          </w:tcPr>
          <w:p w14:paraId="07B77BF8" w14:textId="77777777" w:rsidR="00536F6A" w:rsidRPr="00BC081A" w:rsidRDefault="00536F6A" w:rsidP="00E24EF0">
            <w:pPr>
              <w:pStyle w:val="TableContext"/>
              <w:rPr>
                <w:lang w:val="en-CA"/>
              </w:rPr>
            </w:pPr>
            <w:r w:rsidRPr="00BC081A">
              <w:rPr>
                <w:lang w:val="en-CA"/>
              </w:rPr>
              <w:t>0.95</w:t>
            </w:r>
          </w:p>
        </w:tc>
        <w:tc>
          <w:tcPr>
            <w:tcW w:w="1036" w:type="dxa"/>
            <w:tcBorders>
              <w:top w:val="nil"/>
              <w:left w:val="nil"/>
              <w:bottom w:val="single" w:sz="4" w:space="0" w:color="auto"/>
              <w:right w:val="single" w:sz="4" w:space="0" w:color="auto"/>
            </w:tcBorders>
            <w:shd w:val="clear" w:color="auto" w:fill="auto"/>
            <w:noWrap/>
            <w:hideMark/>
          </w:tcPr>
          <w:p w14:paraId="251B8587"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2BDE5ADE" w14:textId="77777777" w:rsidR="00536F6A" w:rsidRPr="00BC081A" w:rsidRDefault="00536F6A" w:rsidP="00E24EF0">
            <w:pPr>
              <w:pStyle w:val="TableContext"/>
              <w:rPr>
                <w:lang w:val="en-CA"/>
              </w:rPr>
            </w:pPr>
            <w:r w:rsidRPr="00BC081A">
              <w:rPr>
                <w:lang w:val="en-CA"/>
              </w:rPr>
              <w:t>0.92</w:t>
            </w:r>
          </w:p>
        </w:tc>
      </w:tr>
      <w:tr w:rsidR="00536F6A" w:rsidRPr="00BC081A" w14:paraId="2E8035D9"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3D99765" w14:textId="77777777" w:rsidR="00536F6A" w:rsidRPr="00BC081A" w:rsidRDefault="00536F6A" w:rsidP="00E24EF0">
            <w:pPr>
              <w:pStyle w:val="TableContext"/>
              <w:rPr>
                <w:lang w:val="en-CA"/>
              </w:rPr>
            </w:pPr>
            <w:r w:rsidRPr="00BC081A">
              <w:rPr>
                <w:lang w:val="en-CA"/>
              </w:rPr>
              <w:t>12</w:t>
            </w:r>
          </w:p>
        </w:tc>
        <w:tc>
          <w:tcPr>
            <w:tcW w:w="1036" w:type="dxa"/>
            <w:tcBorders>
              <w:top w:val="nil"/>
              <w:left w:val="nil"/>
              <w:bottom w:val="single" w:sz="4" w:space="0" w:color="auto"/>
              <w:right w:val="single" w:sz="4" w:space="0" w:color="auto"/>
            </w:tcBorders>
            <w:shd w:val="clear" w:color="auto" w:fill="auto"/>
            <w:noWrap/>
            <w:hideMark/>
          </w:tcPr>
          <w:p w14:paraId="1D91BB36" w14:textId="77777777" w:rsidR="00536F6A" w:rsidRPr="00BC081A" w:rsidRDefault="00536F6A" w:rsidP="00E24EF0">
            <w:pPr>
              <w:pStyle w:val="TableContext"/>
              <w:rPr>
                <w:lang w:val="en-CA"/>
              </w:rPr>
            </w:pPr>
            <w:r w:rsidRPr="00BC081A">
              <w:rPr>
                <w:lang w:val="en-CA"/>
              </w:rPr>
              <w:t>270</w:t>
            </w:r>
          </w:p>
        </w:tc>
        <w:tc>
          <w:tcPr>
            <w:tcW w:w="1036" w:type="dxa"/>
            <w:tcBorders>
              <w:top w:val="nil"/>
              <w:left w:val="nil"/>
              <w:bottom w:val="single" w:sz="4" w:space="0" w:color="auto"/>
              <w:right w:val="single" w:sz="4" w:space="0" w:color="auto"/>
            </w:tcBorders>
            <w:shd w:val="clear" w:color="auto" w:fill="auto"/>
            <w:noWrap/>
            <w:hideMark/>
          </w:tcPr>
          <w:p w14:paraId="7AC7BEF6"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5BF5D3FC" w14:textId="77777777" w:rsidR="00536F6A" w:rsidRPr="00BC081A" w:rsidRDefault="00536F6A" w:rsidP="00E24EF0">
            <w:pPr>
              <w:pStyle w:val="TableContext"/>
              <w:rPr>
                <w:lang w:val="en-CA"/>
              </w:rPr>
            </w:pPr>
            <w:r w:rsidRPr="00BC081A">
              <w:rPr>
                <w:lang w:val="en-CA"/>
              </w:rPr>
              <w:t>0.60</w:t>
            </w:r>
          </w:p>
        </w:tc>
        <w:tc>
          <w:tcPr>
            <w:tcW w:w="1036" w:type="dxa"/>
            <w:tcBorders>
              <w:top w:val="nil"/>
              <w:left w:val="nil"/>
              <w:bottom w:val="single" w:sz="4" w:space="0" w:color="auto"/>
              <w:right w:val="single" w:sz="4" w:space="0" w:color="auto"/>
            </w:tcBorders>
            <w:shd w:val="clear" w:color="auto" w:fill="auto"/>
            <w:noWrap/>
            <w:hideMark/>
          </w:tcPr>
          <w:p w14:paraId="00D244B1" w14:textId="77777777" w:rsidR="00536F6A" w:rsidRPr="00BC081A" w:rsidRDefault="00536F6A" w:rsidP="00E24EF0">
            <w:pPr>
              <w:pStyle w:val="TableContext"/>
              <w:rPr>
                <w:lang w:val="en-CA"/>
              </w:rPr>
            </w:pPr>
            <w:r w:rsidRPr="00BC081A">
              <w:rPr>
                <w:lang w:val="en-CA"/>
              </w:rPr>
              <w:t>0.87</w:t>
            </w:r>
          </w:p>
        </w:tc>
        <w:tc>
          <w:tcPr>
            <w:tcW w:w="1036" w:type="dxa"/>
            <w:tcBorders>
              <w:top w:val="nil"/>
              <w:left w:val="nil"/>
              <w:bottom w:val="single" w:sz="4" w:space="0" w:color="auto"/>
              <w:right w:val="single" w:sz="4" w:space="0" w:color="auto"/>
            </w:tcBorders>
            <w:shd w:val="clear" w:color="auto" w:fill="auto"/>
            <w:noWrap/>
            <w:hideMark/>
          </w:tcPr>
          <w:p w14:paraId="1DA1DB1F"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655FFD2B" w14:textId="77777777" w:rsidR="00536F6A" w:rsidRPr="00BC081A" w:rsidRDefault="00536F6A" w:rsidP="00E24EF0">
            <w:pPr>
              <w:pStyle w:val="TableContext"/>
              <w:rPr>
                <w:lang w:val="en-CA"/>
              </w:rPr>
            </w:pPr>
            <w:r w:rsidRPr="00BC081A">
              <w:rPr>
                <w:lang w:val="en-CA"/>
              </w:rPr>
              <w:t>0.97</w:t>
            </w:r>
          </w:p>
        </w:tc>
      </w:tr>
      <w:tr w:rsidR="00536F6A" w:rsidRPr="00BC081A" w14:paraId="407067B6"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079E921D" w14:textId="77777777" w:rsidR="00536F6A" w:rsidRPr="00BC081A" w:rsidRDefault="00536F6A" w:rsidP="00E24EF0">
            <w:pPr>
              <w:pStyle w:val="TableContext"/>
              <w:rPr>
                <w:lang w:val="en-CA"/>
              </w:rPr>
            </w:pPr>
            <w:r w:rsidRPr="00BC081A">
              <w:rPr>
                <w:lang w:val="en-CA"/>
              </w:rPr>
              <w:t>13</w:t>
            </w:r>
          </w:p>
        </w:tc>
        <w:tc>
          <w:tcPr>
            <w:tcW w:w="1036" w:type="dxa"/>
            <w:tcBorders>
              <w:top w:val="nil"/>
              <w:left w:val="nil"/>
              <w:bottom w:val="single" w:sz="4" w:space="0" w:color="auto"/>
              <w:right w:val="single" w:sz="4" w:space="0" w:color="auto"/>
            </w:tcBorders>
            <w:shd w:val="clear" w:color="auto" w:fill="auto"/>
            <w:noWrap/>
            <w:hideMark/>
          </w:tcPr>
          <w:p w14:paraId="69581290" w14:textId="77777777" w:rsidR="00536F6A" w:rsidRPr="00BC081A" w:rsidRDefault="00536F6A" w:rsidP="00E24EF0">
            <w:pPr>
              <w:pStyle w:val="TableContext"/>
              <w:rPr>
                <w:lang w:val="en-CA"/>
              </w:rPr>
            </w:pPr>
            <w:r w:rsidRPr="00BC081A">
              <w:rPr>
                <w:lang w:val="en-CA"/>
              </w:rPr>
              <w:t>289</w:t>
            </w:r>
          </w:p>
        </w:tc>
        <w:tc>
          <w:tcPr>
            <w:tcW w:w="1036" w:type="dxa"/>
            <w:tcBorders>
              <w:top w:val="nil"/>
              <w:left w:val="nil"/>
              <w:bottom w:val="single" w:sz="4" w:space="0" w:color="auto"/>
              <w:right w:val="single" w:sz="4" w:space="0" w:color="auto"/>
            </w:tcBorders>
            <w:shd w:val="clear" w:color="auto" w:fill="auto"/>
            <w:noWrap/>
            <w:hideMark/>
          </w:tcPr>
          <w:p w14:paraId="72CD08B5"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3ED40542" w14:textId="77777777" w:rsidR="00536F6A" w:rsidRPr="00BC081A" w:rsidRDefault="00536F6A" w:rsidP="00E24EF0">
            <w:pPr>
              <w:pStyle w:val="TableContext"/>
              <w:rPr>
                <w:lang w:val="en-CA"/>
              </w:rPr>
            </w:pPr>
            <w:r w:rsidRPr="00BC081A">
              <w:rPr>
                <w:lang w:val="en-CA"/>
              </w:rPr>
              <w:t>0.43</w:t>
            </w:r>
          </w:p>
        </w:tc>
        <w:tc>
          <w:tcPr>
            <w:tcW w:w="1036" w:type="dxa"/>
            <w:tcBorders>
              <w:top w:val="nil"/>
              <w:left w:val="nil"/>
              <w:bottom w:val="single" w:sz="4" w:space="0" w:color="auto"/>
              <w:right w:val="single" w:sz="4" w:space="0" w:color="auto"/>
            </w:tcBorders>
            <w:shd w:val="clear" w:color="auto" w:fill="auto"/>
            <w:noWrap/>
            <w:hideMark/>
          </w:tcPr>
          <w:p w14:paraId="66DA9868" w14:textId="77777777" w:rsidR="00536F6A" w:rsidRPr="00BC081A" w:rsidRDefault="00536F6A" w:rsidP="00E24EF0">
            <w:pPr>
              <w:pStyle w:val="TableContext"/>
              <w:rPr>
                <w:lang w:val="en-CA"/>
              </w:rPr>
            </w:pPr>
            <w:r w:rsidRPr="00BC081A">
              <w:rPr>
                <w:lang w:val="en-CA"/>
              </w:rPr>
              <w:t>0.87</w:t>
            </w:r>
          </w:p>
        </w:tc>
        <w:tc>
          <w:tcPr>
            <w:tcW w:w="1036" w:type="dxa"/>
            <w:tcBorders>
              <w:top w:val="nil"/>
              <w:left w:val="nil"/>
              <w:bottom w:val="single" w:sz="4" w:space="0" w:color="auto"/>
              <w:right w:val="single" w:sz="4" w:space="0" w:color="auto"/>
            </w:tcBorders>
            <w:shd w:val="clear" w:color="auto" w:fill="auto"/>
            <w:noWrap/>
            <w:hideMark/>
          </w:tcPr>
          <w:p w14:paraId="6B15A90B"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3902EDFA" w14:textId="77777777" w:rsidR="00536F6A" w:rsidRPr="00BC081A" w:rsidRDefault="00536F6A" w:rsidP="00E24EF0">
            <w:pPr>
              <w:pStyle w:val="TableContext"/>
              <w:rPr>
                <w:lang w:val="en-CA"/>
              </w:rPr>
            </w:pPr>
            <w:r w:rsidRPr="00BC081A">
              <w:rPr>
                <w:lang w:val="en-CA"/>
              </w:rPr>
              <w:t>0.91</w:t>
            </w:r>
          </w:p>
        </w:tc>
      </w:tr>
      <w:tr w:rsidR="00536F6A" w:rsidRPr="00BC081A" w14:paraId="073858D7"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33478D6E" w14:textId="77777777" w:rsidR="00536F6A" w:rsidRPr="00BC081A" w:rsidRDefault="00536F6A" w:rsidP="00E24EF0">
            <w:pPr>
              <w:pStyle w:val="TableContext"/>
              <w:rPr>
                <w:lang w:val="en-CA"/>
              </w:rPr>
            </w:pPr>
            <w:r w:rsidRPr="00BC081A">
              <w:rPr>
                <w:lang w:val="en-CA"/>
              </w:rPr>
              <w:t>14</w:t>
            </w:r>
          </w:p>
        </w:tc>
        <w:tc>
          <w:tcPr>
            <w:tcW w:w="1036" w:type="dxa"/>
            <w:tcBorders>
              <w:top w:val="nil"/>
              <w:left w:val="nil"/>
              <w:bottom w:val="single" w:sz="4" w:space="0" w:color="auto"/>
              <w:right w:val="single" w:sz="4" w:space="0" w:color="auto"/>
            </w:tcBorders>
            <w:shd w:val="clear" w:color="auto" w:fill="auto"/>
            <w:noWrap/>
            <w:hideMark/>
          </w:tcPr>
          <w:p w14:paraId="5B098668" w14:textId="77777777" w:rsidR="00536F6A" w:rsidRPr="00BC081A" w:rsidRDefault="00536F6A" w:rsidP="00E24EF0">
            <w:pPr>
              <w:pStyle w:val="TableContext"/>
              <w:rPr>
                <w:lang w:val="en-CA"/>
              </w:rPr>
            </w:pPr>
            <w:r w:rsidRPr="00BC081A">
              <w:rPr>
                <w:lang w:val="en-CA"/>
              </w:rPr>
              <w:t>230</w:t>
            </w:r>
          </w:p>
        </w:tc>
        <w:tc>
          <w:tcPr>
            <w:tcW w:w="1036" w:type="dxa"/>
            <w:tcBorders>
              <w:top w:val="nil"/>
              <w:left w:val="nil"/>
              <w:bottom w:val="single" w:sz="4" w:space="0" w:color="auto"/>
              <w:right w:val="single" w:sz="4" w:space="0" w:color="auto"/>
            </w:tcBorders>
            <w:shd w:val="clear" w:color="auto" w:fill="auto"/>
            <w:noWrap/>
            <w:hideMark/>
          </w:tcPr>
          <w:p w14:paraId="17762EA2"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2BE7B114" w14:textId="77777777" w:rsidR="00536F6A" w:rsidRPr="00BC081A" w:rsidRDefault="00536F6A" w:rsidP="00E24EF0">
            <w:pPr>
              <w:pStyle w:val="TableContext"/>
              <w:rPr>
                <w:lang w:val="en-CA"/>
              </w:rPr>
            </w:pPr>
            <w:r w:rsidRPr="00BC081A">
              <w:rPr>
                <w:lang w:val="en-CA"/>
              </w:rPr>
              <w:t>0.76</w:t>
            </w:r>
          </w:p>
        </w:tc>
        <w:tc>
          <w:tcPr>
            <w:tcW w:w="1036" w:type="dxa"/>
            <w:tcBorders>
              <w:top w:val="nil"/>
              <w:left w:val="nil"/>
              <w:bottom w:val="single" w:sz="4" w:space="0" w:color="auto"/>
              <w:right w:val="single" w:sz="4" w:space="0" w:color="auto"/>
            </w:tcBorders>
            <w:shd w:val="clear" w:color="auto" w:fill="auto"/>
            <w:noWrap/>
            <w:hideMark/>
          </w:tcPr>
          <w:p w14:paraId="728116E4" w14:textId="77777777" w:rsidR="00536F6A" w:rsidRPr="00BC081A" w:rsidRDefault="00536F6A" w:rsidP="00E24EF0">
            <w:pPr>
              <w:pStyle w:val="TableContext"/>
              <w:rPr>
                <w:lang w:val="en-CA"/>
              </w:rPr>
            </w:pPr>
            <w:r w:rsidRPr="00BC081A">
              <w:rPr>
                <w:lang w:val="en-CA"/>
              </w:rPr>
              <w:t>0.91</w:t>
            </w:r>
          </w:p>
        </w:tc>
        <w:tc>
          <w:tcPr>
            <w:tcW w:w="1036" w:type="dxa"/>
            <w:tcBorders>
              <w:top w:val="nil"/>
              <w:left w:val="nil"/>
              <w:bottom w:val="single" w:sz="4" w:space="0" w:color="auto"/>
              <w:right w:val="single" w:sz="4" w:space="0" w:color="auto"/>
            </w:tcBorders>
            <w:shd w:val="clear" w:color="auto" w:fill="auto"/>
            <w:noWrap/>
            <w:hideMark/>
          </w:tcPr>
          <w:p w14:paraId="5D5825BB"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19AC6F59" w14:textId="77777777" w:rsidR="00536F6A" w:rsidRPr="00BC081A" w:rsidRDefault="00536F6A" w:rsidP="00E24EF0">
            <w:pPr>
              <w:pStyle w:val="TableContext"/>
              <w:rPr>
                <w:lang w:val="en-CA"/>
              </w:rPr>
            </w:pPr>
            <w:r w:rsidRPr="00BC081A">
              <w:rPr>
                <w:lang w:val="en-CA"/>
              </w:rPr>
              <w:t>0.91</w:t>
            </w:r>
          </w:p>
        </w:tc>
      </w:tr>
      <w:tr w:rsidR="00536F6A" w:rsidRPr="00BC081A" w14:paraId="50873753"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7B4E9BA" w14:textId="77777777" w:rsidR="00536F6A" w:rsidRPr="00BC081A" w:rsidRDefault="00536F6A" w:rsidP="00E24EF0">
            <w:pPr>
              <w:pStyle w:val="TableContext"/>
              <w:rPr>
                <w:lang w:val="en-CA"/>
              </w:rPr>
            </w:pPr>
            <w:r w:rsidRPr="00BC081A">
              <w:rPr>
                <w:lang w:val="en-CA"/>
              </w:rPr>
              <w:t>15</w:t>
            </w:r>
          </w:p>
        </w:tc>
        <w:tc>
          <w:tcPr>
            <w:tcW w:w="1036" w:type="dxa"/>
            <w:tcBorders>
              <w:top w:val="nil"/>
              <w:left w:val="nil"/>
              <w:bottom w:val="single" w:sz="4" w:space="0" w:color="auto"/>
              <w:right w:val="single" w:sz="4" w:space="0" w:color="auto"/>
            </w:tcBorders>
            <w:shd w:val="clear" w:color="auto" w:fill="auto"/>
            <w:noWrap/>
            <w:hideMark/>
          </w:tcPr>
          <w:p w14:paraId="12775233" w14:textId="77777777" w:rsidR="00536F6A" w:rsidRPr="00BC081A" w:rsidRDefault="00536F6A" w:rsidP="00E24EF0">
            <w:pPr>
              <w:pStyle w:val="TableContext"/>
              <w:rPr>
                <w:lang w:val="en-CA"/>
              </w:rPr>
            </w:pPr>
            <w:r w:rsidRPr="00BC081A">
              <w:rPr>
                <w:lang w:val="en-CA"/>
              </w:rPr>
              <w:t>280</w:t>
            </w:r>
          </w:p>
        </w:tc>
        <w:tc>
          <w:tcPr>
            <w:tcW w:w="1036" w:type="dxa"/>
            <w:tcBorders>
              <w:top w:val="nil"/>
              <w:left w:val="nil"/>
              <w:bottom w:val="single" w:sz="4" w:space="0" w:color="auto"/>
              <w:right w:val="single" w:sz="4" w:space="0" w:color="auto"/>
            </w:tcBorders>
            <w:shd w:val="clear" w:color="auto" w:fill="auto"/>
            <w:noWrap/>
            <w:hideMark/>
          </w:tcPr>
          <w:p w14:paraId="069928E6"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3CC2C623" w14:textId="77777777" w:rsidR="00536F6A" w:rsidRPr="00BC081A" w:rsidRDefault="00536F6A" w:rsidP="00E24EF0">
            <w:pPr>
              <w:pStyle w:val="TableContext"/>
              <w:rPr>
                <w:lang w:val="en-CA"/>
              </w:rPr>
            </w:pPr>
            <w:r w:rsidRPr="00BC081A">
              <w:rPr>
                <w:lang w:val="en-CA"/>
              </w:rPr>
              <w:t>0.57</w:t>
            </w:r>
          </w:p>
        </w:tc>
        <w:tc>
          <w:tcPr>
            <w:tcW w:w="1036" w:type="dxa"/>
            <w:tcBorders>
              <w:top w:val="nil"/>
              <w:left w:val="nil"/>
              <w:bottom w:val="single" w:sz="4" w:space="0" w:color="auto"/>
              <w:right w:val="single" w:sz="4" w:space="0" w:color="auto"/>
            </w:tcBorders>
            <w:shd w:val="clear" w:color="auto" w:fill="auto"/>
            <w:noWrap/>
            <w:hideMark/>
          </w:tcPr>
          <w:p w14:paraId="17380A9A" w14:textId="77777777" w:rsidR="00536F6A" w:rsidRPr="00BC081A" w:rsidRDefault="00536F6A" w:rsidP="00E24EF0">
            <w:pPr>
              <w:pStyle w:val="TableContext"/>
              <w:rPr>
                <w:lang w:val="en-CA"/>
              </w:rPr>
            </w:pPr>
            <w:r w:rsidRPr="00BC081A">
              <w:rPr>
                <w:lang w:val="en-CA"/>
              </w:rPr>
              <w:t>0.89</w:t>
            </w:r>
          </w:p>
        </w:tc>
        <w:tc>
          <w:tcPr>
            <w:tcW w:w="1036" w:type="dxa"/>
            <w:tcBorders>
              <w:top w:val="nil"/>
              <w:left w:val="nil"/>
              <w:bottom w:val="single" w:sz="4" w:space="0" w:color="auto"/>
              <w:right w:val="single" w:sz="4" w:space="0" w:color="auto"/>
            </w:tcBorders>
            <w:shd w:val="clear" w:color="auto" w:fill="auto"/>
            <w:noWrap/>
            <w:hideMark/>
          </w:tcPr>
          <w:p w14:paraId="5BFB8046"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5A74DE76" w14:textId="77777777" w:rsidR="00536F6A" w:rsidRPr="00BC081A" w:rsidRDefault="00536F6A" w:rsidP="00E24EF0">
            <w:pPr>
              <w:pStyle w:val="TableContext"/>
              <w:rPr>
                <w:lang w:val="en-CA"/>
              </w:rPr>
            </w:pPr>
            <w:r w:rsidRPr="00BC081A">
              <w:rPr>
                <w:lang w:val="en-CA"/>
              </w:rPr>
              <w:t>1</w:t>
            </w:r>
          </w:p>
        </w:tc>
      </w:tr>
      <w:tr w:rsidR="00536F6A" w:rsidRPr="00BC081A" w14:paraId="42BE7727"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E62388D" w14:textId="77777777" w:rsidR="00536F6A" w:rsidRPr="00BC081A" w:rsidRDefault="00536F6A" w:rsidP="00E24EF0">
            <w:pPr>
              <w:pStyle w:val="TableContext"/>
              <w:rPr>
                <w:lang w:val="en-CA"/>
              </w:rPr>
            </w:pPr>
            <w:r w:rsidRPr="00BC081A">
              <w:rPr>
                <w:lang w:val="en-CA"/>
              </w:rPr>
              <w:t>16</w:t>
            </w:r>
          </w:p>
        </w:tc>
        <w:tc>
          <w:tcPr>
            <w:tcW w:w="1036" w:type="dxa"/>
            <w:tcBorders>
              <w:top w:val="nil"/>
              <w:left w:val="nil"/>
              <w:bottom w:val="single" w:sz="4" w:space="0" w:color="auto"/>
              <w:right w:val="single" w:sz="4" w:space="0" w:color="auto"/>
            </w:tcBorders>
            <w:shd w:val="clear" w:color="auto" w:fill="auto"/>
            <w:noWrap/>
            <w:hideMark/>
          </w:tcPr>
          <w:p w14:paraId="49206B6A" w14:textId="77777777" w:rsidR="00536F6A" w:rsidRPr="00BC081A" w:rsidRDefault="00536F6A" w:rsidP="00E24EF0">
            <w:pPr>
              <w:pStyle w:val="TableContext"/>
              <w:rPr>
                <w:lang w:val="en-CA"/>
              </w:rPr>
            </w:pPr>
            <w:r w:rsidRPr="00BC081A">
              <w:rPr>
                <w:lang w:val="en-CA"/>
              </w:rPr>
              <w:t>102</w:t>
            </w:r>
          </w:p>
        </w:tc>
        <w:tc>
          <w:tcPr>
            <w:tcW w:w="1036" w:type="dxa"/>
            <w:tcBorders>
              <w:top w:val="nil"/>
              <w:left w:val="nil"/>
              <w:bottom w:val="single" w:sz="4" w:space="0" w:color="auto"/>
              <w:right w:val="single" w:sz="4" w:space="0" w:color="auto"/>
            </w:tcBorders>
            <w:shd w:val="clear" w:color="auto" w:fill="auto"/>
            <w:noWrap/>
            <w:hideMark/>
          </w:tcPr>
          <w:p w14:paraId="7BC59473"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65DD02E6" w14:textId="77777777" w:rsidR="00536F6A" w:rsidRPr="00BC081A" w:rsidRDefault="00536F6A" w:rsidP="00E24EF0">
            <w:pPr>
              <w:pStyle w:val="TableContext"/>
              <w:rPr>
                <w:lang w:val="en-CA"/>
              </w:rPr>
            </w:pPr>
            <w:r w:rsidRPr="00BC081A">
              <w:rPr>
                <w:lang w:val="en-CA"/>
              </w:rPr>
              <w:t>0.33</w:t>
            </w:r>
          </w:p>
        </w:tc>
        <w:tc>
          <w:tcPr>
            <w:tcW w:w="1036" w:type="dxa"/>
            <w:tcBorders>
              <w:top w:val="nil"/>
              <w:left w:val="nil"/>
              <w:bottom w:val="single" w:sz="4" w:space="0" w:color="auto"/>
              <w:right w:val="single" w:sz="4" w:space="0" w:color="auto"/>
            </w:tcBorders>
            <w:shd w:val="clear" w:color="auto" w:fill="auto"/>
            <w:noWrap/>
            <w:hideMark/>
          </w:tcPr>
          <w:p w14:paraId="6AC52CF6" w14:textId="77777777" w:rsidR="00536F6A" w:rsidRPr="00BC081A" w:rsidRDefault="00536F6A" w:rsidP="00E24EF0">
            <w:pPr>
              <w:pStyle w:val="TableContext"/>
              <w:rPr>
                <w:lang w:val="en-CA"/>
              </w:rPr>
            </w:pPr>
            <w:r w:rsidRPr="00BC081A">
              <w:rPr>
                <w:lang w:val="en-CA"/>
              </w:rPr>
              <w:t>0.76</w:t>
            </w:r>
          </w:p>
        </w:tc>
        <w:tc>
          <w:tcPr>
            <w:tcW w:w="1036" w:type="dxa"/>
            <w:tcBorders>
              <w:top w:val="nil"/>
              <w:left w:val="nil"/>
              <w:bottom w:val="single" w:sz="4" w:space="0" w:color="auto"/>
              <w:right w:val="single" w:sz="4" w:space="0" w:color="auto"/>
            </w:tcBorders>
            <w:shd w:val="clear" w:color="auto" w:fill="auto"/>
            <w:noWrap/>
            <w:hideMark/>
          </w:tcPr>
          <w:p w14:paraId="295AB96D"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18885F58" w14:textId="77777777" w:rsidR="00536F6A" w:rsidRPr="00BC081A" w:rsidRDefault="00536F6A" w:rsidP="00E24EF0">
            <w:pPr>
              <w:pStyle w:val="TableContext"/>
              <w:rPr>
                <w:lang w:val="en-CA"/>
              </w:rPr>
            </w:pPr>
            <w:r w:rsidRPr="00BC081A">
              <w:rPr>
                <w:lang w:val="en-CA"/>
              </w:rPr>
              <w:t>0.62</w:t>
            </w:r>
          </w:p>
        </w:tc>
      </w:tr>
      <w:tr w:rsidR="00536F6A" w:rsidRPr="00BC081A" w14:paraId="32C78F09"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FEDF840" w14:textId="77777777" w:rsidR="00536F6A" w:rsidRPr="00BC081A" w:rsidRDefault="00536F6A" w:rsidP="00E24EF0">
            <w:pPr>
              <w:pStyle w:val="TableContext"/>
              <w:rPr>
                <w:lang w:val="en-CA"/>
              </w:rPr>
            </w:pPr>
            <w:r w:rsidRPr="00BC081A">
              <w:rPr>
                <w:lang w:val="en-CA"/>
              </w:rPr>
              <w:t>17</w:t>
            </w:r>
          </w:p>
        </w:tc>
        <w:tc>
          <w:tcPr>
            <w:tcW w:w="1036" w:type="dxa"/>
            <w:tcBorders>
              <w:top w:val="nil"/>
              <w:left w:val="nil"/>
              <w:bottom w:val="single" w:sz="4" w:space="0" w:color="auto"/>
              <w:right w:val="single" w:sz="4" w:space="0" w:color="auto"/>
            </w:tcBorders>
            <w:shd w:val="clear" w:color="auto" w:fill="auto"/>
            <w:noWrap/>
            <w:hideMark/>
          </w:tcPr>
          <w:p w14:paraId="07596401" w14:textId="77777777" w:rsidR="00536F6A" w:rsidRPr="00BC081A" w:rsidRDefault="00536F6A" w:rsidP="00E24EF0">
            <w:pPr>
              <w:pStyle w:val="TableContext"/>
              <w:rPr>
                <w:lang w:val="en-CA"/>
              </w:rPr>
            </w:pPr>
            <w:r w:rsidRPr="00BC081A">
              <w:rPr>
                <w:lang w:val="en-CA"/>
              </w:rPr>
              <w:t>281</w:t>
            </w:r>
          </w:p>
        </w:tc>
        <w:tc>
          <w:tcPr>
            <w:tcW w:w="1036" w:type="dxa"/>
            <w:tcBorders>
              <w:top w:val="nil"/>
              <w:left w:val="nil"/>
              <w:bottom w:val="single" w:sz="4" w:space="0" w:color="auto"/>
              <w:right w:val="single" w:sz="4" w:space="0" w:color="auto"/>
            </w:tcBorders>
            <w:shd w:val="clear" w:color="auto" w:fill="auto"/>
            <w:noWrap/>
            <w:hideMark/>
          </w:tcPr>
          <w:p w14:paraId="0B5E290C"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36596B0E" w14:textId="77777777" w:rsidR="00536F6A" w:rsidRPr="00BC081A" w:rsidRDefault="00536F6A" w:rsidP="00E24EF0">
            <w:pPr>
              <w:pStyle w:val="TableContext"/>
              <w:rPr>
                <w:lang w:val="en-CA"/>
              </w:rPr>
            </w:pPr>
            <w:r w:rsidRPr="00BC081A">
              <w:rPr>
                <w:lang w:val="en-CA"/>
              </w:rPr>
              <w:t>0.57</w:t>
            </w:r>
          </w:p>
        </w:tc>
        <w:tc>
          <w:tcPr>
            <w:tcW w:w="1036" w:type="dxa"/>
            <w:tcBorders>
              <w:top w:val="nil"/>
              <w:left w:val="nil"/>
              <w:bottom w:val="single" w:sz="4" w:space="0" w:color="auto"/>
              <w:right w:val="single" w:sz="4" w:space="0" w:color="auto"/>
            </w:tcBorders>
            <w:shd w:val="clear" w:color="auto" w:fill="auto"/>
            <w:noWrap/>
            <w:hideMark/>
          </w:tcPr>
          <w:p w14:paraId="1F6CCCAF" w14:textId="77777777" w:rsidR="00536F6A" w:rsidRPr="00BC081A" w:rsidRDefault="00536F6A" w:rsidP="00E24EF0">
            <w:pPr>
              <w:pStyle w:val="TableContext"/>
              <w:rPr>
                <w:lang w:val="en-CA"/>
              </w:rPr>
            </w:pPr>
            <w:r w:rsidRPr="00BC081A">
              <w:rPr>
                <w:lang w:val="en-CA"/>
              </w:rPr>
              <w:t>0.85</w:t>
            </w:r>
          </w:p>
        </w:tc>
        <w:tc>
          <w:tcPr>
            <w:tcW w:w="1036" w:type="dxa"/>
            <w:tcBorders>
              <w:top w:val="nil"/>
              <w:left w:val="nil"/>
              <w:bottom w:val="single" w:sz="4" w:space="0" w:color="auto"/>
              <w:right w:val="single" w:sz="4" w:space="0" w:color="auto"/>
            </w:tcBorders>
            <w:shd w:val="clear" w:color="auto" w:fill="auto"/>
            <w:noWrap/>
            <w:hideMark/>
          </w:tcPr>
          <w:p w14:paraId="2BF50BD3"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72D3649B" w14:textId="77777777" w:rsidR="00536F6A" w:rsidRPr="00BC081A" w:rsidRDefault="00536F6A" w:rsidP="00E24EF0">
            <w:pPr>
              <w:pStyle w:val="TableContext"/>
              <w:rPr>
                <w:lang w:val="en-CA"/>
              </w:rPr>
            </w:pPr>
            <w:r w:rsidRPr="00BC081A">
              <w:rPr>
                <w:lang w:val="en-CA"/>
              </w:rPr>
              <w:t>0.87</w:t>
            </w:r>
          </w:p>
        </w:tc>
      </w:tr>
      <w:tr w:rsidR="00536F6A" w:rsidRPr="00BC081A" w14:paraId="6D9F669C"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2CC72882" w14:textId="77777777" w:rsidR="00536F6A" w:rsidRPr="00BC081A" w:rsidRDefault="00536F6A" w:rsidP="00E24EF0">
            <w:pPr>
              <w:pStyle w:val="TableContext"/>
              <w:rPr>
                <w:lang w:val="en-CA"/>
              </w:rPr>
            </w:pPr>
            <w:r w:rsidRPr="00BC081A">
              <w:rPr>
                <w:lang w:val="en-CA"/>
              </w:rPr>
              <w:lastRenderedPageBreak/>
              <w:t>18</w:t>
            </w:r>
          </w:p>
        </w:tc>
        <w:tc>
          <w:tcPr>
            <w:tcW w:w="1036" w:type="dxa"/>
            <w:tcBorders>
              <w:top w:val="nil"/>
              <w:left w:val="nil"/>
              <w:bottom w:val="single" w:sz="4" w:space="0" w:color="auto"/>
              <w:right w:val="single" w:sz="4" w:space="0" w:color="auto"/>
            </w:tcBorders>
            <w:shd w:val="clear" w:color="auto" w:fill="auto"/>
            <w:noWrap/>
            <w:hideMark/>
          </w:tcPr>
          <w:p w14:paraId="6F69CDB4" w14:textId="77777777" w:rsidR="00536F6A" w:rsidRPr="00BC081A" w:rsidRDefault="00536F6A" w:rsidP="00E24EF0">
            <w:pPr>
              <w:pStyle w:val="TableContext"/>
              <w:rPr>
                <w:lang w:val="en-CA"/>
              </w:rPr>
            </w:pPr>
            <w:r w:rsidRPr="00BC081A">
              <w:rPr>
                <w:lang w:val="en-CA"/>
              </w:rPr>
              <w:t>172</w:t>
            </w:r>
          </w:p>
        </w:tc>
        <w:tc>
          <w:tcPr>
            <w:tcW w:w="1036" w:type="dxa"/>
            <w:tcBorders>
              <w:top w:val="nil"/>
              <w:left w:val="nil"/>
              <w:bottom w:val="single" w:sz="4" w:space="0" w:color="auto"/>
              <w:right w:val="single" w:sz="4" w:space="0" w:color="auto"/>
            </w:tcBorders>
            <w:shd w:val="clear" w:color="auto" w:fill="auto"/>
            <w:noWrap/>
            <w:hideMark/>
          </w:tcPr>
          <w:p w14:paraId="4905615C"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6E74E0B5" w14:textId="77777777" w:rsidR="00536F6A" w:rsidRPr="00BC081A" w:rsidRDefault="00536F6A" w:rsidP="00E24EF0">
            <w:pPr>
              <w:pStyle w:val="TableContext"/>
              <w:rPr>
                <w:lang w:val="en-CA"/>
              </w:rPr>
            </w:pPr>
            <w:r w:rsidRPr="00BC081A">
              <w:rPr>
                <w:lang w:val="en-CA"/>
              </w:rPr>
              <w:t>0.49</w:t>
            </w:r>
          </w:p>
        </w:tc>
        <w:tc>
          <w:tcPr>
            <w:tcW w:w="1036" w:type="dxa"/>
            <w:tcBorders>
              <w:top w:val="nil"/>
              <w:left w:val="nil"/>
              <w:bottom w:val="single" w:sz="4" w:space="0" w:color="auto"/>
              <w:right w:val="single" w:sz="4" w:space="0" w:color="auto"/>
            </w:tcBorders>
            <w:shd w:val="clear" w:color="auto" w:fill="auto"/>
            <w:noWrap/>
            <w:hideMark/>
          </w:tcPr>
          <w:p w14:paraId="14DD7B3D" w14:textId="77777777" w:rsidR="00536F6A" w:rsidRPr="00BC081A" w:rsidRDefault="00536F6A" w:rsidP="00E24EF0">
            <w:pPr>
              <w:pStyle w:val="TableContext"/>
              <w:rPr>
                <w:lang w:val="en-CA"/>
              </w:rPr>
            </w:pPr>
            <w:r w:rsidRPr="00BC081A">
              <w:rPr>
                <w:lang w:val="en-CA"/>
              </w:rPr>
              <w:t>0.84</w:t>
            </w:r>
          </w:p>
        </w:tc>
        <w:tc>
          <w:tcPr>
            <w:tcW w:w="1036" w:type="dxa"/>
            <w:tcBorders>
              <w:top w:val="nil"/>
              <w:left w:val="nil"/>
              <w:bottom w:val="single" w:sz="4" w:space="0" w:color="auto"/>
              <w:right w:val="single" w:sz="4" w:space="0" w:color="auto"/>
            </w:tcBorders>
            <w:shd w:val="clear" w:color="auto" w:fill="auto"/>
            <w:noWrap/>
            <w:hideMark/>
          </w:tcPr>
          <w:p w14:paraId="0FCD93D4"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5CACD620" w14:textId="77777777" w:rsidR="00536F6A" w:rsidRPr="00BC081A" w:rsidRDefault="00536F6A" w:rsidP="00E24EF0">
            <w:pPr>
              <w:pStyle w:val="TableContext"/>
              <w:rPr>
                <w:lang w:val="en-CA"/>
              </w:rPr>
            </w:pPr>
            <w:r w:rsidRPr="00BC081A">
              <w:rPr>
                <w:lang w:val="en-CA"/>
              </w:rPr>
              <w:t>0.88</w:t>
            </w:r>
          </w:p>
        </w:tc>
      </w:tr>
      <w:tr w:rsidR="00536F6A" w:rsidRPr="00BC081A" w14:paraId="57D16DC6"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7305879" w14:textId="77777777" w:rsidR="00536F6A" w:rsidRPr="00BC081A" w:rsidRDefault="00536F6A" w:rsidP="00E24EF0">
            <w:pPr>
              <w:pStyle w:val="TableContext"/>
              <w:rPr>
                <w:lang w:val="en-CA"/>
              </w:rPr>
            </w:pPr>
            <w:r w:rsidRPr="00BC081A">
              <w:rPr>
                <w:lang w:val="en-CA"/>
              </w:rPr>
              <w:t>19</w:t>
            </w:r>
          </w:p>
        </w:tc>
        <w:tc>
          <w:tcPr>
            <w:tcW w:w="1036" w:type="dxa"/>
            <w:tcBorders>
              <w:top w:val="nil"/>
              <w:left w:val="nil"/>
              <w:bottom w:val="single" w:sz="4" w:space="0" w:color="auto"/>
              <w:right w:val="single" w:sz="4" w:space="0" w:color="auto"/>
            </w:tcBorders>
            <w:shd w:val="clear" w:color="auto" w:fill="auto"/>
            <w:noWrap/>
            <w:hideMark/>
          </w:tcPr>
          <w:p w14:paraId="34BEDFB7" w14:textId="77777777" w:rsidR="00536F6A" w:rsidRPr="00BC081A" w:rsidRDefault="00536F6A" w:rsidP="00E24EF0">
            <w:pPr>
              <w:pStyle w:val="TableContext"/>
              <w:rPr>
                <w:lang w:val="en-CA"/>
              </w:rPr>
            </w:pPr>
            <w:r w:rsidRPr="00BC081A">
              <w:rPr>
                <w:lang w:val="en-CA"/>
              </w:rPr>
              <w:t>197</w:t>
            </w:r>
          </w:p>
        </w:tc>
        <w:tc>
          <w:tcPr>
            <w:tcW w:w="1036" w:type="dxa"/>
            <w:tcBorders>
              <w:top w:val="nil"/>
              <w:left w:val="nil"/>
              <w:bottom w:val="single" w:sz="4" w:space="0" w:color="auto"/>
              <w:right w:val="single" w:sz="4" w:space="0" w:color="auto"/>
            </w:tcBorders>
            <w:shd w:val="clear" w:color="auto" w:fill="auto"/>
            <w:noWrap/>
            <w:hideMark/>
          </w:tcPr>
          <w:p w14:paraId="19994D71"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293CB95A" w14:textId="77777777" w:rsidR="00536F6A" w:rsidRPr="00BC081A" w:rsidRDefault="00536F6A" w:rsidP="00E24EF0">
            <w:pPr>
              <w:pStyle w:val="TableContext"/>
              <w:rPr>
                <w:lang w:val="en-CA"/>
              </w:rPr>
            </w:pPr>
            <w:r w:rsidRPr="00BC081A">
              <w:rPr>
                <w:lang w:val="en-CA"/>
              </w:rPr>
              <w:t>0.58</w:t>
            </w:r>
          </w:p>
        </w:tc>
        <w:tc>
          <w:tcPr>
            <w:tcW w:w="1036" w:type="dxa"/>
            <w:tcBorders>
              <w:top w:val="nil"/>
              <w:left w:val="nil"/>
              <w:bottom w:val="single" w:sz="4" w:space="0" w:color="auto"/>
              <w:right w:val="single" w:sz="4" w:space="0" w:color="auto"/>
            </w:tcBorders>
            <w:shd w:val="clear" w:color="auto" w:fill="auto"/>
            <w:noWrap/>
            <w:hideMark/>
          </w:tcPr>
          <w:p w14:paraId="199F683F" w14:textId="77777777" w:rsidR="00536F6A" w:rsidRPr="00BC081A" w:rsidRDefault="00536F6A" w:rsidP="00E24EF0">
            <w:pPr>
              <w:pStyle w:val="TableContext"/>
              <w:rPr>
                <w:lang w:val="en-CA"/>
              </w:rPr>
            </w:pPr>
            <w:r w:rsidRPr="00BC081A">
              <w:rPr>
                <w:lang w:val="en-CA"/>
              </w:rPr>
              <w:t>0.92</w:t>
            </w:r>
          </w:p>
        </w:tc>
        <w:tc>
          <w:tcPr>
            <w:tcW w:w="1036" w:type="dxa"/>
            <w:tcBorders>
              <w:top w:val="nil"/>
              <w:left w:val="nil"/>
              <w:bottom w:val="single" w:sz="4" w:space="0" w:color="auto"/>
              <w:right w:val="single" w:sz="4" w:space="0" w:color="auto"/>
            </w:tcBorders>
            <w:shd w:val="clear" w:color="auto" w:fill="auto"/>
            <w:noWrap/>
            <w:hideMark/>
          </w:tcPr>
          <w:p w14:paraId="136EF55B"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22C76DF1" w14:textId="77777777" w:rsidR="00536F6A" w:rsidRPr="00BC081A" w:rsidRDefault="00536F6A" w:rsidP="00E24EF0">
            <w:pPr>
              <w:pStyle w:val="TableContext"/>
              <w:rPr>
                <w:lang w:val="en-CA"/>
              </w:rPr>
            </w:pPr>
            <w:r w:rsidRPr="00BC081A">
              <w:rPr>
                <w:lang w:val="en-CA"/>
              </w:rPr>
              <w:t>0.94</w:t>
            </w:r>
          </w:p>
        </w:tc>
      </w:tr>
      <w:tr w:rsidR="00536F6A" w:rsidRPr="00BC081A" w14:paraId="51CB1C97"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86D19C0" w14:textId="77777777" w:rsidR="00536F6A" w:rsidRPr="00BC081A" w:rsidRDefault="00536F6A" w:rsidP="00E24EF0">
            <w:pPr>
              <w:pStyle w:val="TableContext"/>
              <w:rPr>
                <w:lang w:val="en-CA"/>
              </w:rPr>
            </w:pPr>
            <w:r w:rsidRPr="00BC081A">
              <w:rPr>
                <w:lang w:val="en-CA"/>
              </w:rPr>
              <w:t>20</w:t>
            </w:r>
          </w:p>
        </w:tc>
        <w:tc>
          <w:tcPr>
            <w:tcW w:w="1036" w:type="dxa"/>
            <w:tcBorders>
              <w:top w:val="nil"/>
              <w:left w:val="nil"/>
              <w:bottom w:val="single" w:sz="4" w:space="0" w:color="auto"/>
              <w:right w:val="single" w:sz="4" w:space="0" w:color="auto"/>
            </w:tcBorders>
            <w:shd w:val="clear" w:color="auto" w:fill="auto"/>
            <w:noWrap/>
            <w:hideMark/>
          </w:tcPr>
          <w:p w14:paraId="2C81A5E8" w14:textId="77777777" w:rsidR="00536F6A" w:rsidRPr="00BC081A" w:rsidRDefault="00536F6A" w:rsidP="00E24EF0">
            <w:pPr>
              <w:pStyle w:val="TableContext"/>
              <w:rPr>
                <w:lang w:val="en-CA"/>
              </w:rPr>
            </w:pPr>
            <w:r w:rsidRPr="00BC081A">
              <w:rPr>
                <w:lang w:val="en-CA"/>
              </w:rPr>
              <w:t>303</w:t>
            </w:r>
          </w:p>
        </w:tc>
        <w:tc>
          <w:tcPr>
            <w:tcW w:w="1036" w:type="dxa"/>
            <w:tcBorders>
              <w:top w:val="nil"/>
              <w:left w:val="nil"/>
              <w:bottom w:val="single" w:sz="4" w:space="0" w:color="auto"/>
              <w:right w:val="single" w:sz="4" w:space="0" w:color="auto"/>
            </w:tcBorders>
            <w:shd w:val="clear" w:color="auto" w:fill="auto"/>
            <w:noWrap/>
            <w:hideMark/>
          </w:tcPr>
          <w:p w14:paraId="04C66FE1"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4BBEBFDD" w14:textId="77777777" w:rsidR="00536F6A" w:rsidRPr="00BC081A" w:rsidRDefault="00536F6A" w:rsidP="00E24EF0">
            <w:pPr>
              <w:pStyle w:val="TableContext"/>
              <w:rPr>
                <w:lang w:val="en-CA"/>
              </w:rPr>
            </w:pPr>
            <w:r w:rsidRPr="00BC081A">
              <w:rPr>
                <w:lang w:val="en-CA"/>
              </w:rPr>
              <w:t>0.46</w:t>
            </w:r>
          </w:p>
        </w:tc>
        <w:tc>
          <w:tcPr>
            <w:tcW w:w="1036" w:type="dxa"/>
            <w:tcBorders>
              <w:top w:val="nil"/>
              <w:left w:val="nil"/>
              <w:bottom w:val="single" w:sz="4" w:space="0" w:color="auto"/>
              <w:right w:val="single" w:sz="4" w:space="0" w:color="auto"/>
            </w:tcBorders>
            <w:shd w:val="clear" w:color="auto" w:fill="auto"/>
            <w:noWrap/>
            <w:hideMark/>
          </w:tcPr>
          <w:p w14:paraId="6FD352CE" w14:textId="77777777" w:rsidR="00536F6A" w:rsidRPr="00BC081A" w:rsidRDefault="00536F6A" w:rsidP="00E24EF0">
            <w:pPr>
              <w:pStyle w:val="TableContext"/>
              <w:rPr>
                <w:lang w:val="en-CA"/>
              </w:rPr>
            </w:pPr>
            <w:r w:rsidRPr="00BC081A">
              <w:rPr>
                <w:lang w:val="en-CA"/>
              </w:rPr>
              <w:t>0.95</w:t>
            </w:r>
          </w:p>
        </w:tc>
        <w:tc>
          <w:tcPr>
            <w:tcW w:w="1036" w:type="dxa"/>
            <w:tcBorders>
              <w:top w:val="nil"/>
              <w:left w:val="nil"/>
              <w:bottom w:val="single" w:sz="4" w:space="0" w:color="auto"/>
              <w:right w:val="single" w:sz="4" w:space="0" w:color="auto"/>
            </w:tcBorders>
            <w:shd w:val="clear" w:color="auto" w:fill="auto"/>
            <w:noWrap/>
            <w:hideMark/>
          </w:tcPr>
          <w:p w14:paraId="191C9AA8"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7965CF35" w14:textId="77777777" w:rsidR="00536F6A" w:rsidRPr="00BC081A" w:rsidRDefault="00536F6A" w:rsidP="00E24EF0">
            <w:pPr>
              <w:pStyle w:val="TableContext"/>
              <w:rPr>
                <w:lang w:val="en-CA"/>
              </w:rPr>
            </w:pPr>
            <w:r w:rsidRPr="00BC081A">
              <w:rPr>
                <w:lang w:val="en-CA"/>
              </w:rPr>
              <w:t>0.79</w:t>
            </w:r>
          </w:p>
        </w:tc>
      </w:tr>
      <w:tr w:rsidR="00536F6A" w:rsidRPr="00BC081A" w14:paraId="460E08F8"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78149BE7" w14:textId="77777777" w:rsidR="00536F6A" w:rsidRPr="00BC081A" w:rsidRDefault="00536F6A" w:rsidP="00E24EF0">
            <w:pPr>
              <w:pStyle w:val="TableContext"/>
              <w:rPr>
                <w:lang w:val="en-CA"/>
              </w:rPr>
            </w:pPr>
            <w:r w:rsidRPr="00BC081A">
              <w:rPr>
                <w:lang w:val="en-CA"/>
              </w:rPr>
              <w:t>21</w:t>
            </w:r>
          </w:p>
        </w:tc>
        <w:tc>
          <w:tcPr>
            <w:tcW w:w="1036" w:type="dxa"/>
            <w:tcBorders>
              <w:top w:val="nil"/>
              <w:left w:val="nil"/>
              <w:bottom w:val="single" w:sz="4" w:space="0" w:color="auto"/>
              <w:right w:val="single" w:sz="4" w:space="0" w:color="auto"/>
            </w:tcBorders>
            <w:shd w:val="clear" w:color="auto" w:fill="auto"/>
            <w:noWrap/>
            <w:hideMark/>
          </w:tcPr>
          <w:p w14:paraId="49ADDEF5" w14:textId="77777777" w:rsidR="00536F6A" w:rsidRPr="00BC081A" w:rsidRDefault="00536F6A" w:rsidP="00E24EF0">
            <w:pPr>
              <w:pStyle w:val="TableContext"/>
              <w:rPr>
                <w:lang w:val="en-CA"/>
              </w:rPr>
            </w:pPr>
            <w:r w:rsidRPr="00BC081A">
              <w:rPr>
                <w:lang w:val="en-CA"/>
              </w:rPr>
              <w:t>310</w:t>
            </w:r>
          </w:p>
        </w:tc>
        <w:tc>
          <w:tcPr>
            <w:tcW w:w="1036" w:type="dxa"/>
            <w:tcBorders>
              <w:top w:val="nil"/>
              <w:left w:val="nil"/>
              <w:bottom w:val="single" w:sz="4" w:space="0" w:color="auto"/>
              <w:right w:val="single" w:sz="4" w:space="0" w:color="auto"/>
            </w:tcBorders>
            <w:shd w:val="clear" w:color="auto" w:fill="auto"/>
            <w:noWrap/>
            <w:hideMark/>
          </w:tcPr>
          <w:p w14:paraId="2E4F4887" w14:textId="77777777" w:rsidR="00536F6A" w:rsidRPr="00BC081A" w:rsidRDefault="00536F6A" w:rsidP="00E24EF0">
            <w:pPr>
              <w:pStyle w:val="TableContext"/>
              <w:rPr>
                <w:lang w:val="en-CA"/>
              </w:rPr>
            </w:pPr>
            <w:r w:rsidRPr="00BC081A">
              <w:rPr>
                <w:lang w:val="en-CA"/>
              </w:rPr>
              <w:t>0.56</w:t>
            </w:r>
          </w:p>
        </w:tc>
        <w:tc>
          <w:tcPr>
            <w:tcW w:w="1371" w:type="dxa"/>
            <w:tcBorders>
              <w:top w:val="nil"/>
              <w:left w:val="nil"/>
              <w:bottom w:val="single" w:sz="4" w:space="0" w:color="auto"/>
              <w:right w:val="single" w:sz="4" w:space="0" w:color="auto"/>
            </w:tcBorders>
            <w:shd w:val="clear" w:color="auto" w:fill="auto"/>
            <w:noWrap/>
            <w:hideMark/>
          </w:tcPr>
          <w:p w14:paraId="329E2F9F" w14:textId="77777777" w:rsidR="00536F6A" w:rsidRPr="00BC081A" w:rsidRDefault="00536F6A" w:rsidP="00E24EF0">
            <w:pPr>
              <w:pStyle w:val="TableContext"/>
              <w:rPr>
                <w:lang w:val="en-CA"/>
              </w:rPr>
            </w:pPr>
            <w:r w:rsidRPr="00BC081A">
              <w:rPr>
                <w:lang w:val="en-CA"/>
              </w:rPr>
              <w:t>0.52</w:t>
            </w:r>
          </w:p>
        </w:tc>
        <w:tc>
          <w:tcPr>
            <w:tcW w:w="1036" w:type="dxa"/>
            <w:tcBorders>
              <w:top w:val="nil"/>
              <w:left w:val="nil"/>
              <w:bottom w:val="single" w:sz="4" w:space="0" w:color="auto"/>
              <w:right w:val="single" w:sz="4" w:space="0" w:color="auto"/>
            </w:tcBorders>
            <w:shd w:val="clear" w:color="auto" w:fill="auto"/>
            <w:noWrap/>
            <w:hideMark/>
          </w:tcPr>
          <w:p w14:paraId="7995B2A9" w14:textId="77777777" w:rsidR="00536F6A" w:rsidRPr="00BC081A" w:rsidRDefault="00536F6A" w:rsidP="00E24EF0">
            <w:pPr>
              <w:pStyle w:val="TableContext"/>
              <w:rPr>
                <w:lang w:val="en-CA"/>
              </w:rPr>
            </w:pPr>
            <w:r w:rsidRPr="00BC081A">
              <w:rPr>
                <w:lang w:val="en-CA"/>
              </w:rPr>
              <w:t>0.77</w:t>
            </w:r>
          </w:p>
        </w:tc>
        <w:tc>
          <w:tcPr>
            <w:tcW w:w="1036" w:type="dxa"/>
            <w:tcBorders>
              <w:top w:val="nil"/>
              <w:left w:val="nil"/>
              <w:bottom w:val="single" w:sz="4" w:space="0" w:color="auto"/>
              <w:right w:val="single" w:sz="4" w:space="0" w:color="auto"/>
            </w:tcBorders>
            <w:shd w:val="clear" w:color="auto" w:fill="auto"/>
            <w:noWrap/>
            <w:hideMark/>
          </w:tcPr>
          <w:p w14:paraId="7EF3FDAB" w14:textId="77777777" w:rsidR="00536F6A" w:rsidRPr="00BC081A" w:rsidRDefault="00536F6A" w:rsidP="00E24EF0">
            <w:pPr>
              <w:pStyle w:val="TableContext"/>
              <w:rPr>
                <w:lang w:val="en-CA"/>
              </w:rPr>
            </w:pPr>
            <w:r w:rsidRPr="00BC081A">
              <w:rPr>
                <w:lang w:val="en-CA"/>
              </w:rPr>
              <w:t>0.88</w:t>
            </w:r>
          </w:p>
        </w:tc>
        <w:tc>
          <w:tcPr>
            <w:tcW w:w="1036" w:type="dxa"/>
            <w:tcBorders>
              <w:top w:val="nil"/>
              <w:left w:val="nil"/>
              <w:bottom w:val="single" w:sz="4" w:space="0" w:color="auto"/>
              <w:right w:val="single" w:sz="4" w:space="0" w:color="auto"/>
            </w:tcBorders>
            <w:shd w:val="clear" w:color="auto" w:fill="auto"/>
            <w:noWrap/>
            <w:hideMark/>
          </w:tcPr>
          <w:p w14:paraId="7157881F" w14:textId="77777777" w:rsidR="00536F6A" w:rsidRPr="00BC081A" w:rsidRDefault="00536F6A" w:rsidP="00E24EF0">
            <w:pPr>
              <w:pStyle w:val="TableContext"/>
              <w:rPr>
                <w:lang w:val="en-CA"/>
              </w:rPr>
            </w:pPr>
            <w:r w:rsidRPr="00BC081A">
              <w:rPr>
                <w:lang w:val="en-CA"/>
              </w:rPr>
              <w:t>0.91</w:t>
            </w:r>
          </w:p>
        </w:tc>
      </w:tr>
      <w:tr w:rsidR="00536F6A" w:rsidRPr="00BC081A" w14:paraId="06A12168"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237AE7BD" w14:textId="77777777" w:rsidR="00536F6A" w:rsidRPr="00BC081A" w:rsidRDefault="00536F6A" w:rsidP="00E24EF0">
            <w:pPr>
              <w:pStyle w:val="TableContext"/>
              <w:rPr>
                <w:lang w:val="en-CA"/>
              </w:rPr>
            </w:pPr>
            <w:r w:rsidRPr="00BC081A">
              <w:rPr>
                <w:lang w:val="en-CA"/>
              </w:rPr>
              <w:t>22</w:t>
            </w:r>
          </w:p>
        </w:tc>
        <w:tc>
          <w:tcPr>
            <w:tcW w:w="1036" w:type="dxa"/>
            <w:tcBorders>
              <w:top w:val="nil"/>
              <w:left w:val="nil"/>
              <w:bottom w:val="single" w:sz="4" w:space="0" w:color="auto"/>
              <w:right w:val="single" w:sz="4" w:space="0" w:color="auto"/>
            </w:tcBorders>
            <w:shd w:val="clear" w:color="auto" w:fill="auto"/>
            <w:noWrap/>
            <w:hideMark/>
          </w:tcPr>
          <w:p w14:paraId="3D1908BD" w14:textId="77777777" w:rsidR="00536F6A" w:rsidRPr="00BC081A" w:rsidRDefault="00536F6A" w:rsidP="00E24EF0">
            <w:pPr>
              <w:pStyle w:val="TableContext"/>
              <w:rPr>
                <w:lang w:val="en-CA"/>
              </w:rPr>
            </w:pPr>
            <w:r w:rsidRPr="00BC081A">
              <w:rPr>
                <w:lang w:val="en-CA"/>
              </w:rPr>
              <w:t>224</w:t>
            </w:r>
          </w:p>
        </w:tc>
        <w:tc>
          <w:tcPr>
            <w:tcW w:w="1036" w:type="dxa"/>
            <w:tcBorders>
              <w:top w:val="nil"/>
              <w:left w:val="nil"/>
              <w:bottom w:val="single" w:sz="4" w:space="0" w:color="auto"/>
              <w:right w:val="single" w:sz="4" w:space="0" w:color="auto"/>
            </w:tcBorders>
            <w:shd w:val="clear" w:color="auto" w:fill="auto"/>
            <w:noWrap/>
            <w:hideMark/>
          </w:tcPr>
          <w:p w14:paraId="047114A7" w14:textId="77777777" w:rsidR="00536F6A" w:rsidRPr="00BC081A" w:rsidRDefault="00536F6A" w:rsidP="00E24EF0">
            <w:pPr>
              <w:pStyle w:val="TableContext"/>
              <w:rPr>
                <w:lang w:val="en-CA"/>
              </w:rPr>
            </w:pPr>
            <w:r w:rsidRPr="00BC081A">
              <w:rPr>
                <w:lang w:val="en-CA"/>
              </w:rPr>
              <w:t>0.42</w:t>
            </w:r>
          </w:p>
        </w:tc>
        <w:tc>
          <w:tcPr>
            <w:tcW w:w="1371" w:type="dxa"/>
            <w:tcBorders>
              <w:top w:val="nil"/>
              <w:left w:val="nil"/>
              <w:bottom w:val="single" w:sz="4" w:space="0" w:color="auto"/>
              <w:right w:val="single" w:sz="4" w:space="0" w:color="auto"/>
            </w:tcBorders>
            <w:shd w:val="clear" w:color="auto" w:fill="auto"/>
            <w:noWrap/>
            <w:hideMark/>
          </w:tcPr>
          <w:p w14:paraId="013203EB"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76CCF927" w14:textId="77777777" w:rsidR="00536F6A" w:rsidRPr="00BC081A" w:rsidRDefault="00536F6A" w:rsidP="00E24EF0">
            <w:pPr>
              <w:pStyle w:val="TableContext"/>
              <w:rPr>
                <w:lang w:val="en-CA"/>
              </w:rPr>
            </w:pPr>
            <w:r w:rsidRPr="00BC081A">
              <w:rPr>
                <w:lang w:val="en-CA"/>
              </w:rPr>
              <w:t>0.83</w:t>
            </w:r>
          </w:p>
        </w:tc>
        <w:tc>
          <w:tcPr>
            <w:tcW w:w="1036" w:type="dxa"/>
            <w:tcBorders>
              <w:top w:val="nil"/>
              <w:left w:val="nil"/>
              <w:bottom w:val="single" w:sz="4" w:space="0" w:color="auto"/>
              <w:right w:val="single" w:sz="4" w:space="0" w:color="auto"/>
            </w:tcBorders>
            <w:shd w:val="clear" w:color="auto" w:fill="auto"/>
            <w:noWrap/>
            <w:hideMark/>
          </w:tcPr>
          <w:p w14:paraId="307F4282" w14:textId="77777777" w:rsidR="00536F6A" w:rsidRPr="00BC081A" w:rsidRDefault="00536F6A" w:rsidP="00E24EF0">
            <w:pPr>
              <w:pStyle w:val="TableContext"/>
              <w:rPr>
                <w:lang w:val="en-CA"/>
              </w:rPr>
            </w:pPr>
            <w:r w:rsidRPr="00BC081A">
              <w:rPr>
                <w:lang w:val="en-CA"/>
              </w:rPr>
              <w:t>0.91</w:t>
            </w:r>
          </w:p>
        </w:tc>
        <w:tc>
          <w:tcPr>
            <w:tcW w:w="1036" w:type="dxa"/>
            <w:tcBorders>
              <w:top w:val="nil"/>
              <w:left w:val="nil"/>
              <w:bottom w:val="single" w:sz="4" w:space="0" w:color="auto"/>
              <w:right w:val="single" w:sz="4" w:space="0" w:color="auto"/>
            </w:tcBorders>
            <w:shd w:val="clear" w:color="auto" w:fill="auto"/>
            <w:noWrap/>
            <w:hideMark/>
          </w:tcPr>
          <w:p w14:paraId="1D27457A" w14:textId="77777777" w:rsidR="00536F6A" w:rsidRPr="00BC081A" w:rsidRDefault="00536F6A" w:rsidP="00E24EF0">
            <w:pPr>
              <w:pStyle w:val="TableContext"/>
              <w:rPr>
                <w:lang w:val="en-CA"/>
              </w:rPr>
            </w:pPr>
            <w:r w:rsidRPr="00BC081A">
              <w:rPr>
                <w:lang w:val="en-CA"/>
              </w:rPr>
              <w:t>N/A</w:t>
            </w:r>
          </w:p>
        </w:tc>
      </w:tr>
      <w:tr w:rsidR="00536F6A" w:rsidRPr="00BC081A" w14:paraId="58C3F2B2"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E8B3C37" w14:textId="77777777" w:rsidR="00536F6A" w:rsidRPr="00BC081A" w:rsidRDefault="00536F6A" w:rsidP="00E24EF0">
            <w:pPr>
              <w:pStyle w:val="TableContext"/>
              <w:rPr>
                <w:lang w:val="en-CA"/>
              </w:rPr>
            </w:pPr>
            <w:r w:rsidRPr="00BC081A">
              <w:rPr>
                <w:lang w:val="en-CA"/>
              </w:rPr>
              <w:t>23</w:t>
            </w:r>
          </w:p>
        </w:tc>
        <w:tc>
          <w:tcPr>
            <w:tcW w:w="1036" w:type="dxa"/>
            <w:tcBorders>
              <w:top w:val="nil"/>
              <w:left w:val="nil"/>
              <w:bottom w:val="single" w:sz="4" w:space="0" w:color="auto"/>
              <w:right w:val="single" w:sz="4" w:space="0" w:color="auto"/>
            </w:tcBorders>
            <w:shd w:val="clear" w:color="auto" w:fill="auto"/>
            <w:noWrap/>
            <w:hideMark/>
          </w:tcPr>
          <w:p w14:paraId="6E91F4FA" w14:textId="77777777" w:rsidR="00536F6A" w:rsidRPr="00BC081A" w:rsidRDefault="00536F6A" w:rsidP="00E24EF0">
            <w:pPr>
              <w:pStyle w:val="TableContext"/>
              <w:rPr>
                <w:lang w:val="en-CA"/>
              </w:rPr>
            </w:pPr>
            <w:r w:rsidRPr="00BC081A">
              <w:rPr>
                <w:lang w:val="en-CA"/>
              </w:rPr>
              <w:t>280</w:t>
            </w:r>
          </w:p>
        </w:tc>
        <w:tc>
          <w:tcPr>
            <w:tcW w:w="1036" w:type="dxa"/>
            <w:tcBorders>
              <w:top w:val="nil"/>
              <w:left w:val="nil"/>
              <w:bottom w:val="single" w:sz="4" w:space="0" w:color="auto"/>
              <w:right w:val="single" w:sz="4" w:space="0" w:color="auto"/>
            </w:tcBorders>
            <w:shd w:val="clear" w:color="auto" w:fill="auto"/>
            <w:noWrap/>
            <w:hideMark/>
          </w:tcPr>
          <w:p w14:paraId="70700358" w14:textId="77777777" w:rsidR="00536F6A" w:rsidRPr="00BC081A" w:rsidRDefault="00536F6A" w:rsidP="00E24EF0">
            <w:pPr>
              <w:pStyle w:val="TableContext"/>
              <w:rPr>
                <w:lang w:val="en-CA"/>
              </w:rPr>
            </w:pPr>
            <w:r w:rsidRPr="00BC081A">
              <w:rPr>
                <w:lang w:val="en-CA"/>
              </w:rPr>
              <w:t>0.71</w:t>
            </w:r>
          </w:p>
        </w:tc>
        <w:tc>
          <w:tcPr>
            <w:tcW w:w="1371" w:type="dxa"/>
            <w:tcBorders>
              <w:top w:val="nil"/>
              <w:left w:val="nil"/>
              <w:bottom w:val="single" w:sz="4" w:space="0" w:color="auto"/>
              <w:right w:val="single" w:sz="4" w:space="0" w:color="auto"/>
            </w:tcBorders>
            <w:shd w:val="clear" w:color="auto" w:fill="auto"/>
            <w:noWrap/>
            <w:hideMark/>
          </w:tcPr>
          <w:p w14:paraId="143D2FCC" w14:textId="77777777" w:rsidR="00536F6A" w:rsidRPr="00BC081A" w:rsidRDefault="00536F6A" w:rsidP="00E24EF0">
            <w:pPr>
              <w:pStyle w:val="TableContext"/>
              <w:rPr>
                <w:lang w:val="en-CA"/>
              </w:rPr>
            </w:pPr>
            <w:r w:rsidRPr="00BC081A">
              <w:rPr>
                <w:lang w:val="en-CA"/>
              </w:rPr>
              <w:t>0.62</w:t>
            </w:r>
          </w:p>
        </w:tc>
        <w:tc>
          <w:tcPr>
            <w:tcW w:w="1036" w:type="dxa"/>
            <w:tcBorders>
              <w:top w:val="nil"/>
              <w:left w:val="nil"/>
              <w:bottom w:val="single" w:sz="4" w:space="0" w:color="auto"/>
              <w:right w:val="single" w:sz="4" w:space="0" w:color="auto"/>
            </w:tcBorders>
            <w:shd w:val="clear" w:color="auto" w:fill="auto"/>
            <w:noWrap/>
            <w:hideMark/>
          </w:tcPr>
          <w:p w14:paraId="0A5F5D16" w14:textId="77777777" w:rsidR="00536F6A" w:rsidRPr="00BC081A" w:rsidRDefault="00536F6A" w:rsidP="00E24EF0">
            <w:pPr>
              <w:pStyle w:val="TableContext"/>
              <w:rPr>
                <w:lang w:val="en-CA"/>
              </w:rPr>
            </w:pPr>
            <w:r w:rsidRPr="00BC081A">
              <w:rPr>
                <w:lang w:val="en-CA"/>
              </w:rPr>
              <w:t>0.9</w:t>
            </w:r>
          </w:p>
        </w:tc>
        <w:tc>
          <w:tcPr>
            <w:tcW w:w="1036" w:type="dxa"/>
            <w:tcBorders>
              <w:top w:val="nil"/>
              <w:left w:val="nil"/>
              <w:bottom w:val="single" w:sz="4" w:space="0" w:color="auto"/>
              <w:right w:val="single" w:sz="4" w:space="0" w:color="auto"/>
            </w:tcBorders>
            <w:shd w:val="clear" w:color="auto" w:fill="auto"/>
            <w:noWrap/>
            <w:hideMark/>
          </w:tcPr>
          <w:p w14:paraId="0782BC69" w14:textId="77777777" w:rsidR="00536F6A" w:rsidRPr="00BC081A" w:rsidRDefault="00536F6A" w:rsidP="00E24EF0">
            <w:pPr>
              <w:pStyle w:val="TableContext"/>
              <w:rPr>
                <w:lang w:val="en-CA"/>
              </w:rPr>
            </w:pPr>
            <w:r w:rsidRPr="00BC081A">
              <w:rPr>
                <w:lang w:val="en-CA"/>
              </w:rPr>
              <w:t>0.93</w:t>
            </w:r>
          </w:p>
        </w:tc>
        <w:tc>
          <w:tcPr>
            <w:tcW w:w="1036" w:type="dxa"/>
            <w:tcBorders>
              <w:top w:val="nil"/>
              <w:left w:val="nil"/>
              <w:bottom w:val="single" w:sz="4" w:space="0" w:color="auto"/>
              <w:right w:val="single" w:sz="4" w:space="0" w:color="auto"/>
            </w:tcBorders>
            <w:shd w:val="clear" w:color="auto" w:fill="auto"/>
            <w:noWrap/>
            <w:hideMark/>
          </w:tcPr>
          <w:p w14:paraId="3D82AA16" w14:textId="77777777" w:rsidR="00536F6A" w:rsidRPr="00BC081A" w:rsidRDefault="00536F6A" w:rsidP="00E24EF0">
            <w:pPr>
              <w:pStyle w:val="TableContext"/>
              <w:rPr>
                <w:lang w:val="en-CA"/>
              </w:rPr>
            </w:pPr>
            <w:r w:rsidRPr="00BC081A">
              <w:rPr>
                <w:lang w:val="en-CA"/>
              </w:rPr>
              <w:t>0.97</w:t>
            </w:r>
          </w:p>
        </w:tc>
      </w:tr>
      <w:tr w:rsidR="00536F6A" w:rsidRPr="00BC081A" w14:paraId="4E52F7F4"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7042754C" w14:textId="77777777" w:rsidR="00536F6A" w:rsidRPr="00BC081A" w:rsidRDefault="00536F6A" w:rsidP="00E24EF0">
            <w:pPr>
              <w:pStyle w:val="TableContext"/>
              <w:rPr>
                <w:lang w:val="en-CA"/>
              </w:rPr>
            </w:pPr>
            <w:r w:rsidRPr="00BC081A">
              <w:rPr>
                <w:lang w:val="en-CA"/>
              </w:rPr>
              <w:t>24</w:t>
            </w:r>
          </w:p>
        </w:tc>
        <w:tc>
          <w:tcPr>
            <w:tcW w:w="1036" w:type="dxa"/>
            <w:tcBorders>
              <w:top w:val="nil"/>
              <w:left w:val="nil"/>
              <w:bottom w:val="single" w:sz="4" w:space="0" w:color="auto"/>
              <w:right w:val="single" w:sz="4" w:space="0" w:color="auto"/>
            </w:tcBorders>
            <w:shd w:val="clear" w:color="auto" w:fill="auto"/>
            <w:noWrap/>
            <w:hideMark/>
          </w:tcPr>
          <w:p w14:paraId="409ACE42" w14:textId="77777777" w:rsidR="00536F6A" w:rsidRPr="00BC081A" w:rsidRDefault="00536F6A" w:rsidP="00E24EF0">
            <w:pPr>
              <w:pStyle w:val="TableContext"/>
              <w:rPr>
                <w:lang w:val="en-CA"/>
              </w:rPr>
            </w:pPr>
            <w:r w:rsidRPr="00BC081A">
              <w:rPr>
                <w:lang w:val="en-CA"/>
              </w:rPr>
              <w:t>348</w:t>
            </w:r>
          </w:p>
        </w:tc>
        <w:tc>
          <w:tcPr>
            <w:tcW w:w="1036" w:type="dxa"/>
            <w:tcBorders>
              <w:top w:val="nil"/>
              <w:left w:val="nil"/>
              <w:bottom w:val="single" w:sz="4" w:space="0" w:color="auto"/>
              <w:right w:val="single" w:sz="4" w:space="0" w:color="auto"/>
            </w:tcBorders>
            <w:shd w:val="clear" w:color="auto" w:fill="auto"/>
            <w:noWrap/>
            <w:hideMark/>
          </w:tcPr>
          <w:p w14:paraId="0DE79851"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08CB02D7" w14:textId="77777777" w:rsidR="00536F6A" w:rsidRPr="00BC081A" w:rsidRDefault="00536F6A" w:rsidP="00E24EF0">
            <w:pPr>
              <w:pStyle w:val="TableContext"/>
              <w:rPr>
                <w:lang w:val="en-CA"/>
              </w:rPr>
            </w:pPr>
            <w:r w:rsidRPr="00BC081A">
              <w:rPr>
                <w:lang w:val="en-CA"/>
              </w:rPr>
              <w:t>0.32</w:t>
            </w:r>
          </w:p>
        </w:tc>
        <w:tc>
          <w:tcPr>
            <w:tcW w:w="1036" w:type="dxa"/>
            <w:tcBorders>
              <w:top w:val="nil"/>
              <w:left w:val="nil"/>
              <w:bottom w:val="single" w:sz="4" w:space="0" w:color="auto"/>
              <w:right w:val="single" w:sz="4" w:space="0" w:color="auto"/>
            </w:tcBorders>
            <w:shd w:val="clear" w:color="auto" w:fill="auto"/>
            <w:noWrap/>
            <w:hideMark/>
          </w:tcPr>
          <w:p w14:paraId="6F38BA69" w14:textId="77777777" w:rsidR="00536F6A" w:rsidRPr="00BC081A" w:rsidRDefault="00536F6A" w:rsidP="00E24EF0">
            <w:pPr>
              <w:pStyle w:val="TableContext"/>
              <w:rPr>
                <w:lang w:val="en-CA"/>
              </w:rPr>
            </w:pPr>
            <w:r w:rsidRPr="00BC081A">
              <w:rPr>
                <w:lang w:val="en-CA"/>
              </w:rPr>
              <w:t>0.94</w:t>
            </w:r>
          </w:p>
        </w:tc>
        <w:tc>
          <w:tcPr>
            <w:tcW w:w="1036" w:type="dxa"/>
            <w:tcBorders>
              <w:top w:val="nil"/>
              <w:left w:val="nil"/>
              <w:bottom w:val="single" w:sz="4" w:space="0" w:color="auto"/>
              <w:right w:val="single" w:sz="4" w:space="0" w:color="auto"/>
            </w:tcBorders>
            <w:shd w:val="clear" w:color="auto" w:fill="auto"/>
            <w:noWrap/>
            <w:hideMark/>
          </w:tcPr>
          <w:p w14:paraId="6E5432D8"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2F2F8D78" w14:textId="77777777" w:rsidR="00536F6A" w:rsidRPr="00BC081A" w:rsidRDefault="00536F6A" w:rsidP="00E24EF0">
            <w:pPr>
              <w:pStyle w:val="TableContext"/>
              <w:rPr>
                <w:lang w:val="en-CA"/>
              </w:rPr>
            </w:pPr>
            <w:r w:rsidRPr="00BC081A">
              <w:rPr>
                <w:lang w:val="en-CA"/>
              </w:rPr>
              <w:t>0.95</w:t>
            </w:r>
          </w:p>
        </w:tc>
      </w:tr>
      <w:tr w:rsidR="00536F6A" w:rsidRPr="00BC081A" w14:paraId="307A8517"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5FFF30CB" w14:textId="77777777" w:rsidR="00536F6A" w:rsidRPr="00BC081A" w:rsidRDefault="00536F6A" w:rsidP="00E24EF0">
            <w:pPr>
              <w:pStyle w:val="TableContext"/>
              <w:rPr>
                <w:lang w:val="en-CA"/>
              </w:rPr>
            </w:pPr>
            <w:r w:rsidRPr="00BC081A">
              <w:rPr>
                <w:lang w:val="en-CA"/>
              </w:rPr>
              <w:t>25</w:t>
            </w:r>
          </w:p>
        </w:tc>
        <w:tc>
          <w:tcPr>
            <w:tcW w:w="1036" w:type="dxa"/>
            <w:tcBorders>
              <w:top w:val="nil"/>
              <w:left w:val="nil"/>
              <w:bottom w:val="single" w:sz="4" w:space="0" w:color="auto"/>
              <w:right w:val="single" w:sz="4" w:space="0" w:color="auto"/>
            </w:tcBorders>
            <w:shd w:val="clear" w:color="auto" w:fill="auto"/>
            <w:noWrap/>
            <w:hideMark/>
          </w:tcPr>
          <w:p w14:paraId="5BFFBDD3" w14:textId="77777777" w:rsidR="00536F6A" w:rsidRPr="00BC081A" w:rsidRDefault="00536F6A" w:rsidP="00E24EF0">
            <w:pPr>
              <w:pStyle w:val="TableContext"/>
              <w:rPr>
                <w:lang w:val="en-CA"/>
              </w:rPr>
            </w:pPr>
            <w:r w:rsidRPr="00BC081A">
              <w:rPr>
                <w:lang w:val="en-CA"/>
              </w:rPr>
              <w:t>354</w:t>
            </w:r>
          </w:p>
        </w:tc>
        <w:tc>
          <w:tcPr>
            <w:tcW w:w="1036" w:type="dxa"/>
            <w:tcBorders>
              <w:top w:val="nil"/>
              <w:left w:val="nil"/>
              <w:bottom w:val="single" w:sz="4" w:space="0" w:color="auto"/>
              <w:right w:val="single" w:sz="4" w:space="0" w:color="auto"/>
            </w:tcBorders>
            <w:shd w:val="clear" w:color="auto" w:fill="auto"/>
            <w:noWrap/>
            <w:hideMark/>
          </w:tcPr>
          <w:p w14:paraId="7D223EEF"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25D55D9F" w14:textId="77777777" w:rsidR="00536F6A" w:rsidRPr="00BC081A" w:rsidRDefault="00536F6A" w:rsidP="00E24EF0">
            <w:pPr>
              <w:pStyle w:val="TableContext"/>
              <w:rPr>
                <w:lang w:val="en-CA"/>
              </w:rPr>
            </w:pPr>
            <w:r w:rsidRPr="00BC081A">
              <w:rPr>
                <w:lang w:val="en-CA"/>
              </w:rPr>
              <w:t>0.51</w:t>
            </w:r>
          </w:p>
        </w:tc>
        <w:tc>
          <w:tcPr>
            <w:tcW w:w="1036" w:type="dxa"/>
            <w:tcBorders>
              <w:top w:val="nil"/>
              <w:left w:val="nil"/>
              <w:bottom w:val="single" w:sz="4" w:space="0" w:color="auto"/>
              <w:right w:val="single" w:sz="4" w:space="0" w:color="auto"/>
            </w:tcBorders>
            <w:shd w:val="clear" w:color="auto" w:fill="auto"/>
            <w:noWrap/>
            <w:hideMark/>
          </w:tcPr>
          <w:p w14:paraId="05756DEA" w14:textId="77777777" w:rsidR="00536F6A" w:rsidRPr="00BC081A" w:rsidRDefault="00536F6A" w:rsidP="00E24EF0">
            <w:pPr>
              <w:pStyle w:val="TableContext"/>
              <w:rPr>
                <w:lang w:val="en-CA"/>
              </w:rPr>
            </w:pPr>
            <w:r w:rsidRPr="00BC081A">
              <w:rPr>
                <w:lang w:val="en-CA"/>
              </w:rPr>
              <w:t>0.85</w:t>
            </w:r>
          </w:p>
        </w:tc>
        <w:tc>
          <w:tcPr>
            <w:tcW w:w="1036" w:type="dxa"/>
            <w:tcBorders>
              <w:top w:val="nil"/>
              <w:left w:val="nil"/>
              <w:bottom w:val="single" w:sz="4" w:space="0" w:color="auto"/>
              <w:right w:val="single" w:sz="4" w:space="0" w:color="auto"/>
            </w:tcBorders>
            <w:shd w:val="clear" w:color="auto" w:fill="auto"/>
            <w:noWrap/>
            <w:hideMark/>
          </w:tcPr>
          <w:p w14:paraId="0506529F"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5E9C6278" w14:textId="77777777" w:rsidR="00536F6A" w:rsidRPr="00BC081A" w:rsidRDefault="00536F6A" w:rsidP="00E24EF0">
            <w:pPr>
              <w:pStyle w:val="TableContext"/>
              <w:rPr>
                <w:lang w:val="en-CA"/>
              </w:rPr>
            </w:pPr>
            <w:r w:rsidRPr="00BC081A">
              <w:rPr>
                <w:lang w:val="en-CA"/>
              </w:rPr>
              <w:t>0.93</w:t>
            </w:r>
          </w:p>
        </w:tc>
      </w:tr>
      <w:tr w:rsidR="00536F6A" w:rsidRPr="00BC081A" w14:paraId="6A921544"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750819E" w14:textId="77777777" w:rsidR="00536F6A" w:rsidRPr="00BC081A" w:rsidRDefault="00536F6A" w:rsidP="00E24EF0">
            <w:pPr>
              <w:pStyle w:val="TableContext"/>
              <w:rPr>
                <w:lang w:val="en-CA"/>
              </w:rPr>
            </w:pPr>
            <w:r w:rsidRPr="00BC081A">
              <w:rPr>
                <w:lang w:val="en-CA"/>
              </w:rPr>
              <w:t>26</w:t>
            </w:r>
          </w:p>
        </w:tc>
        <w:tc>
          <w:tcPr>
            <w:tcW w:w="1036" w:type="dxa"/>
            <w:tcBorders>
              <w:top w:val="nil"/>
              <w:left w:val="nil"/>
              <w:bottom w:val="single" w:sz="4" w:space="0" w:color="auto"/>
              <w:right w:val="single" w:sz="4" w:space="0" w:color="auto"/>
            </w:tcBorders>
            <w:shd w:val="clear" w:color="auto" w:fill="auto"/>
            <w:noWrap/>
            <w:hideMark/>
          </w:tcPr>
          <w:p w14:paraId="1689886E" w14:textId="77777777" w:rsidR="00536F6A" w:rsidRPr="00BC081A" w:rsidRDefault="00536F6A" w:rsidP="00E24EF0">
            <w:pPr>
              <w:pStyle w:val="TableContext"/>
              <w:rPr>
                <w:lang w:val="en-CA"/>
              </w:rPr>
            </w:pPr>
            <w:r w:rsidRPr="00BC081A">
              <w:rPr>
                <w:lang w:val="en-CA"/>
              </w:rPr>
              <w:t>207</w:t>
            </w:r>
          </w:p>
        </w:tc>
        <w:tc>
          <w:tcPr>
            <w:tcW w:w="1036" w:type="dxa"/>
            <w:tcBorders>
              <w:top w:val="nil"/>
              <w:left w:val="nil"/>
              <w:bottom w:val="single" w:sz="4" w:space="0" w:color="auto"/>
              <w:right w:val="single" w:sz="4" w:space="0" w:color="auto"/>
            </w:tcBorders>
            <w:shd w:val="clear" w:color="auto" w:fill="auto"/>
            <w:noWrap/>
            <w:hideMark/>
          </w:tcPr>
          <w:p w14:paraId="3543AB5E"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001212F6" w14:textId="77777777" w:rsidR="00536F6A" w:rsidRPr="00BC081A" w:rsidRDefault="00536F6A" w:rsidP="00E24EF0">
            <w:pPr>
              <w:pStyle w:val="TableContext"/>
              <w:rPr>
                <w:lang w:val="en-CA"/>
              </w:rPr>
            </w:pPr>
            <w:r w:rsidRPr="00BC081A">
              <w:rPr>
                <w:lang w:val="en-CA"/>
              </w:rPr>
              <w:t>0.67</w:t>
            </w:r>
          </w:p>
        </w:tc>
        <w:tc>
          <w:tcPr>
            <w:tcW w:w="1036" w:type="dxa"/>
            <w:tcBorders>
              <w:top w:val="nil"/>
              <w:left w:val="nil"/>
              <w:bottom w:val="single" w:sz="4" w:space="0" w:color="auto"/>
              <w:right w:val="single" w:sz="4" w:space="0" w:color="auto"/>
            </w:tcBorders>
            <w:shd w:val="clear" w:color="auto" w:fill="auto"/>
            <w:noWrap/>
            <w:hideMark/>
          </w:tcPr>
          <w:p w14:paraId="506E2ABA" w14:textId="77777777" w:rsidR="00536F6A" w:rsidRPr="00BC081A" w:rsidRDefault="00536F6A" w:rsidP="00E24EF0">
            <w:pPr>
              <w:pStyle w:val="TableContext"/>
              <w:rPr>
                <w:lang w:val="en-CA"/>
              </w:rPr>
            </w:pPr>
            <w:r w:rsidRPr="00BC081A">
              <w:rPr>
                <w:lang w:val="en-CA"/>
              </w:rPr>
              <w:t>0.92</w:t>
            </w:r>
          </w:p>
        </w:tc>
        <w:tc>
          <w:tcPr>
            <w:tcW w:w="1036" w:type="dxa"/>
            <w:tcBorders>
              <w:top w:val="nil"/>
              <w:left w:val="nil"/>
              <w:bottom w:val="single" w:sz="4" w:space="0" w:color="auto"/>
              <w:right w:val="single" w:sz="4" w:space="0" w:color="auto"/>
            </w:tcBorders>
            <w:shd w:val="clear" w:color="auto" w:fill="auto"/>
            <w:noWrap/>
            <w:hideMark/>
          </w:tcPr>
          <w:p w14:paraId="2D6A06BA"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5790D6ED" w14:textId="77777777" w:rsidR="00536F6A" w:rsidRPr="00BC081A" w:rsidRDefault="00536F6A" w:rsidP="00E24EF0">
            <w:pPr>
              <w:pStyle w:val="TableContext"/>
              <w:rPr>
                <w:lang w:val="en-CA"/>
              </w:rPr>
            </w:pPr>
            <w:r w:rsidRPr="00BC081A">
              <w:rPr>
                <w:lang w:val="en-CA"/>
              </w:rPr>
              <w:t>0.9</w:t>
            </w:r>
          </w:p>
        </w:tc>
      </w:tr>
      <w:tr w:rsidR="00536F6A" w:rsidRPr="00BC081A" w14:paraId="0316158A"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0146C360" w14:textId="77777777" w:rsidR="00536F6A" w:rsidRPr="00BC081A" w:rsidRDefault="00536F6A" w:rsidP="00E24EF0">
            <w:pPr>
              <w:pStyle w:val="TableContext"/>
              <w:rPr>
                <w:lang w:val="en-CA"/>
              </w:rPr>
            </w:pPr>
            <w:r w:rsidRPr="00BC081A">
              <w:rPr>
                <w:lang w:val="en-CA"/>
              </w:rPr>
              <w:t>27</w:t>
            </w:r>
          </w:p>
        </w:tc>
        <w:tc>
          <w:tcPr>
            <w:tcW w:w="1036" w:type="dxa"/>
            <w:tcBorders>
              <w:top w:val="nil"/>
              <w:left w:val="nil"/>
              <w:bottom w:val="single" w:sz="4" w:space="0" w:color="auto"/>
              <w:right w:val="single" w:sz="4" w:space="0" w:color="auto"/>
            </w:tcBorders>
            <w:shd w:val="clear" w:color="auto" w:fill="auto"/>
            <w:noWrap/>
            <w:hideMark/>
          </w:tcPr>
          <w:p w14:paraId="12C1DC0C" w14:textId="77777777" w:rsidR="00536F6A" w:rsidRPr="00BC081A" w:rsidRDefault="00536F6A" w:rsidP="00E24EF0">
            <w:pPr>
              <w:pStyle w:val="TableContext"/>
              <w:rPr>
                <w:lang w:val="en-CA"/>
              </w:rPr>
            </w:pPr>
            <w:r w:rsidRPr="00BC081A">
              <w:rPr>
                <w:lang w:val="en-CA"/>
              </w:rPr>
              <w:t>307</w:t>
            </w:r>
          </w:p>
        </w:tc>
        <w:tc>
          <w:tcPr>
            <w:tcW w:w="1036" w:type="dxa"/>
            <w:tcBorders>
              <w:top w:val="nil"/>
              <w:left w:val="nil"/>
              <w:bottom w:val="single" w:sz="4" w:space="0" w:color="auto"/>
              <w:right w:val="single" w:sz="4" w:space="0" w:color="auto"/>
            </w:tcBorders>
            <w:shd w:val="clear" w:color="auto" w:fill="auto"/>
            <w:noWrap/>
            <w:hideMark/>
          </w:tcPr>
          <w:p w14:paraId="3223653E" w14:textId="77777777" w:rsidR="00536F6A" w:rsidRPr="00BC081A" w:rsidRDefault="00536F6A" w:rsidP="00E24EF0">
            <w:pPr>
              <w:pStyle w:val="TableContext"/>
              <w:rPr>
                <w:lang w:val="en-CA"/>
              </w:rPr>
            </w:pPr>
            <w:r w:rsidRPr="00BC081A">
              <w:rPr>
                <w:lang w:val="en-CA"/>
              </w:rPr>
              <w:t>0.7</w:t>
            </w:r>
          </w:p>
        </w:tc>
        <w:tc>
          <w:tcPr>
            <w:tcW w:w="1371" w:type="dxa"/>
            <w:tcBorders>
              <w:top w:val="nil"/>
              <w:left w:val="nil"/>
              <w:bottom w:val="single" w:sz="4" w:space="0" w:color="auto"/>
              <w:right w:val="single" w:sz="4" w:space="0" w:color="auto"/>
            </w:tcBorders>
            <w:shd w:val="clear" w:color="auto" w:fill="auto"/>
            <w:noWrap/>
            <w:hideMark/>
          </w:tcPr>
          <w:p w14:paraId="12EFD94D"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16700BAC" w14:textId="77777777" w:rsidR="00536F6A" w:rsidRPr="00BC081A" w:rsidRDefault="00536F6A" w:rsidP="00E24EF0">
            <w:pPr>
              <w:pStyle w:val="TableContext"/>
              <w:rPr>
                <w:lang w:val="en-CA"/>
              </w:rPr>
            </w:pPr>
            <w:r w:rsidRPr="00BC081A">
              <w:rPr>
                <w:lang w:val="en-CA"/>
              </w:rPr>
              <w:t>0.88</w:t>
            </w:r>
          </w:p>
        </w:tc>
        <w:tc>
          <w:tcPr>
            <w:tcW w:w="1036" w:type="dxa"/>
            <w:tcBorders>
              <w:top w:val="nil"/>
              <w:left w:val="nil"/>
              <w:bottom w:val="single" w:sz="4" w:space="0" w:color="auto"/>
              <w:right w:val="single" w:sz="4" w:space="0" w:color="auto"/>
            </w:tcBorders>
            <w:shd w:val="clear" w:color="auto" w:fill="auto"/>
            <w:noWrap/>
            <w:hideMark/>
          </w:tcPr>
          <w:p w14:paraId="637C7327" w14:textId="77777777" w:rsidR="00536F6A" w:rsidRPr="00BC081A" w:rsidRDefault="00536F6A" w:rsidP="00E24EF0">
            <w:pPr>
              <w:pStyle w:val="TableContext"/>
              <w:rPr>
                <w:lang w:val="en-CA"/>
              </w:rPr>
            </w:pPr>
            <w:r w:rsidRPr="00BC081A">
              <w:rPr>
                <w:lang w:val="en-CA"/>
              </w:rPr>
              <w:t>0.93</w:t>
            </w:r>
          </w:p>
        </w:tc>
        <w:tc>
          <w:tcPr>
            <w:tcW w:w="1036" w:type="dxa"/>
            <w:tcBorders>
              <w:top w:val="nil"/>
              <w:left w:val="nil"/>
              <w:bottom w:val="single" w:sz="4" w:space="0" w:color="auto"/>
              <w:right w:val="single" w:sz="4" w:space="0" w:color="auto"/>
            </w:tcBorders>
            <w:shd w:val="clear" w:color="auto" w:fill="auto"/>
            <w:noWrap/>
            <w:hideMark/>
          </w:tcPr>
          <w:p w14:paraId="385A8110" w14:textId="77777777" w:rsidR="00536F6A" w:rsidRPr="00BC081A" w:rsidRDefault="00536F6A" w:rsidP="00E24EF0">
            <w:pPr>
              <w:pStyle w:val="TableContext"/>
              <w:rPr>
                <w:lang w:val="en-CA"/>
              </w:rPr>
            </w:pPr>
            <w:r w:rsidRPr="00BC081A">
              <w:rPr>
                <w:lang w:val="en-CA"/>
              </w:rPr>
              <w:t>N/A</w:t>
            </w:r>
          </w:p>
        </w:tc>
      </w:tr>
      <w:tr w:rsidR="00536F6A" w:rsidRPr="00BC081A" w14:paraId="227262EB"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0144F0A1" w14:textId="77777777" w:rsidR="00536F6A" w:rsidRPr="00BC081A" w:rsidRDefault="00536F6A" w:rsidP="00E24EF0">
            <w:pPr>
              <w:pStyle w:val="TableContext"/>
              <w:rPr>
                <w:lang w:val="en-CA"/>
              </w:rPr>
            </w:pPr>
            <w:r w:rsidRPr="00BC081A">
              <w:rPr>
                <w:lang w:val="en-CA"/>
              </w:rPr>
              <w:t>28</w:t>
            </w:r>
          </w:p>
        </w:tc>
        <w:tc>
          <w:tcPr>
            <w:tcW w:w="1036" w:type="dxa"/>
            <w:tcBorders>
              <w:top w:val="nil"/>
              <w:left w:val="nil"/>
              <w:bottom w:val="single" w:sz="4" w:space="0" w:color="auto"/>
              <w:right w:val="single" w:sz="4" w:space="0" w:color="auto"/>
            </w:tcBorders>
            <w:shd w:val="clear" w:color="auto" w:fill="auto"/>
            <w:noWrap/>
            <w:hideMark/>
          </w:tcPr>
          <w:p w14:paraId="4CD00B62" w14:textId="77777777" w:rsidR="00536F6A" w:rsidRPr="00BC081A" w:rsidRDefault="00536F6A" w:rsidP="00E24EF0">
            <w:pPr>
              <w:pStyle w:val="TableContext"/>
              <w:rPr>
                <w:lang w:val="en-CA"/>
              </w:rPr>
            </w:pPr>
            <w:r w:rsidRPr="00BC081A">
              <w:rPr>
                <w:lang w:val="en-CA"/>
              </w:rPr>
              <w:t>1704</w:t>
            </w:r>
          </w:p>
        </w:tc>
        <w:tc>
          <w:tcPr>
            <w:tcW w:w="1036" w:type="dxa"/>
            <w:tcBorders>
              <w:top w:val="nil"/>
              <w:left w:val="nil"/>
              <w:bottom w:val="single" w:sz="4" w:space="0" w:color="auto"/>
              <w:right w:val="single" w:sz="4" w:space="0" w:color="auto"/>
            </w:tcBorders>
            <w:shd w:val="clear" w:color="auto" w:fill="auto"/>
            <w:noWrap/>
            <w:hideMark/>
          </w:tcPr>
          <w:p w14:paraId="64519698" w14:textId="77777777" w:rsidR="00536F6A" w:rsidRPr="00BC081A" w:rsidRDefault="00536F6A" w:rsidP="00E24EF0">
            <w:pPr>
              <w:pStyle w:val="TableContext"/>
              <w:rPr>
                <w:lang w:val="en-CA"/>
              </w:rPr>
            </w:pPr>
            <w:r w:rsidRPr="00BC081A">
              <w:rPr>
                <w:lang w:val="en-CA"/>
              </w:rPr>
              <w:t>0.74</w:t>
            </w:r>
          </w:p>
        </w:tc>
        <w:tc>
          <w:tcPr>
            <w:tcW w:w="1371" w:type="dxa"/>
            <w:tcBorders>
              <w:top w:val="nil"/>
              <w:left w:val="nil"/>
              <w:bottom w:val="single" w:sz="4" w:space="0" w:color="auto"/>
              <w:right w:val="single" w:sz="4" w:space="0" w:color="auto"/>
            </w:tcBorders>
            <w:shd w:val="clear" w:color="auto" w:fill="auto"/>
            <w:noWrap/>
            <w:hideMark/>
          </w:tcPr>
          <w:p w14:paraId="290B36D0"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2E428B20" w14:textId="77777777" w:rsidR="00536F6A" w:rsidRPr="00BC081A" w:rsidRDefault="00536F6A" w:rsidP="00E24EF0">
            <w:pPr>
              <w:pStyle w:val="TableContext"/>
              <w:rPr>
                <w:lang w:val="en-CA"/>
              </w:rPr>
            </w:pPr>
            <w:r w:rsidRPr="00BC081A">
              <w:rPr>
                <w:lang w:val="en-CA"/>
              </w:rPr>
              <w:t>0.71</w:t>
            </w:r>
          </w:p>
        </w:tc>
        <w:tc>
          <w:tcPr>
            <w:tcW w:w="1036" w:type="dxa"/>
            <w:tcBorders>
              <w:top w:val="nil"/>
              <w:left w:val="nil"/>
              <w:bottom w:val="single" w:sz="4" w:space="0" w:color="auto"/>
              <w:right w:val="single" w:sz="4" w:space="0" w:color="auto"/>
            </w:tcBorders>
            <w:shd w:val="clear" w:color="auto" w:fill="auto"/>
            <w:noWrap/>
            <w:hideMark/>
          </w:tcPr>
          <w:p w14:paraId="49E021FE" w14:textId="77777777" w:rsidR="00536F6A" w:rsidRPr="00BC081A" w:rsidRDefault="00536F6A" w:rsidP="00E24EF0">
            <w:pPr>
              <w:pStyle w:val="TableContext"/>
              <w:rPr>
                <w:lang w:val="en-CA"/>
              </w:rPr>
            </w:pPr>
            <w:r w:rsidRPr="00BC081A">
              <w:rPr>
                <w:lang w:val="en-CA"/>
              </w:rPr>
              <w:t>0.88</w:t>
            </w:r>
          </w:p>
        </w:tc>
        <w:tc>
          <w:tcPr>
            <w:tcW w:w="1036" w:type="dxa"/>
            <w:tcBorders>
              <w:top w:val="nil"/>
              <w:left w:val="nil"/>
              <w:bottom w:val="single" w:sz="4" w:space="0" w:color="auto"/>
              <w:right w:val="single" w:sz="4" w:space="0" w:color="auto"/>
            </w:tcBorders>
            <w:shd w:val="clear" w:color="auto" w:fill="auto"/>
            <w:noWrap/>
            <w:hideMark/>
          </w:tcPr>
          <w:p w14:paraId="3684DF2C" w14:textId="77777777" w:rsidR="00536F6A" w:rsidRPr="00BC081A" w:rsidRDefault="00536F6A" w:rsidP="00E24EF0">
            <w:pPr>
              <w:pStyle w:val="TableContext"/>
              <w:rPr>
                <w:lang w:val="en-CA"/>
              </w:rPr>
            </w:pPr>
            <w:r w:rsidRPr="00BC081A">
              <w:rPr>
                <w:lang w:val="en-CA"/>
              </w:rPr>
              <w:t>N/A</w:t>
            </w:r>
          </w:p>
        </w:tc>
      </w:tr>
      <w:tr w:rsidR="00536F6A" w:rsidRPr="00BC081A" w14:paraId="1638BB85"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949933C" w14:textId="77777777" w:rsidR="00536F6A" w:rsidRPr="00BC081A" w:rsidRDefault="00536F6A" w:rsidP="00E24EF0">
            <w:pPr>
              <w:pStyle w:val="TableContext"/>
              <w:rPr>
                <w:lang w:val="en-CA"/>
              </w:rPr>
            </w:pPr>
            <w:r w:rsidRPr="00BC081A">
              <w:rPr>
                <w:lang w:val="en-CA"/>
              </w:rPr>
              <w:t>29</w:t>
            </w:r>
          </w:p>
        </w:tc>
        <w:tc>
          <w:tcPr>
            <w:tcW w:w="1036" w:type="dxa"/>
            <w:tcBorders>
              <w:top w:val="nil"/>
              <w:left w:val="nil"/>
              <w:bottom w:val="single" w:sz="4" w:space="0" w:color="auto"/>
              <w:right w:val="single" w:sz="4" w:space="0" w:color="auto"/>
            </w:tcBorders>
            <w:shd w:val="clear" w:color="auto" w:fill="auto"/>
            <w:noWrap/>
            <w:hideMark/>
          </w:tcPr>
          <w:p w14:paraId="36A231AD" w14:textId="77777777" w:rsidR="00536F6A" w:rsidRPr="00BC081A" w:rsidRDefault="00536F6A" w:rsidP="00E24EF0">
            <w:pPr>
              <w:pStyle w:val="TableContext"/>
              <w:rPr>
                <w:lang w:val="en-CA"/>
              </w:rPr>
            </w:pPr>
            <w:r w:rsidRPr="00BC081A">
              <w:rPr>
                <w:lang w:val="en-CA"/>
              </w:rPr>
              <w:t>628</w:t>
            </w:r>
          </w:p>
        </w:tc>
        <w:tc>
          <w:tcPr>
            <w:tcW w:w="1036" w:type="dxa"/>
            <w:tcBorders>
              <w:top w:val="nil"/>
              <w:left w:val="nil"/>
              <w:bottom w:val="single" w:sz="4" w:space="0" w:color="auto"/>
              <w:right w:val="single" w:sz="4" w:space="0" w:color="auto"/>
            </w:tcBorders>
            <w:shd w:val="clear" w:color="auto" w:fill="auto"/>
            <w:noWrap/>
            <w:hideMark/>
          </w:tcPr>
          <w:p w14:paraId="07587B44" w14:textId="77777777" w:rsidR="00536F6A" w:rsidRPr="00BC081A" w:rsidRDefault="00536F6A" w:rsidP="00E24EF0">
            <w:pPr>
              <w:pStyle w:val="TableContext"/>
              <w:rPr>
                <w:lang w:val="en-CA"/>
              </w:rPr>
            </w:pPr>
            <w:r w:rsidRPr="00BC081A">
              <w:rPr>
                <w:lang w:val="en-CA"/>
              </w:rPr>
              <w:t>0.51</w:t>
            </w:r>
          </w:p>
        </w:tc>
        <w:tc>
          <w:tcPr>
            <w:tcW w:w="1371" w:type="dxa"/>
            <w:tcBorders>
              <w:top w:val="nil"/>
              <w:left w:val="nil"/>
              <w:bottom w:val="single" w:sz="4" w:space="0" w:color="auto"/>
              <w:right w:val="single" w:sz="4" w:space="0" w:color="auto"/>
            </w:tcBorders>
            <w:shd w:val="clear" w:color="auto" w:fill="auto"/>
            <w:noWrap/>
            <w:hideMark/>
          </w:tcPr>
          <w:p w14:paraId="687D82C4" w14:textId="77777777" w:rsidR="00536F6A" w:rsidRPr="00BC081A" w:rsidRDefault="00536F6A" w:rsidP="00E24EF0">
            <w:pPr>
              <w:pStyle w:val="TableContext"/>
              <w:rPr>
                <w:lang w:val="en-CA"/>
              </w:rPr>
            </w:pPr>
            <w:r w:rsidRPr="00BC081A">
              <w:rPr>
                <w:lang w:val="en-CA"/>
              </w:rPr>
              <w:t>0.5</w:t>
            </w:r>
          </w:p>
        </w:tc>
        <w:tc>
          <w:tcPr>
            <w:tcW w:w="1036" w:type="dxa"/>
            <w:tcBorders>
              <w:top w:val="nil"/>
              <w:left w:val="nil"/>
              <w:bottom w:val="single" w:sz="4" w:space="0" w:color="auto"/>
              <w:right w:val="single" w:sz="4" w:space="0" w:color="auto"/>
            </w:tcBorders>
            <w:shd w:val="clear" w:color="auto" w:fill="auto"/>
            <w:noWrap/>
            <w:hideMark/>
          </w:tcPr>
          <w:p w14:paraId="320E99B5" w14:textId="77777777" w:rsidR="00536F6A" w:rsidRPr="00BC081A" w:rsidRDefault="00536F6A" w:rsidP="00E24EF0">
            <w:pPr>
              <w:pStyle w:val="TableContext"/>
              <w:rPr>
                <w:lang w:val="en-CA"/>
              </w:rPr>
            </w:pPr>
            <w:r w:rsidRPr="00BC081A">
              <w:rPr>
                <w:lang w:val="en-CA"/>
              </w:rPr>
              <w:t>0.85</w:t>
            </w:r>
          </w:p>
        </w:tc>
        <w:tc>
          <w:tcPr>
            <w:tcW w:w="1036" w:type="dxa"/>
            <w:tcBorders>
              <w:top w:val="nil"/>
              <w:left w:val="nil"/>
              <w:bottom w:val="single" w:sz="4" w:space="0" w:color="auto"/>
              <w:right w:val="single" w:sz="4" w:space="0" w:color="auto"/>
            </w:tcBorders>
            <w:shd w:val="clear" w:color="auto" w:fill="auto"/>
            <w:noWrap/>
            <w:hideMark/>
          </w:tcPr>
          <w:p w14:paraId="752B7BEF" w14:textId="77777777" w:rsidR="00536F6A" w:rsidRPr="00BC081A" w:rsidRDefault="00536F6A" w:rsidP="00E24EF0">
            <w:pPr>
              <w:pStyle w:val="TableContext"/>
              <w:rPr>
                <w:lang w:val="en-CA"/>
              </w:rPr>
            </w:pPr>
            <w:r w:rsidRPr="00BC081A">
              <w:rPr>
                <w:lang w:val="en-CA"/>
              </w:rPr>
              <w:t>0.83</w:t>
            </w:r>
          </w:p>
        </w:tc>
        <w:tc>
          <w:tcPr>
            <w:tcW w:w="1036" w:type="dxa"/>
            <w:tcBorders>
              <w:top w:val="nil"/>
              <w:left w:val="nil"/>
              <w:bottom w:val="single" w:sz="4" w:space="0" w:color="auto"/>
              <w:right w:val="single" w:sz="4" w:space="0" w:color="auto"/>
            </w:tcBorders>
            <w:shd w:val="clear" w:color="auto" w:fill="auto"/>
            <w:noWrap/>
            <w:hideMark/>
          </w:tcPr>
          <w:p w14:paraId="203E6F18" w14:textId="77777777" w:rsidR="00536F6A" w:rsidRPr="00BC081A" w:rsidRDefault="00536F6A" w:rsidP="00E24EF0">
            <w:pPr>
              <w:pStyle w:val="TableContext"/>
              <w:rPr>
                <w:lang w:val="en-CA"/>
              </w:rPr>
            </w:pPr>
            <w:r w:rsidRPr="00BC081A">
              <w:rPr>
                <w:lang w:val="en-CA"/>
              </w:rPr>
              <w:t>0.91</w:t>
            </w:r>
          </w:p>
        </w:tc>
      </w:tr>
      <w:tr w:rsidR="00536F6A" w:rsidRPr="00BC081A" w14:paraId="10D2B2A8"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97EA1F4" w14:textId="77777777" w:rsidR="00536F6A" w:rsidRPr="00BC081A" w:rsidRDefault="00536F6A" w:rsidP="00E24EF0">
            <w:pPr>
              <w:pStyle w:val="TableContext"/>
              <w:rPr>
                <w:lang w:val="en-CA"/>
              </w:rPr>
            </w:pPr>
            <w:r w:rsidRPr="00BC081A">
              <w:rPr>
                <w:lang w:val="en-CA"/>
              </w:rPr>
              <w:t>30</w:t>
            </w:r>
          </w:p>
        </w:tc>
        <w:tc>
          <w:tcPr>
            <w:tcW w:w="1036" w:type="dxa"/>
            <w:tcBorders>
              <w:top w:val="nil"/>
              <w:left w:val="nil"/>
              <w:bottom w:val="single" w:sz="4" w:space="0" w:color="auto"/>
              <w:right w:val="single" w:sz="4" w:space="0" w:color="auto"/>
            </w:tcBorders>
            <w:shd w:val="clear" w:color="auto" w:fill="auto"/>
            <w:noWrap/>
            <w:hideMark/>
          </w:tcPr>
          <w:p w14:paraId="2A17CFCE" w14:textId="77777777" w:rsidR="00536F6A" w:rsidRPr="00BC081A" w:rsidRDefault="00536F6A" w:rsidP="00E24EF0">
            <w:pPr>
              <w:pStyle w:val="TableContext"/>
              <w:rPr>
                <w:lang w:val="en-CA"/>
              </w:rPr>
            </w:pPr>
            <w:r w:rsidRPr="00BC081A">
              <w:rPr>
                <w:lang w:val="en-CA"/>
              </w:rPr>
              <w:t>250</w:t>
            </w:r>
          </w:p>
        </w:tc>
        <w:tc>
          <w:tcPr>
            <w:tcW w:w="1036" w:type="dxa"/>
            <w:tcBorders>
              <w:top w:val="nil"/>
              <w:left w:val="nil"/>
              <w:bottom w:val="single" w:sz="4" w:space="0" w:color="auto"/>
              <w:right w:val="single" w:sz="4" w:space="0" w:color="auto"/>
            </w:tcBorders>
            <w:shd w:val="clear" w:color="auto" w:fill="auto"/>
            <w:noWrap/>
            <w:hideMark/>
          </w:tcPr>
          <w:p w14:paraId="6E8BD438" w14:textId="77777777" w:rsidR="00536F6A" w:rsidRPr="00BC081A" w:rsidRDefault="00536F6A" w:rsidP="00E24EF0">
            <w:pPr>
              <w:pStyle w:val="TableContext"/>
              <w:rPr>
                <w:lang w:val="en-CA"/>
              </w:rPr>
            </w:pPr>
            <w:r w:rsidRPr="00BC081A">
              <w:rPr>
                <w:lang w:val="en-CA"/>
              </w:rPr>
              <w:t>0.67</w:t>
            </w:r>
          </w:p>
        </w:tc>
        <w:tc>
          <w:tcPr>
            <w:tcW w:w="1371" w:type="dxa"/>
            <w:tcBorders>
              <w:top w:val="nil"/>
              <w:left w:val="nil"/>
              <w:bottom w:val="single" w:sz="4" w:space="0" w:color="auto"/>
              <w:right w:val="single" w:sz="4" w:space="0" w:color="auto"/>
            </w:tcBorders>
            <w:shd w:val="clear" w:color="auto" w:fill="auto"/>
            <w:noWrap/>
            <w:hideMark/>
          </w:tcPr>
          <w:p w14:paraId="05596601" w14:textId="77777777" w:rsidR="00536F6A" w:rsidRPr="00BC081A" w:rsidRDefault="00536F6A" w:rsidP="00E24EF0">
            <w:pPr>
              <w:pStyle w:val="TableContext"/>
              <w:rPr>
                <w:lang w:val="en-CA"/>
              </w:rPr>
            </w:pPr>
            <w:r w:rsidRPr="00BC081A">
              <w:rPr>
                <w:lang w:val="en-CA"/>
              </w:rPr>
              <w:t>0.61</w:t>
            </w:r>
          </w:p>
        </w:tc>
        <w:tc>
          <w:tcPr>
            <w:tcW w:w="1036" w:type="dxa"/>
            <w:tcBorders>
              <w:top w:val="nil"/>
              <w:left w:val="nil"/>
              <w:bottom w:val="single" w:sz="4" w:space="0" w:color="auto"/>
              <w:right w:val="single" w:sz="4" w:space="0" w:color="auto"/>
            </w:tcBorders>
            <w:shd w:val="clear" w:color="auto" w:fill="auto"/>
            <w:noWrap/>
            <w:hideMark/>
          </w:tcPr>
          <w:p w14:paraId="51AAD901" w14:textId="77777777" w:rsidR="00536F6A" w:rsidRPr="00BC081A" w:rsidRDefault="00536F6A" w:rsidP="00E24EF0">
            <w:pPr>
              <w:pStyle w:val="TableContext"/>
              <w:rPr>
                <w:lang w:val="en-CA"/>
              </w:rPr>
            </w:pPr>
            <w:r w:rsidRPr="00BC081A">
              <w:rPr>
                <w:lang w:val="en-CA"/>
              </w:rPr>
              <w:t>0.84</w:t>
            </w:r>
          </w:p>
        </w:tc>
        <w:tc>
          <w:tcPr>
            <w:tcW w:w="1036" w:type="dxa"/>
            <w:tcBorders>
              <w:top w:val="nil"/>
              <w:left w:val="nil"/>
              <w:bottom w:val="single" w:sz="4" w:space="0" w:color="auto"/>
              <w:right w:val="single" w:sz="4" w:space="0" w:color="auto"/>
            </w:tcBorders>
            <w:shd w:val="clear" w:color="auto" w:fill="auto"/>
            <w:noWrap/>
            <w:hideMark/>
          </w:tcPr>
          <w:p w14:paraId="2253CE63" w14:textId="77777777" w:rsidR="00536F6A" w:rsidRPr="00BC081A" w:rsidRDefault="00536F6A" w:rsidP="00E24EF0">
            <w:pPr>
              <w:pStyle w:val="TableContext"/>
              <w:rPr>
                <w:lang w:val="en-CA"/>
              </w:rPr>
            </w:pPr>
            <w:r w:rsidRPr="00BC081A">
              <w:rPr>
                <w:lang w:val="en-CA"/>
              </w:rPr>
              <w:t>0.91</w:t>
            </w:r>
          </w:p>
        </w:tc>
        <w:tc>
          <w:tcPr>
            <w:tcW w:w="1036" w:type="dxa"/>
            <w:tcBorders>
              <w:top w:val="nil"/>
              <w:left w:val="nil"/>
              <w:bottom w:val="single" w:sz="4" w:space="0" w:color="auto"/>
              <w:right w:val="single" w:sz="4" w:space="0" w:color="auto"/>
            </w:tcBorders>
            <w:shd w:val="clear" w:color="auto" w:fill="auto"/>
            <w:noWrap/>
            <w:hideMark/>
          </w:tcPr>
          <w:p w14:paraId="04216956" w14:textId="77777777" w:rsidR="00536F6A" w:rsidRPr="00BC081A" w:rsidRDefault="00536F6A" w:rsidP="00E24EF0">
            <w:pPr>
              <w:pStyle w:val="TableContext"/>
              <w:rPr>
                <w:lang w:val="en-CA"/>
              </w:rPr>
            </w:pPr>
            <w:r w:rsidRPr="00BC081A">
              <w:rPr>
                <w:lang w:val="en-CA"/>
              </w:rPr>
              <w:t>0.86</w:t>
            </w:r>
          </w:p>
        </w:tc>
      </w:tr>
      <w:tr w:rsidR="00536F6A" w:rsidRPr="00BC081A" w14:paraId="5805759B"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7E1C8329" w14:textId="77777777" w:rsidR="00536F6A" w:rsidRPr="00BC081A" w:rsidRDefault="00536F6A" w:rsidP="00E24EF0">
            <w:pPr>
              <w:pStyle w:val="TableContext"/>
              <w:rPr>
                <w:lang w:val="en-CA"/>
              </w:rPr>
            </w:pPr>
            <w:r w:rsidRPr="00BC081A">
              <w:rPr>
                <w:lang w:val="en-CA"/>
              </w:rPr>
              <w:t>31</w:t>
            </w:r>
          </w:p>
        </w:tc>
        <w:tc>
          <w:tcPr>
            <w:tcW w:w="1036" w:type="dxa"/>
            <w:tcBorders>
              <w:top w:val="nil"/>
              <w:left w:val="nil"/>
              <w:bottom w:val="single" w:sz="4" w:space="0" w:color="auto"/>
              <w:right w:val="single" w:sz="4" w:space="0" w:color="auto"/>
            </w:tcBorders>
            <w:shd w:val="clear" w:color="auto" w:fill="auto"/>
            <w:noWrap/>
            <w:hideMark/>
          </w:tcPr>
          <w:p w14:paraId="26E0BB93" w14:textId="77777777" w:rsidR="00536F6A" w:rsidRPr="00BC081A" w:rsidRDefault="00536F6A" w:rsidP="00E24EF0">
            <w:pPr>
              <w:pStyle w:val="TableContext"/>
              <w:rPr>
                <w:lang w:val="en-CA"/>
              </w:rPr>
            </w:pPr>
            <w:r w:rsidRPr="00BC081A">
              <w:rPr>
                <w:lang w:val="en-CA"/>
              </w:rPr>
              <w:t>487</w:t>
            </w:r>
          </w:p>
        </w:tc>
        <w:tc>
          <w:tcPr>
            <w:tcW w:w="1036" w:type="dxa"/>
            <w:tcBorders>
              <w:top w:val="nil"/>
              <w:left w:val="nil"/>
              <w:bottom w:val="single" w:sz="4" w:space="0" w:color="auto"/>
              <w:right w:val="single" w:sz="4" w:space="0" w:color="auto"/>
            </w:tcBorders>
            <w:shd w:val="clear" w:color="auto" w:fill="auto"/>
            <w:noWrap/>
            <w:hideMark/>
          </w:tcPr>
          <w:p w14:paraId="1688BDA9" w14:textId="77777777" w:rsidR="00536F6A" w:rsidRPr="00BC081A" w:rsidRDefault="00536F6A" w:rsidP="00E24EF0">
            <w:pPr>
              <w:pStyle w:val="TableContext"/>
              <w:rPr>
                <w:lang w:val="en-CA"/>
              </w:rPr>
            </w:pPr>
            <w:proofErr w:type="spellStart"/>
            <w:r w:rsidRPr="00BC081A">
              <w:rPr>
                <w:lang w:val="en-CA"/>
              </w:rPr>
              <w:t>Neg</w:t>
            </w:r>
            <w:proofErr w:type="spellEnd"/>
          </w:p>
        </w:tc>
        <w:tc>
          <w:tcPr>
            <w:tcW w:w="1371" w:type="dxa"/>
            <w:tcBorders>
              <w:top w:val="nil"/>
              <w:left w:val="nil"/>
              <w:bottom w:val="single" w:sz="4" w:space="0" w:color="auto"/>
              <w:right w:val="single" w:sz="4" w:space="0" w:color="auto"/>
            </w:tcBorders>
            <w:shd w:val="clear" w:color="auto" w:fill="auto"/>
            <w:noWrap/>
            <w:hideMark/>
          </w:tcPr>
          <w:p w14:paraId="16E0CC45" w14:textId="77777777" w:rsidR="00536F6A" w:rsidRPr="00BC081A" w:rsidRDefault="00536F6A" w:rsidP="00E24EF0">
            <w:pPr>
              <w:pStyle w:val="TableContext"/>
              <w:rPr>
                <w:lang w:val="en-CA"/>
              </w:rPr>
            </w:pPr>
            <w:proofErr w:type="spellStart"/>
            <w:r w:rsidRPr="00BC081A">
              <w:rPr>
                <w:lang w:val="en-CA"/>
              </w:rPr>
              <w:t>Neg</w:t>
            </w:r>
            <w:proofErr w:type="spellEnd"/>
          </w:p>
        </w:tc>
        <w:tc>
          <w:tcPr>
            <w:tcW w:w="1036" w:type="dxa"/>
            <w:tcBorders>
              <w:top w:val="nil"/>
              <w:left w:val="nil"/>
              <w:bottom w:val="single" w:sz="4" w:space="0" w:color="auto"/>
              <w:right w:val="single" w:sz="4" w:space="0" w:color="auto"/>
            </w:tcBorders>
            <w:shd w:val="clear" w:color="auto" w:fill="auto"/>
            <w:noWrap/>
            <w:hideMark/>
          </w:tcPr>
          <w:p w14:paraId="49093EAB" w14:textId="77777777" w:rsidR="00536F6A" w:rsidRPr="00BC081A" w:rsidRDefault="00536F6A" w:rsidP="00E24EF0">
            <w:pPr>
              <w:pStyle w:val="TableContext"/>
              <w:rPr>
                <w:lang w:val="en-CA"/>
              </w:rPr>
            </w:pPr>
            <w:r w:rsidRPr="00BC081A">
              <w:rPr>
                <w:lang w:val="en-CA"/>
              </w:rPr>
              <w:t>0.81</w:t>
            </w:r>
          </w:p>
        </w:tc>
        <w:tc>
          <w:tcPr>
            <w:tcW w:w="1036" w:type="dxa"/>
            <w:tcBorders>
              <w:top w:val="nil"/>
              <w:left w:val="nil"/>
              <w:bottom w:val="single" w:sz="4" w:space="0" w:color="auto"/>
              <w:right w:val="single" w:sz="4" w:space="0" w:color="auto"/>
            </w:tcBorders>
            <w:shd w:val="clear" w:color="auto" w:fill="auto"/>
            <w:noWrap/>
            <w:hideMark/>
          </w:tcPr>
          <w:p w14:paraId="02B60A87" w14:textId="77777777" w:rsidR="00536F6A" w:rsidRPr="00BC081A" w:rsidRDefault="00536F6A" w:rsidP="00E24EF0">
            <w:pPr>
              <w:pStyle w:val="TableContext"/>
              <w:rPr>
                <w:lang w:val="en-CA"/>
              </w:rPr>
            </w:pPr>
            <w:r w:rsidRPr="00BC081A">
              <w:rPr>
                <w:lang w:val="en-CA"/>
              </w:rPr>
              <w:t>0.91</w:t>
            </w:r>
          </w:p>
        </w:tc>
        <w:tc>
          <w:tcPr>
            <w:tcW w:w="1036" w:type="dxa"/>
            <w:tcBorders>
              <w:top w:val="nil"/>
              <w:left w:val="nil"/>
              <w:bottom w:val="single" w:sz="4" w:space="0" w:color="auto"/>
              <w:right w:val="single" w:sz="4" w:space="0" w:color="auto"/>
            </w:tcBorders>
            <w:shd w:val="clear" w:color="auto" w:fill="auto"/>
            <w:noWrap/>
            <w:hideMark/>
          </w:tcPr>
          <w:p w14:paraId="1CBE9FCE" w14:textId="77777777" w:rsidR="00536F6A" w:rsidRPr="00BC081A" w:rsidRDefault="00536F6A" w:rsidP="00E24EF0">
            <w:pPr>
              <w:pStyle w:val="TableContext"/>
              <w:rPr>
                <w:lang w:val="en-CA"/>
              </w:rPr>
            </w:pPr>
            <w:r w:rsidRPr="00BC081A">
              <w:rPr>
                <w:lang w:val="en-CA"/>
              </w:rPr>
              <w:t>N/A</w:t>
            </w:r>
          </w:p>
        </w:tc>
      </w:tr>
      <w:tr w:rsidR="00536F6A" w:rsidRPr="00BC081A" w14:paraId="2A642DFF"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47DAEFF" w14:textId="77777777" w:rsidR="00536F6A" w:rsidRPr="00BC081A" w:rsidRDefault="00536F6A" w:rsidP="00E24EF0">
            <w:pPr>
              <w:pStyle w:val="TableContext"/>
              <w:rPr>
                <w:lang w:val="en-CA"/>
              </w:rPr>
            </w:pPr>
            <w:r w:rsidRPr="00BC081A">
              <w:rPr>
                <w:lang w:val="en-CA"/>
              </w:rPr>
              <w:t>32</w:t>
            </w:r>
          </w:p>
        </w:tc>
        <w:tc>
          <w:tcPr>
            <w:tcW w:w="1036" w:type="dxa"/>
            <w:tcBorders>
              <w:top w:val="nil"/>
              <w:left w:val="nil"/>
              <w:bottom w:val="single" w:sz="4" w:space="0" w:color="auto"/>
              <w:right w:val="single" w:sz="4" w:space="0" w:color="auto"/>
            </w:tcBorders>
            <w:shd w:val="clear" w:color="auto" w:fill="auto"/>
            <w:noWrap/>
            <w:hideMark/>
          </w:tcPr>
          <w:p w14:paraId="44AF57DC" w14:textId="77777777" w:rsidR="00536F6A" w:rsidRPr="00BC081A" w:rsidRDefault="00536F6A" w:rsidP="00E24EF0">
            <w:pPr>
              <w:pStyle w:val="TableContext"/>
              <w:rPr>
                <w:lang w:val="en-CA"/>
              </w:rPr>
            </w:pPr>
            <w:r w:rsidRPr="00BC081A">
              <w:rPr>
                <w:lang w:val="en-CA"/>
              </w:rPr>
              <w:t>240</w:t>
            </w:r>
          </w:p>
        </w:tc>
        <w:tc>
          <w:tcPr>
            <w:tcW w:w="1036" w:type="dxa"/>
            <w:tcBorders>
              <w:top w:val="nil"/>
              <w:left w:val="nil"/>
              <w:bottom w:val="single" w:sz="4" w:space="0" w:color="auto"/>
              <w:right w:val="single" w:sz="4" w:space="0" w:color="auto"/>
            </w:tcBorders>
            <w:shd w:val="clear" w:color="auto" w:fill="auto"/>
            <w:noWrap/>
            <w:hideMark/>
          </w:tcPr>
          <w:p w14:paraId="15CA69FE" w14:textId="77777777" w:rsidR="00536F6A" w:rsidRPr="00BC081A" w:rsidRDefault="00536F6A" w:rsidP="00E24EF0">
            <w:pPr>
              <w:pStyle w:val="TableContext"/>
              <w:rPr>
                <w:lang w:val="en-CA"/>
              </w:rPr>
            </w:pPr>
            <w:r w:rsidRPr="00BC081A">
              <w:rPr>
                <w:lang w:val="en-CA"/>
              </w:rPr>
              <w:t>0.3</w:t>
            </w:r>
          </w:p>
        </w:tc>
        <w:tc>
          <w:tcPr>
            <w:tcW w:w="1371" w:type="dxa"/>
            <w:tcBorders>
              <w:top w:val="nil"/>
              <w:left w:val="nil"/>
              <w:bottom w:val="single" w:sz="4" w:space="0" w:color="auto"/>
              <w:right w:val="single" w:sz="4" w:space="0" w:color="auto"/>
            </w:tcBorders>
            <w:shd w:val="clear" w:color="auto" w:fill="auto"/>
            <w:noWrap/>
            <w:hideMark/>
          </w:tcPr>
          <w:p w14:paraId="1150EB4D" w14:textId="77777777" w:rsidR="00536F6A" w:rsidRPr="00BC081A" w:rsidRDefault="00536F6A" w:rsidP="00E24EF0">
            <w:pPr>
              <w:pStyle w:val="TableContext"/>
              <w:rPr>
                <w:lang w:val="en-CA"/>
              </w:rPr>
            </w:pPr>
            <w:r w:rsidRPr="00BC081A">
              <w:rPr>
                <w:lang w:val="en-CA"/>
              </w:rPr>
              <w:t>0.14</w:t>
            </w:r>
          </w:p>
        </w:tc>
        <w:tc>
          <w:tcPr>
            <w:tcW w:w="1036" w:type="dxa"/>
            <w:tcBorders>
              <w:top w:val="nil"/>
              <w:left w:val="nil"/>
              <w:bottom w:val="single" w:sz="4" w:space="0" w:color="auto"/>
              <w:right w:val="single" w:sz="4" w:space="0" w:color="auto"/>
            </w:tcBorders>
            <w:shd w:val="clear" w:color="auto" w:fill="auto"/>
            <w:noWrap/>
            <w:hideMark/>
          </w:tcPr>
          <w:p w14:paraId="685F9B06" w14:textId="77777777" w:rsidR="00536F6A" w:rsidRPr="00BC081A" w:rsidRDefault="00536F6A" w:rsidP="00E24EF0">
            <w:pPr>
              <w:pStyle w:val="TableContext"/>
              <w:rPr>
                <w:lang w:val="en-CA"/>
              </w:rPr>
            </w:pPr>
            <w:r w:rsidRPr="00BC081A">
              <w:rPr>
                <w:lang w:val="en-CA"/>
              </w:rPr>
              <w:t>0.9</w:t>
            </w:r>
          </w:p>
        </w:tc>
        <w:tc>
          <w:tcPr>
            <w:tcW w:w="1036" w:type="dxa"/>
            <w:tcBorders>
              <w:top w:val="nil"/>
              <w:left w:val="nil"/>
              <w:bottom w:val="single" w:sz="4" w:space="0" w:color="auto"/>
              <w:right w:val="single" w:sz="4" w:space="0" w:color="auto"/>
            </w:tcBorders>
            <w:shd w:val="clear" w:color="auto" w:fill="auto"/>
            <w:noWrap/>
            <w:hideMark/>
          </w:tcPr>
          <w:p w14:paraId="36CB1BE8" w14:textId="77777777" w:rsidR="00536F6A" w:rsidRPr="00BC081A" w:rsidRDefault="00536F6A" w:rsidP="00E24EF0">
            <w:pPr>
              <w:pStyle w:val="TableContext"/>
              <w:rPr>
                <w:lang w:val="en-CA"/>
              </w:rPr>
            </w:pPr>
            <w:r w:rsidRPr="00BC081A">
              <w:rPr>
                <w:lang w:val="en-CA"/>
              </w:rPr>
              <w:t>0.89</w:t>
            </w:r>
          </w:p>
        </w:tc>
        <w:tc>
          <w:tcPr>
            <w:tcW w:w="1036" w:type="dxa"/>
            <w:tcBorders>
              <w:top w:val="nil"/>
              <w:left w:val="nil"/>
              <w:bottom w:val="single" w:sz="4" w:space="0" w:color="auto"/>
              <w:right w:val="single" w:sz="4" w:space="0" w:color="auto"/>
            </w:tcBorders>
            <w:shd w:val="clear" w:color="auto" w:fill="auto"/>
            <w:noWrap/>
            <w:hideMark/>
          </w:tcPr>
          <w:p w14:paraId="28FA6E3F" w14:textId="77777777" w:rsidR="00536F6A" w:rsidRPr="00BC081A" w:rsidRDefault="00536F6A" w:rsidP="00E24EF0">
            <w:pPr>
              <w:pStyle w:val="TableContext"/>
              <w:rPr>
                <w:lang w:val="en-CA"/>
              </w:rPr>
            </w:pPr>
            <w:r w:rsidRPr="00BC081A">
              <w:rPr>
                <w:lang w:val="en-CA"/>
              </w:rPr>
              <w:t>0.73</w:t>
            </w:r>
          </w:p>
        </w:tc>
      </w:tr>
      <w:tr w:rsidR="00536F6A" w:rsidRPr="00BC081A" w14:paraId="69A5FFF1"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0455192" w14:textId="77777777" w:rsidR="00536F6A" w:rsidRPr="00BC081A" w:rsidRDefault="00536F6A" w:rsidP="00E24EF0">
            <w:pPr>
              <w:pStyle w:val="TableContext"/>
              <w:rPr>
                <w:lang w:val="en-CA"/>
              </w:rPr>
            </w:pPr>
            <w:r w:rsidRPr="00BC081A">
              <w:rPr>
                <w:lang w:val="en-CA"/>
              </w:rPr>
              <w:t>33</w:t>
            </w:r>
          </w:p>
        </w:tc>
        <w:tc>
          <w:tcPr>
            <w:tcW w:w="1036" w:type="dxa"/>
            <w:tcBorders>
              <w:top w:val="nil"/>
              <w:left w:val="nil"/>
              <w:bottom w:val="single" w:sz="4" w:space="0" w:color="auto"/>
              <w:right w:val="single" w:sz="4" w:space="0" w:color="auto"/>
            </w:tcBorders>
            <w:shd w:val="clear" w:color="auto" w:fill="auto"/>
            <w:noWrap/>
            <w:hideMark/>
          </w:tcPr>
          <w:p w14:paraId="5E57483F" w14:textId="77777777" w:rsidR="00536F6A" w:rsidRPr="00BC081A" w:rsidRDefault="00536F6A" w:rsidP="00E24EF0">
            <w:pPr>
              <w:pStyle w:val="TableContext"/>
              <w:rPr>
                <w:lang w:val="en-CA"/>
              </w:rPr>
            </w:pPr>
            <w:r w:rsidRPr="00BC081A">
              <w:rPr>
                <w:lang w:val="en-CA"/>
              </w:rPr>
              <w:t>285</w:t>
            </w:r>
          </w:p>
        </w:tc>
        <w:tc>
          <w:tcPr>
            <w:tcW w:w="1036" w:type="dxa"/>
            <w:tcBorders>
              <w:top w:val="nil"/>
              <w:left w:val="nil"/>
              <w:bottom w:val="single" w:sz="4" w:space="0" w:color="auto"/>
              <w:right w:val="single" w:sz="4" w:space="0" w:color="auto"/>
            </w:tcBorders>
            <w:shd w:val="clear" w:color="auto" w:fill="auto"/>
            <w:noWrap/>
            <w:hideMark/>
          </w:tcPr>
          <w:p w14:paraId="557B7C8A"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7D65AA4C" w14:textId="77777777" w:rsidR="00536F6A" w:rsidRPr="00BC081A" w:rsidRDefault="00536F6A" w:rsidP="00E24EF0">
            <w:pPr>
              <w:pStyle w:val="TableContext"/>
              <w:rPr>
                <w:lang w:val="en-CA"/>
              </w:rPr>
            </w:pPr>
            <w:r w:rsidRPr="00BC081A">
              <w:rPr>
                <w:lang w:val="en-CA"/>
              </w:rPr>
              <w:t>0.58</w:t>
            </w:r>
          </w:p>
        </w:tc>
        <w:tc>
          <w:tcPr>
            <w:tcW w:w="1036" w:type="dxa"/>
            <w:tcBorders>
              <w:top w:val="nil"/>
              <w:left w:val="nil"/>
              <w:bottom w:val="single" w:sz="4" w:space="0" w:color="auto"/>
              <w:right w:val="single" w:sz="4" w:space="0" w:color="auto"/>
            </w:tcBorders>
            <w:shd w:val="clear" w:color="auto" w:fill="auto"/>
            <w:noWrap/>
            <w:hideMark/>
          </w:tcPr>
          <w:p w14:paraId="40432297" w14:textId="77777777" w:rsidR="00536F6A" w:rsidRPr="00BC081A" w:rsidRDefault="00536F6A" w:rsidP="00E24EF0">
            <w:pPr>
              <w:pStyle w:val="TableContext"/>
              <w:rPr>
                <w:lang w:val="en-CA"/>
              </w:rPr>
            </w:pPr>
            <w:r w:rsidRPr="00BC081A">
              <w:rPr>
                <w:lang w:val="en-CA"/>
              </w:rPr>
              <w:t>0.83</w:t>
            </w:r>
          </w:p>
        </w:tc>
        <w:tc>
          <w:tcPr>
            <w:tcW w:w="1036" w:type="dxa"/>
            <w:tcBorders>
              <w:top w:val="nil"/>
              <w:left w:val="nil"/>
              <w:bottom w:val="single" w:sz="4" w:space="0" w:color="auto"/>
              <w:right w:val="single" w:sz="4" w:space="0" w:color="auto"/>
            </w:tcBorders>
            <w:shd w:val="clear" w:color="auto" w:fill="auto"/>
            <w:noWrap/>
            <w:hideMark/>
          </w:tcPr>
          <w:p w14:paraId="6A92D3CB"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1DD403E4" w14:textId="77777777" w:rsidR="00536F6A" w:rsidRPr="00BC081A" w:rsidRDefault="00536F6A" w:rsidP="00E24EF0">
            <w:pPr>
              <w:pStyle w:val="TableContext"/>
              <w:rPr>
                <w:lang w:val="en-CA"/>
              </w:rPr>
            </w:pPr>
            <w:r w:rsidRPr="00BC081A">
              <w:rPr>
                <w:lang w:val="en-CA"/>
              </w:rPr>
              <w:t>0.85</w:t>
            </w:r>
          </w:p>
        </w:tc>
      </w:tr>
      <w:tr w:rsidR="00536F6A" w:rsidRPr="00BC081A" w14:paraId="240951C6"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2058B0A5" w14:textId="77777777" w:rsidR="00536F6A" w:rsidRPr="00BC081A" w:rsidRDefault="00536F6A" w:rsidP="00E24EF0">
            <w:pPr>
              <w:pStyle w:val="TableContext"/>
              <w:rPr>
                <w:lang w:val="en-CA"/>
              </w:rPr>
            </w:pPr>
            <w:r w:rsidRPr="00BC081A">
              <w:rPr>
                <w:lang w:val="en-CA"/>
              </w:rPr>
              <w:t>34</w:t>
            </w:r>
          </w:p>
        </w:tc>
        <w:tc>
          <w:tcPr>
            <w:tcW w:w="1036" w:type="dxa"/>
            <w:tcBorders>
              <w:top w:val="nil"/>
              <w:left w:val="nil"/>
              <w:bottom w:val="single" w:sz="4" w:space="0" w:color="auto"/>
              <w:right w:val="single" w:sz="4" w:space="0" w:color="auto"/>
            </w:tcBorders>
            <w:shd w:val="clear" w:color="auto" w:fill="auto"/>
            <w:noWrap/>
            <w:hideMark/>
          </w:tcPr>
          <w:p w14:paraId="057D7998" w14:textId="77777777" w:rsidR="00536F6A" w:rsidRPr="00BC081A" w:rsidRDefault="00536F6A" w:rsidP="00E24EF0">
            <w:pPr>
              <w:pStyle w:val="TableContext"/>
              <w:rPr>
                <w:lang w:val="en-CA"/>
              </w:rPr>
            </w:pPr>
            <w:r w:rsidRPr="00BC081A">
              <w:rPr>
                <w:lang w:val="en-CA"/>
              </w:rPr>
              <w:t>200</w:t>
            </w:r>
          </w:p>
        </w:tc>
        <w:tc>
          <w:tcPr>
            <w:tcW w:w="1036" w:type="dxa"/>
            <w:tcBorders>
              <w:top w:val="nil"/>
              <w:left w:val="nil"/>
              <w:bottom w:val="single" w:sz="4" w:space="0" w:color="auto"/>
              <w:right w:val="single" w:sz="4" w:space="0" w:color="auto"/>
            </w:tcBorders>
            <w:shd w:val="clear" w:color="auto" w:fill="auto"/>
            <w:noWrap/>
            <w:hideMark/>
          </w:tcPr>
          <w:p w14:paraId="39AE72EB"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747B6BC6" w14:textId="77777777" w:rsidR="00536F6A" w:rsidRPr="00BC081A" w:rsidRDefault="00536F6A" w:rsidP="00E24EF0">
            <w:pPr>
              <w:pStyle w:val="TableContext"/>
              <w:rPr>
                <w:lang w:val="en-CA"/>
              </w:rPr>
            </w:pPr>
            <w:r w:rsidRPr="00BC081A">
              <w:rPr>
                <w:lang w:val="en-CA"/>
              </w:rPr>
              <w:t>0.52</w:t>
            </w:r>
          </w:p>
        </w:tc>
        <w:tc>
          <w:tcPr>
            <w:tcW w:w="1036" w:type="dxa"/>
            <w:tcBorders>
              <w:top w:val="nil"/>
              <w:left w:val="nil"/>
              <w:bottom w:val="single" w:sz="4" w:space="0" w:color="auto"/>
              <w:right w:val="single" w:sz="4" w:space="0" w:color="auto"/>
            </w:tcBorders>
            <w:shd w:val="clear" w:color="auto" w:fill="auto"/>
            <w:noWrap/>
            <w:hideMark/>
          </w:tcPr>
          <w:p w14:paraId="3DE272EE" w14:textId="77777777" w:rsidR="00536F6A" w:rsidRPr="00BC081A" w:rsidRDefault="00536F6A" w:rsidP="00E24EF0">
            <w:pPr>
              <w:pStyle w:val="TableContext"/>
              <w:rPr>
                <w:lang w:val="en-CA"/>
              </w:rPr>
            </w:pPr>
            <w:r w:rsidRPr="00BC081A">
              <w:rPr>
                <w:lang w:val="en-CA"/>
              </w:rPr>
              <w:t>0.81</w:t>
            </w:r>
          </w:p>
        </w:tc>
        <w:tc>
          <w:tcPr>
            <w:tcW w:w="1036" w:type="dxa"/>
            <w:tcBorders>
              <w:top w:val="nil"/>
              <w:left w:val="nil"/>
              <w:bottom w:val="single" w:sz="4" w:space="0" w:color="auto"/>
              <w:right w:val="single" w:sz="4" w:space="0" w:color="auto"/>
            </w:tcBorders>
            <w:shd w:val="clear" w:color="auto" w:fill="auto"/>
            <w:noWrap/>
            <w:hideMark/>
          </w:tcPr>
          <w:p w14:paraId="335FF2CC"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02F249E4" w14:textId="77777777" w:rsidR="00536F6A" w:rsidRPr="00BC081A" w:rsidRDefault="00536F6A" w:rsidP="00E24EF0">
            <w:pPr>
              <w:pStyle w:val="TableContext"/>
              <w:rPr>
                <w:lang w:val="en-CA"/>
              </w:rPr>
            </w:pPr>
            <w:r w:rsidRPr="00BC081A">
              <w:rPr>
                <w:lang w:val="en-CA"/>
              </w:rPr>
              <w:t>0.84</w:t>
            </w:r>
          </w:p>
        </w:tc>
      </w:tr>
      <w:tr w:rsidR="00536F6A" w:rsidRPr="00BC081A" w14:paraId="50D26B35"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1492D746" w14:textId="77777777" w:rsidR="00536F6A" w:rsidRPr="00BC081A" w:rsidRDefault="00536F6A" w:rsidP="00E24EF0">
            <w:pPr>
              <w:pStyle w:val="TableContext"/>
              <w:rPr>
                <w:lang w:val="en-CA"/>
              </w:rPr>
            </w:pPr>
            <w:r w:rsidRPr="00BC081A">
              <w:rPr>
                <w:lang w:val="en-CA"/>
              </w:rPr>
              <w:t>35</w:t>
            </w:r>
          </w:p>
        </w:tc>
        <w:tc>
          <w:tcPr>
            <w:tcW w:w="1036" w:type="dxa"/>
            <w:tcBorders>
              <w:top w:val="nil"/>
              <w:left w:val="nil"/>
              <w:bottom w:val="single" w:sz="4" w:space="0" w:color="auto"/>
              <w:right w:val="single" w:sz="4" w:space="0" w:color="auto"/>
            </w:tcBorders>
            <w:shd w:val="clear" w:color="auto" w:fill="auto"/>
            <w:noWrap/>
            <w:hideMark/>
          </w:tcPr>
          <w:p w14:paraId="605967B4" w14:textId="77777777" w:rsidR="00536F6A" w:rsidRPr="00BC081A" w:rsidRDefault="00536F6A" w:rsidP="00E24EF0">
            <w:pPr>
              <w:pStyle w:val="TableContext"/>
              <w:rPr>
                <w:lang w:val="en-CA"/>
              </w:rPr>
            </w:pPr>
            <w:r w:rsidRPr="00BC081A">
              <w:rPr>
                <w:lang w:val="en-CA"/>
              </w:rPr>
              <w:t>87</w:t>
            </w:r>
          </w:p>
        </w:tc>
        <w:tc>
          <w:tcPr>
            <w:tcW w:w="1036" w:type="dxa"/>
            <w:tcBorders>
              <w:top w:val="nil"/>
              <w:left w:val="nil"/>
              <w:bottom w:val="single" w:sz="4" w:space="0" w:color="auto"/>
              <w:right w:val="single" w:sz="4" w:space="0" w:color="auto"/>
            </w:tcBorders>
            <w:shd w:val="clear" w:color="auto" w:fill="auto"/>
            <w:noWrap/>
            <w:hideMark/>
          </w:tcPr>
          <w:p w14:paraId="60EC44F9" w14:textId="77777777" w:rsidR="00536F6A" w:rsidRPr="00BC081A" w:rsidRDefault="00536F6A" w:rsidP="00E24EF0">
            <w:pPr>
              <w:pStyle w:val="TableContext"/>
              <w:rPr>
                <w:lang w:val="en-CA"/>
              </w:rPr>
            </w:pPr>
            <w:r w:rsidRPr="00BC081A">
              <w:rPr>
                <w:lang w:val="en-CA"/>
              </w:rPr>
              <w:t>0.4</w:t>
            </w:r>
          </w:p>
        </w:tc>
        <w:tc>
          <w:tcPr>
            <w:tcW w:w="1371" w:type="dxa"/>
            <w:tcBorders>
              <w:top w:val="nil"/>
              <w:left w:val="nil"/>
              <w:bottom w:val="single" w:sz="4" w:space="0" w:color="auto"/>
              <w:right w:val="single" w:sz="4" w:space="0" w:color="auto"/>
            </w:tcBorders>
            <w:shd w:val="clear" w:color="auto" w:fill="auto"/>
            <w:noWrap/>
            <w:hideMark/>
          </w:tcPr>
          <w:p w14:paraId="631EE377" w14:textId="77777777" w:rsidR="00536F6A" w:rsidRPr="00BC081A" w:rsidRDefault="00536F6A" w:rsidP="00E24EF0">
            <w:pPr>
              <w:pStyle w:val="TableContext"/>
              <w:rPr>
                <w:lang w:val="en-CA"/>
              </w:rPr>
            </w:pPr>
            <w:r w:rsidRPr="00BC081A">
              <w:rPr>
                <w:lang w:val="en-CA"/>
              </w:rPr>
              <w:t>0.51</w:t>
            </w:r>
          </w:p>
        </w:tc>
        <w:tc>
          <w:tcPr>
            <w:tcW w:w="1036" w:type="dxa"/>
            <w:tcBorders>
              <w:top w:val="nil"/>
              <w:left w:val="nil"/>
              <w:bottom w:val="single" w:sz="4" w:space="0" w:color="auto"/>
              <w:right w:val="single" w:sz="4" w:space="0" w:color="auto"/>
            </w:tcBorders>
            <w:shd w:val="clear" w:color="auto" w:fill="auto"/>
            <w:noWrap/>
            <w:hideMark/>
          </w:tcPr>
          <w:p w14:paraId="3309325C" w14:textId="77777777" w:rsidR="00536F6A" w:rsidRPr="00BC081A" w:rsidRDefault="00536F6A" w:rsidP="00E24EF0">
            <w:pPr>
              <w:pStyle w:val="TableContext"/>
              <w:rPr>
                <w:lang w:val="en-CA"/>
              </w:rPr>
            </w:pPr>
            <w:r w:rsidRPr="00BC081A">
              <w:rPr>
                <w:lang w:val="en-CA"/>
              </w:rPr>
              <w:t>0.64</w:t>
            </w:r>
          </w:p>
        </w:tc>
        <w:tc>
          <w:tcPr>
            <w:tcW w:w="1036" w:type="dxa"/>
            <w:tcBorders>
              <w:top w:val="nil"/>
              <w:left w:val="nil"/>
              <w:bottom w:val="single" w:sz="4" w:space="0" w:color="auto"/>
              <w:right w:val="single" w:sz="4" w:space="0" w:color="auto"/>
            </w:tcBorders>
            <w:shd w:val="clear" w:color="auto" w:fill="auto"/>
            <w:noWrap/>
            <w:hideMark/>
          </w:tcPr>
          <w:p w14:paraId="02DDBD01" w14:textId="77777777" w:rsidR="00536F6A" w:rsidRPr="00BC081A" w:rsidRDefault="00536F6A" w:rsidP="00E24EF0">
            <w:pPr>
              <w:pStyle w:val="TableContext"/>
              <w:rPr>
                <w:lang w:val="en-CA"/>
              </w:rPr>
            </w:pPr>
            <w:r w:rsidRPr="00BC081A">
              <w:rPr>
                <w:lang w:val="en-CA"/>
              </w:rPr>
              <w:t>1</w:t>
            </w:r>
          </w:p>
        </w:tc>
        <w:tc>
          <w:tcPr>
            <w:tcW w:w="1036" w:type="dxa"/>
            <w:tcBorders>
              <w:top w:val="nil"/>
              <w:left w:val="nil"/>
              <w:bottom w:val="single" w:sz="4" w:space="0" w:color="auto"/>
              <w:right w:val="single" w:sz="4" w:space="0" w:color="auto"/>
            </w:tcBorders>
            <w:shd w:val="clear" w:color="auto" w:fill="auto"/>
            <w:noWrap/>
            <w:hideMark/>
          </w:tcPr>
          <w:p w14:paraId="0FA89114" w14:textId="77777777" w:rsidR="00536F6A" w:rsidRPr="00BC081A" w:rsidRDefault="00536F6A" w:rsidP="00E24EF0">
            <w:pPr>
              <w:pStyle w:val="TableContext"/>
              <w:rPr>
                <w:lang w:val="en-CA"/>
              </w:rPr>
            </w:pPr>
            <w:r w:rsidRPr="00BC081A">
              <w:rPr>
                <w:lang w:val="en-CA"/>
              </w:rPr>
              <w:t>0.92</w:t>
            </w:r>
          </w:p>
        </w:tc>
      </w:tr>
      <w:tr w:rsidR="00536F6A" w:rsidRPr="00BC081A" w14:paraId="21810161"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3367B0EA" w14:textId="77777777" w:rsidR="00536F6A" w:rsidRPr="00BC081A" w:rsidRDefault="00536F6A" w:rsidP="00E24EF0">
            <w:pPr>
              <w:pStyle w:val="TableContext"/>
              <w:rPr>
                <w:lang w:val="en-CA"/>
              </w:rPr>
            </w:pPr>
            <w:r w:rsidRPr="00BC081A">
              <w:rPr>
                <w:lang w:val="en-CA"/>
              </w:rPr>
              <w:t>36</w:t>
            </w:r>
          </w:p>
        </w:tc>
        <w:tc>
          <w:tcPr>
            <w:tcW w:w="1036" w:type="dxa"/>
            <w:tcBorders>
              <w:top w:val="nil"/>
              <w:left w:val="nil"/>
              <w:bottom w:val="single" w:sz="4" w:space="0" w:color="auto"/>
              <w:right w:val="single" w:sz="4" w:space="0" w:color="auto"/>
            </w:tcBorders>
            <w:shd w:val="clear" w:color="auto" w:fill="auto"/>
            <w:noWrap/>
            <w:hideMark/>
          </w:tcPr>
          <w:p w14:paraId="2BFAC0A0" w14:textId="77777777" w:rsidR="00536F6A" w:rsidRPr="00BC081A" w:rsidRDefault="00536F6A" w:rsidP="00E24EF0">
            <w:pPr>
              <w:pStyle w:val="TableContext"/>
              <w:rPr>
                <w:lang w:val="en-CA"/>
              </w:rPr>
            </w:pPr>
            <w:r w:rsidRPr="00BC081A">
              <w:rPr>
                <w:lang w:val="en-CA"/>
              </w:rPr>
              <w:t>437</w:t>
            </w:r>
          </w:p>
        </w:tc>
        <w:tc>
          <w:tcPr>
            <w:tcW w:w="1036" w:type="dxa"/>
            <w:tcBorders>
              <w:top w:val="nil"/>
              <w:left w:val="nil"/>
              <w:bottom w:val="single" w:sz="4" w:space="0" w:color="auto"/>
              <w:right w:val="single" w:sz="4" w:space="0" w:color="auto"/>
            </w:tcBorders>
            <w:shd w:val="clear" w:color="auto" w:fill="auto"/>
            <w:noWrap/>
            <w:hideMark/>
          </w:tcPr>
          <w:p w14:paraId="4DBC75C4"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51FED085" w14:textId="77777777" w:rsidR="00536F6A" w:rsidRPr="00BC081A" w:rsidRDefault="00536F6A" w:rsidP="00E24EF0">
            <w:pPr>
              <w:pStyle w:val="TableContext"/>
              <w:rPr>
                <w:lang w:val="en-CA"/>
              </w:rPr>
            </w:pPr>
            <w:r w:rsidRPr="00BC081A">
              <w:rPr>
                <w:lang w:val="en-CA"/>
              </w:rPr>
              <w:t>0.66</w:t>
            </w:r>
          </w:p>
        </w:tc>
        <w:tc>
          <w:tcPr>
            <w:tcW w:w="1036" w:type="dxa"/>
            <w:tcBorders>
              <w:top w:val="nil"/>
              <w:left w:val="nil"/>
              <w:bottom w:val="single" w:sz="4" w:space="0" w:color="auto"/>
              <w:right w:val="single" w:sz="4" w:space="0" w:color="auto"/>
            </w:tcBorders>
            <w:shd w:val="clear" w:color="auto" w:fill="auto"/>
            <w:noWrap/>
            <w:hideMark/>
          </w:tcPr>
          <w:p w14:paraId="379262DF" w14:textId="77777777" w:rsidR="00536F6A" w:rsidRPr="00BC081A" w:rsidRDefault="00536F6A" w:rsidP="00E24EF0">
            <w:pPr>
              <w:pStyle w:val="TableContext"/>
              <w:rPr>
                <w:lang w:val="en-CA"/>
              </w:rPr>
            </w:pPr>
            <w:r w:rsidRPr="00BC081A">
              <w:rPr>
                <w:lang w:val="en-CA"/>
              </w:rPr>
              <w:t>0.81</w:t>
            </w:r>
          </w:p>
        </w:tc>
        <w:tc>
          <w:tcPr>
            <w:tcW w:w="1036" w:type="dxa"/>
            <w:tcBorders>
              <w:top w:val="nil"/>
              <w:left w:val="nil"/>
              <w:bottom w:val="single" w:sz="4" w:space="0" w:color="auto"/>
              <w:right w:val="single" w:sz="4" w:space="0" w:color="auto"/>
            </w:tcBorders>
            <w:shd w:val="clear" w:color="auto" w:fill="auto"/>
            <w:noWrap/>
            <w:hideMark/>
          </w:tcPr>
          <w:p w14:paraId="05E7D5B7"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29FE72A6" w14:textId="77777777" w:rsidR="00536F6A" w:rsidRPr="00BC081A" w:rsidRDefault="00536F6A" w:rsidP="00E24EF0">
            <w:pPr>
              <w:pStyle w:val="TableContext"/>
              <w:rPr>
                <w:lang w:val="en-CA"/>
              </w:rPr>
            </w:pPr>
            <w:r w:rsidRPr="00BC081A">
              <w:rPr>
                <w:lang w:val="en-CA"/>
              </w:rPr>
              <w:t>0.74</w:t>
            </w:r>
          </w:p>
        </w:tc>
      </w:tr>
      <w:tr w:rsidR="00536F6A" w:rsidRPr="00BC081A" w14:paraId="10EAE24D" w14:textId="77777777" w:rsidTr="00E24EF0">
        <w:trPr>
          <w:trHeight w:val="300"/>
          <w:jc w:val="center"/>
        </w:trPr>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hideMark/>
          </w:tcPr>
          <w:p w14:paraId="6D1EAD1E" w14:textId="77777777" w:rsidR="00536F6A" w:rsidRPr="00BC081A" w:rsidRDefault="00536F6A" w:rsidP="00E24EF0">
            <w:pPr>
              <w:pStyle w:val="TableContext"/>
              <w:rPr>
                <w:lang w:val="en-CA"/>
              </w:rPr>
            </w:pPr>
            <w:r w:rsidRPr="00BC081A">
              <w:rPr>
                <w:lang w:val="en-CA"/>
              </w:rPr>
              <w:t>37</w:t>
            </w:r>
          </w:p>
        </w:tc>
        <w:tc>
          <w:tcPr>
            <w:tcW w:w="1036" w:type="dxa"/>
            <w:tcBorders>
              <w:top w:val="nil"/>
              <w:left w:val="nil"/>
              <w:bottom w:val="single" w:sz="4" w:space="0" w:color="auto"/>
              <w:right w:val="single" w:sz="4" w:space="0" w:color="auto"/>
            </w:tcBorders>
            <w:shd w:val="clear" w:color="auto" w:fill="auto"/>
            <w:noWrap/>
            <w:hideMark/>
          </w:tcPr>
          <w:p w14:paraId="4CE451A8" w14:textId="77777777" w:rsidR="00536F6A" w:rsidRPr="00BC081A" w:rsidRDefault="00536F6A" w:rsidP="00E24EF0">
            <w:pPr>
              <w:pStyle w:val="TableContext"/>
              <w:rPr>
                <w:lang w:val="en-CA"/>
              </w:rPr>
            </w:pPr>
            <w:r w:rsidRPr="00BC081A">
              <w:rPr>
                <w:lang w:val="en-CA"/>
              </w:rPr>
              <w:t>225</w:t>
            </w:r>
          </w:p>
        </w:tc>
        <w:tc>
          <w:tcPr>
            <w:tcW w:w="1036" w:type="dxa"/>
            <w:tcBorders>
              <w:top w:val="nil"/>
              <w:left w:val="nil"/>
              <w:bottom w:val="single" w:sz="4" w:space="0" w:color="auto"/>
              <w:right w:val="single" w:sz="4" w:space="0" w:color="auto"/>
            </w:tcBorders>
            <w:shd w:val="clear" w:color="auto" w:fill="auto"/>
            <w:noWrap/>
            <w:hideMark/>
          </w:tcPr>
          <w:p w14:paraId="6E1D7A50" w14:textId="77777777" w:rsidR="00536F6A" w:rsidRPr="00BC081A" w:rsidRDefault="00536F6A" w:rsidP="00E24EF0">
            <w:pPr>
              <w:pStyle w:val="TableContext"/>
              <w:rPr>
                <w:lang w:val="en-CA"/>
              </w:rPr>
            </w:pPr>
            <w:r w:rsidRPr="00BC081A">
              <w:rPr>
                <w:lang w:val="en-CA"/>
              </w:rPr>
              <w:t>N/A</w:t>
            </w:r>
          </w:p>
        </w:tc>
        <w:tc>
          <w:tcPr>
            <w:tcW w:w="1371" w:type="dxa"/>
            <w:tcBorders>
              <w:top w:val="nil"/>
              <w:left w:val="nil"/>
              <w:bottom w:val="single" w:sz="4" w:space="0" w:color="auto"/>
              <w:right w:val="single" w:sz="4" w:space="0" w:color="auto"/>
            </w:tcBorders>
            <w:shd w:val="clear" w:color="auto" w:fill="auto"/>
            <w:noWrap/>
            <w:hideMark/>
          </w:tcPr>
          <w:p w14:paraId="7BEA388F" w14:textId="77777777" w:rsidR="00536F6A" w:rsidRPr="00BC081A" w:rsidRDefault="00536F6A" w:rsidP="00E24EF0">
            <w:pPr>
              <w:pStyle w:val="TableContext"/>
              <w:rPr>
                <w:lang w:val="en-CA"/>
              </w:rPr>
            </w:pPr>
            <w:r w:rsidRPr="00BC081A">
              <w:rPr>
                <w:lang w:val="en-CA"/>
              </w:rPr>
              <w:t>0.77</w:t>
            </w:r>
          </w:p>
        </w:tc>
        <w:tc>
          <w:tcPr>
            <w:tcW w:w="1036" w:type="dxa"/>
            <w:tcBorders>
              <w:top w:val="nil"/>
              <w:left w:val="nil"/>
              <w:bottom w:val="single" w:sz="4" w:space="0" w:color="auto"/>
              <w:right w:val="single" w:sz="4" w:space="0" w:color="auto"/>
            </w:tcBorders>
            <w:shd w:val="clear" w:color="auto" w:fill="auto"/>
            <w:noWrap/>
            <w:hideMark/>
          </w:tcPr>
          <w:p w14:paraId="6388BC8F" w14:textId="77777777" w:rsidR="00536F6A" w:rsidRPr="00BC081A" w:rsidRDefault="00536F6A" w:rsidP="00E24EF0">
            <w:pPr>
              <w:pStyle w:val="TableContext"/>
              <w:rPr>
                <w:lang w:val="en-CA"/>
              </w:rPr>
            </w:pPr>
            <w:r w:rsidRPr="00BC081A">
              <w:rPr>
                <w:lang w:val="en-CA"/>
              </w:rPr>
              <w:t>0.80</w:t>
            </w:r>
          </w:p>
        </w:tc>
        <w:tc>
          <w:tcPr>
            <w:tcW w:w="1036" w:type="dxa"/>
            <w:tcBorders>
              <w:top w:val="nil"/>
              <w:left w:val="nil"/>
              <w:bottom w:val="single" w:sz="4" w:space="0" w:color="auto"/>
              <w:right w:val="single" w:sz="4" w:space="0" w:color="auto"/>
            </w:tcBorders>
            <w:shd w:val="clear" w:color="auto" w:fill="auto"/>
            <w:noWrap/>
            <w:hideMark/>
          </w:tcPr>
          <w:p w14:paraId="0FB6A879" w14:textId="77777777" w:rsidR="00536F6A" w:rsidRPr="00BC081A" w:rsidRDefault="00536F6A" w:rsidP="00E24EF0">
            <w:pPr>
              <w:pStyle w:val="TableContext"/>
              <w:rPr>
                <w:lang w:val="en-CA"/>
              </w:rPr>
            </w:pPr>
            <w:r w:rsidRPr="00BC081A">
              <w:rPr>
                <w:lang w:val="en-CA"/>
              </w:rPr>
              <w:t>N/A</w:t>
            </w:r>
          </w:p>
        </w:tc>
        <w:tc>
          <w:tcPr>
            <w:tcW w:w="1036" w:type="dxa"/>
            <w:tcBorders>
              <w:top w:val="nil"/>
              <w:left w:val="nil"/>
              <w:bottom w:val="single" w:sz="4" w:space="0" w:color="auto"/>
              <w:right w:val="single" w:sz="4" w:space="0" w:color="auto"/>
            </w:tcBorders>
            <w:shd w:val="clear" w:color="auto" w:fill="auto"/>
            <w:noWrap/>
            <w:hideMark/>
          </w:tcPr>
          <w:p w14:paraId="6D69DA5C" w14:textId="77777777" w:rsidR="00536F6A" w:rsidRPr="00BC081A" w:rsidRDefault="00536F6A" w:rsidP="00E24EF0">
            <w:pPr>
              <w:pStyle w:val="TableContext"/>
              <w:rPr>
                <w:lang w:val="en-CA"/>
              </w:rPr>
            </w:pPr>
            <w:r w:rsidRPr="00BC081A">
              <w:rPr>
                <w:lang w:val="en-CA"/>
              </w:rPr>
              <w:t>0.89</w:t>
            </w:r>
          </w:p>
        </w:tc>
      </w:tr>
    </w:tbl>
    <w:p w14:paraId="1DF86696" w14:textId="77777777" w:rsidR="00536F6A" w:rsidRPr="00BC081A" w:rsidRDefault="00536F6A" w:rsidP="00536F6A"/>
    <w:p w14:paraId="025911CF" w14:textId="1C7E014E" w:rsidR="00536F6A" w:rsidRDefault="00536F6A" w:rsidP="002847AF">
      <w:r w:rsidRPr="00BC081A">
        <w:t>Based on the data above, the calculations (as explained in the paper) were conducted. The results of the calculations are as follows:</w:t>
      </w:r>
    </w:p>
    <w:p w14:paraId="15F9FC7E" w14:textId="3B3CA57F" w:rsidR="002847AF" w:rsidRPr="002847AF" w:rsidRDefault="002847AF" w:rsidP="00C92D78">
      <w:pPr>
        <w:pStyle w:val="Caption"/>
      </w:pPr>
      <w:bookmarkStart w:id="137" w:name="_Toc275209776"/>
      <w:r>
        <w:lastRenderedPageBreak/>
        <w:t xml:space="preserve">Table </w:t>
      </w:r>
      <w:r w:rsidR="007804FF">
        <w:fldChar w:fldCharType="begin"/>
      </w:r>
      <w:r w:rsidR="007804FF">
        <w:instrText xml:space="preserve"> SEQ Table \* ARABIC </w:instrText>
      </w:r>
      <w:r w:rsidR="007804FF">
        <w:fldChar w:fldCharType="separate"/>
      </w:r>
      <w:r w:rsidR="008C71FB">
        <w:rPr>
          <w:noProof/>
        </w:rPr>
        <w:t>18</w:t>
      </w:r>
      <w:r w:rsidR="007804FF">
        <w:rPr>
          <w:noProof/>
        </w:rPr>
        <w:fldChar w:fldCharType="end"/>
      </w:r>
      <w:r>
        <w:t xml:space="preserve"> – </w:t>
      </w:r>
      <w:r w:rsidRPr="00BC081A">
        <w:t>Calculations for the studies that had correlation between flow and intention</w:t>
      </w:r>
      <w:bookmarkEnd w:id="137"/>
    </w:p>
    <w:tbl>
      <w:tblPr>
        <w:tblW w:w="9100" w:type="dxa"/>
        <w:jc w:val="center"/>
        <w:tblInd w:w="93" w:type="dxa"/>
        <w:tblLook w:val="04A0" w:firstRow="1" w:lastRow="0" w:firstColumn="1" w:lastColumn="0" w:noHBand="0" w:noVBand="1"/>
      </w:tblPr>
      <w:tblGrid>
        <w:gridCol w:w="1300"/>
        <w:gridCol w:w="1300"/>
        <w:gridCol w:w="1300"/>
        <w:gridCol w:w="1300"/>
        <w:gridCol w:w="1300"/>
        <w:gridCol w:w="1300"/>
        <w:gridCol w:w="1300"/>
      </w:tblGrid>
      <w:tr w:rsidR="00536F6A" w:rsidRPr="00BC081A" w14:paraId="76D2B67C" w14:textId="77777777" w:rsidTr="00E24EF0">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000000" w:fill="DDD9C3" w:themeFill="background2" w:themeFillShade="E6"/>
            <w:noWrap/>
            <w:vAlign w:val="bottom"/>
            <w:hideMark/>
          </w:tcPr>
          <w:p w14:paraId="2E0CE920" w14:textId="77777777" w:rsidR="00536F6A" w:rsidRPr="00BC081A" w:rsidRDefault="00536F6A" w:rsidP="00E24EF0">
            <w:pPr>
              <w:pStyle w:val="TableContext"/>
              <w:rPr>
                <w:lang w:val="en-CA"/>
              </w:rPr>
            </w:pPr>
            <w:proofErr w:type="gramStart"/>
            <w:r w:rsidRPr="00BC081A">
              <w:rPr>
                <w:lang w:val="en-CA"/>
              </w:rPr>
              <w:t>k</w:t>
            </w:r>
            <w:proofErr w:type="gramEnd"/>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40582993" w14:textId="77777777" w:rsidR="00536F6A" w:rsidRPr="00BC081A" w:rsidRDefault="00536F6A" w:rsidP="00E24EF0">
            <w:pPr>
              <w:pStyle w:val="TableContext"/>
              <w:rPr>
                <w:lang w:val="en-CA"/>
              </w:rPr>
            </w:pPr>
            <w:r w:rsidRPr="00BC081A">
              <w:rPr>
                <w:lang w:val="en-CA"/>
              </w:rPr>
              <w:t>ES' (INT)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113FB8AF" w14:textId="77777777" w:rsidR="00536F6A" w:rsidRPr="00BC081A" w:rsidRDefault="00536F6A" w:rsidP="00E24EF0">
            <w:pPr>
              <w:pStyle w:val="TableContext"/>
              <w:rPr>
                <w:lang w:val="en-CA"/>
              </w:rPr>
            </w:pPr>
            <w:proofErr w:type="spellStart"/>
            <w:r w:rsidRPr="00BC081A">
              <w:rPr>
                <w:lang w:val="en-CA"/>
              </w:rPr>
              <w:t>ESz</w:t>
            </w:r>
            <w:proofErr w:type="spellEnd"/>
            <w:r w:rsidRPr="00BC081A">
              <w:rPr>
                <w:lang w:val="en-CA"/>
              </w:rPr>
              <w:t xml:space="preserve"> (INT)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549CC19A" w14:textId="77777777" w:rsidR="00536F6A" w:rsidRPr="00BC081A" w:rsidRDefault="00536F6A" w:rsidP="00E24EF0">
            <w:pPr>
              <w:pStyle w:val="TableContext"/>
              <w:rPr>
                <w:lang w:val="en-CA"/>
              </w:rPr>
            </w:pPr>
            <w:proofErr w:type="gramStart"/>
            <w:r w:rsidRPr="00BC081A">
              <w:rPr>
                <w:lang w:val="en-CA"/>
              </w:rPr>
              <w:t>w</w:t>
            </w:r>
            <w:proofErr w:type="gramEnd"/>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1CBC1B59" w14:textId="77777777" w:rsidR="00536F6A" w:rsidRPr="00BC081A" w:rsidRDefault="00536F6A" w:rsidP="00E24EF0">
            <w:pPr>
              <w:pStyle w:val="TableContext"/>
              <w:rPr>
                <w:lang w:val="en-CA"/>
              </w:rPr>
            </w:pPr>
            <w:proofErr w:type="gramStart"/>
            <w:r w:rsidRPr="00BC081A">
              <w:rPr>
                <w:lang w:val="en-CA"/>
              </w:rPr>
              <w:t>w</w:t>
            </w:r>
            <w:proofErr w:type="gramEnd"/>
            <w:r w:rsidRPr="00BC081A">
              <w:rPr>
                <w:lang w:val="en-CA"/>
              </w:rPr>
              <w:t>' (INT)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7771D61B" w14:textId="77777777" w:rsidR="00536F6A" w:rsidRPr="00BC081A" w:rsidRDefault="00536F6A" w:rsidP="00E24EF0">
            <w:pPr>
              <w:pStyle w:val="TableContext"/>
              <w:rPr>
                <w:lang w:val="en-CA"/>
              </w:rPr>
            </w:pPr>
            <w:proofErr w:type="gramStart"/>
            <w:r w:rsidRPr="00BC081A">
              <w:rPr>
                <w:lang w:val="en-CA"/>
              </w:rPr>
              <w:t>w</w:t>
            </w:r>
            <w:proofErr w:type="gramEnd"/>
            <w:r w:rsidRPr="00BC081A">
              <w:rPr>
                <w:lang w:val="en-CA"/>
              </w:rPr>
              <w:t>' *</w:t>
            </w:r>
            <w:proofErr w:type="spellStart"/>
            <w:r w:rsidRPr="00BC081A">
              <w:rPr>
                <w:lang w:val="en-CA"/>
              </w:rPr>
              <w:t>Esz</w:t>
            </w:r>
            <w:proofErr w:type="spellEnd"/>
            <w:r w:rsidRPr="00BC081A">
              <w:rPr>
                <w:lang w:val="en-CA"/>
              </w:rPr>
              <w:t xml:space="preserve"> (INT)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652FD386" w14:textId="77777777" w:rsidR="00536F6A" w:rsidRPr="00BC081A" w:rsidRDefault="00536F6A" w:rsidP="00E24EF0">
            <w:pPr>
              <w:pStyle w:val="TableContext"/>
              <w:rPr>
                <w:lang w:val="en-CA"/>
              </w:rPr>
            </w:pPr>
            <w:proofErr w:type="gramStart"/>
            <w:r w:rsidRPr="00BC081A">
              <w:rPr>
                <w:lang w:val="en-CA"/>
              </w:rPr>
              <w:t>w</w:t>
            </w:r>
            <w:proofErr w:type="gramEnd"/>
            <w:r w:rsidRPr="00BC081A">
              <w:rPr>
                <w:lang w:val="en-CA"/>
              </w:rPr>
              <w:t>' * ESz^2 (INT)</w:t>
            </w:r>
          </w:p>
        </w:tc>
      </w:tr>
      <w:tr w:rsidR="00536F6A" w:rsidRPr="00BC081A" w14:paraId="49D02357" w14:textId="77777777" w:rsidTr="00E24EF0">
        <w:trPr>
          <w:trHeight w:val="300"/>
          <w:jc w:val="center"/>
        </w:trPr>
        <w:tc>
          <w:tcPr>
            <w:tcW w:w="9100" w:type="dxa"/>
            <w:gridSpan w:val="7"/>
            <w:tcBorders>
              <w:top w:val="nil"/>
              <w:left w:val="single" w:sz="4" w:space="0" w:color="auto"/>
              <w:bottom w:val="single" w:sz="4" w:space="0" w:color="auto"/>
              <w:right w:val="single" w:sz="4" w:space="0" w:color="auto"/>
            </w:tcBorders>
            <w:shd w:val="clear" w:color="auto" w:fill="EEECE1" w:themeFill="background2"/>
            <w:noWrap/>
            <w:vAlign w:val="bottom"/>
          </w:tcPr>
          <w:p w14:paraId="0CAFA817" w14:textId="77777777" w:rsidR="00536F6A" w:rsidRPr="00BC081A" w:rsidRDefault="00536F6A" w:rsidP="00E24EF0">
            <w:pPr>
              <w:pStyle w:val="TableContext"/>
              <w:rPr>
                <w:b/>
                <w:lang w:val="en-CA"/>
              </w:rPr>
            </w:pPr>
            <w:r w:rsidRPr="00BC081A">
              <w:rPr>
                <w:b/>
                <w:lang w:val="en-CA"/>
              </w:rPr>
              <w:t>Studies of Flow type 1</w:t>
            </w:r>
          </w:p>
        </w:tc>
      </w:tr>
      <w:tr w:rsidR="00536F6A" w:rsidRPr="00BC081A" w14:paraId="67E2A3AF"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50E8A828" w14:textId="77777777" w:rsidR="00536F6A" w:rsidRPr="00BC081A" w:rsidRDefault="00536F6A" w:rsidP="00E24EF0">
            <w:pPr>
              <w:pStyle w:val="TableContext"/>
              <w:rPr>
                <w:lang w:val="en-CA"/>
              </w:rPr>
            </w:pPr>
            <w:r w:rsidRPr="00BC081A">
              <w:rPr>
                <w:lang w:val="en-CA"/>
              </w:rPr>
              <w:t>1</w:t>
            </w:r>
          </w:p>
        </w:tc>
        <w:tc>
          <w:tcPr>
            <w:tcW w:w="1300" w:type="dxa"/>
            <w:tcBorders>
              <w:top w:val="nil"/>
              <w:left w:val="nil"/>
              <w:bottom w:val="single" w:sz="4" w:space="0" w:color="auto"/>
              <w:right w:val="single" w:sz="4" w:space="0" w:color="auto"/>
            </w:tcBorders>
            <w:shd w:val="clear" w:color="auto" w:fill="auto"/>
            <w:noWrap/>
            <w:vAlign w:val="bottom"/>
            <w:hideMark/>
          </w:tcPr>
          <w:p w14:paraId="0887E16C" w14:textId="77777777" w:rsidR="00536F6A" w:rsidRPr="00BC081A" w:rsidRDefault="00536F6A" w:rsidP="00E24EF0">
            <w:pPr>
              <w:pStyle w:val="TableContext"/>
              <w:rPr>
                <w:lang w:val="en-CA"/>
              </w:rPr>
            </w:pPr>
            <w:r w:rsidRPr="00BC081A">
              <w:rPr>
                <w:lang w:val="en-CA"/>
              </w:rPr>
              <w:t>0.33</w:t>
            </w:r>
          </w:p>
        </w:tc>
        <w:tc>
          <w:tcPr>
            <w:tcW w:w="1300" w:type="dxa"/>
            <w:tcBorders>
              <w:top w:val="nil"/>
              <w:left w:val="nil"/>
              <w:bottom w:val="single" w:sz="4" w:space="0" w:color="auto"/>
              <w:right w:val="single" w:sz="4" w:space="0" w:color="auto"/>
            </w:tcBorders>
            <w:shd w:val="clear" w:color="auto" w:fill="auto"/>
            <w:noWrap/>
            <w:vAlign w:val="bottom"/>
            <w:hideMark/>
          </w:tcPr>
          <w:p w14:paraId="5FDFAC5F" w14:textId="77777777" w:rsidR="00536F6A" w:rsidRPr="00BC081A" w:rsidRDefault="00536F6A" w:rsidP="00E24EF0">
            <w:pPr>
              <w:pStyle w:val="TableContext"/>
              <w:rPr>
                <w:lang w:val="en-CA"/>
              </w:rPr>
            </w:pPr>
            <w:r w:rsidRPr="00BC081A">
              <w:rPr>
                <w:lang w:val="en-CA"/>
              </w:rPr>
              <w:t>0.29</w:t>
            </w:r>
          </w:p>
        </w:tc>
        <w:tc>
          <w:tcPr>
            <w:tcW w:w="1300" w:type="dxa"/>
            <w:tcBorders>
              <w:top w:val="nil"/>
              <w:left w:val="nil"/>
              <w:bottom w:val="single" w:sz="4" w:space="0" w:color="auto"/>
              <w:right w:val="single" w:sz="4" w:space="0" w:color="auto"/>
            </w:tcBorders>
            <w:shd w:val="clear" w:color="auto" w:fill="auto"/>
            <w:noWrap/>
            <w:vAlign w:val="bottom"/>
            <w:hideMark/>
          </w:tcPr>
          <w:p w14:paraId="22E4A4EF" w14:textId="77777777" w:rsidR="00536F6A" w:rsidRPr="00BC081A" w:rsidRDefault="00536F6A" w:rsidP="00E24EF0">
            <w:pPr>
              <w:pStyle w:val="TableContext"/>
              <w:rPr>
                <w:lang w:val="en-CA"/>
              </w:rPr>
            </w:pPr>
            <w:r w:rsidRPr="00BC081A">
              <w:rPr>
                <w:lang w:val="en-CA"/>
              </w:rPr>
              <w:t>230.00</w:t>
            </w:r>
          </w:p>
        </w:tc>
        <w:tc>
          <w:tcPr>
            <w:tcW w:w="1300" w:type="dxa"/>
            <w:tcBorders>
              <w:top w:val="nil"/>
              <w:left w:val="nil"/>
              <w:bottom w:val="single" w:sz="4" w:space="0" w:color="auto"/>
              <w:right w:val="single" w:sz="4" w:space="0" w:color="auto"/>
            </w:tcBorders>
            <w:shd w:val="clear" w:color="auto" w:fill="auto"/>
            <w:noWrap/>
            <w:vAlign w:val="bottom"/>
            <w:hideMark/>
          </w:tcPr>
          <w:p w14:paraId="3898384C" w14:textId="77777777" w:rsidR="00536F6A" w:rsidRPr="00BC081A" w:rsidRDefault="00536F6A" w:rsidP="00E24EF0">
            <w:pPr>
              <w:pStyle w:val="TableContext"/>
              <w:rPr>
                <w:lang w:val="en-CA"/>
              </w:rPr>
            </w:pPr>
            <w:r w:rsidRPr="00BC081A">
              <w:rPr>
                <w:lang w:val="en-CA"/>
              </w:rPr>
              <w:t>167.93</w:t>
            </w:r>
          </w:p>
        </w:tc>
        <w:tc>
          <w:tcPr>
            <w:tcW w:w="1300" w:type="dxa"/>
            <w:tcBorders>
              <w:top w:val="nil"/>
              <w:left w:val="nil"/>
              <w:bottom w:val="single" w:sz="4" w:space="0" w:color="auto"/>
              <w:right w:val="single" w:sz="4" w:space="0" w:color="auto"/>
            </w:tcBorders>
            <w:shd w:val="clear" w:color="auto" w:fill="auto"/>
            <w:noWrap/>
            <w:vAlign w:val="bottom"/>
            <w:hideMark/>
          </w:tcPr>
          <w:p w14:paraId="42B47C6C" w14:textId="77777777" w:rsidR="00536F6A" w:rsidRPr="00BC081A" w:rsidRDefault="00536F6A" w:rsidP="00E24EF0">
            <w:pPr>
              <w:pStyle w:val="TableContext"/>
              <w:rPr>
                <w:lang w:val="en-CA"/>
              </w:rPr>
            </w:pPr>
            <w:r w:rsidRPr="00BC081A">
              <w:rPr>
                <w:lang w:val="en-CA"/>
              </w:rPr>
              <w:t>49.28</w:t>
            </w:r>
          </w:p>
        </w:tc>
        <w:tc>
          <w:tcPr>
            <w:tcW w:w="1300" w:type="dxa"/>
            <w:tcBorders>
              <w:top w:val="nil"/>
              <w:left w:val="nil"/>
              <w:bottom w:val="single" w:sz="4" w:space="0" w:color="auto"/>
              <w:right w:val="single" w:sz="4" w:space="0" w:color="auto"/>
            </w:tcBorders>
            <w:shd w:val="clear" w:color="auto" w:fill="auto"/>
            <w:noWrap/>
            <w:vAlign w:val="bottom"/>
            <w:hideMark/>
          </w:tcPr>
          <w:p w14:paraId="211619A5" w14:textId="77777777" w:rsidR="00536F6A" w:rsidRPr="00BC081A" w:rsidRDefault="00536F6A" w:rsidP="00E24EF0">
            <w:pPr>
              <w:pStyle w:val="TableContext"/>
              <w:rPr>
                <w:lang w:val="en-CA"/>
              </w:rPr>
            </w:pPr>
            <w:r w:rsidRPr="00BC081A">
              <w:rPr>
                <w:lang w:val="en-CA"/>
              </w:rPr>
              <w:t>14.46</w:t>
            </w:r>
          </w:p>
        </w:tc>
      </w:tr>
      <w:tr w:rsidR="00536F6A" w:rsidRPr="00BC081A" w14:paraId="3740E2DC"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7CAE5B1E" w14:textId="77777777" w:rsidR="00536F6A" w:rsidRPr="00BC081A" w:rsidRDefault="00536F6A" w:rsidP="00E24EF0">
            <w:pPr>
              <w:pStyle w:val="TableContext"/>
              <w:rPr>
                <w:lang w:val="en-CA"/>
              </w:rPr>
            </w:pPr>
            <w:r w:rsidRPr="00BC081A">
              <w:rPr>
                <w:lang w:val="en-CA"/>
              </w:rPr>
              <w:t>2</w:t>
            </w:r>
          </w:p>
        </w:tc>
        <w:tc>
          <w:tcPr>
            <w:tcW w:w="1300" w:type="dxa"/>
            <w:tcBorders>
              <w:top w:val="nil"/>
              <w:left w:val="nil"/>
              <w:bottom w:val="single" w:sz="4" w:space="0" w:color="auto"/>
              <w:right w:val="single" w:sz="4" w:space="0" w:color="auto"/>
            </w:tcBorders>
            <w:shd w:val="clear" w:color="auto" w:fill="auto"/>
            <w:noWrap/>
            <w:vAlign w:val="bottom"/>
            <w:hideMark/>
          </w:tcPr>
          <w:p w14:paraId="47EA9957" w14:textId="77777777" w:rsidR="00536F6A" w:rsidRPr="00BC081A" w:rsidRDefault="00536F6A" w:rsidP="00E24EF0">
            <w:pPr>
              <w:pStyle w:val="TableContext"/>
              <w:rPr>
                <w:lang w:val="en-CA"/>
              </w:rPr>
            </w:pPr>
            <w:r w:rsidRPr="00BC081A">
              <w:rPr>
                <w:lang w:val="en-CA"/>
              </w:rPr>
              <w:t>0.23</w:t>
            </w:r>
          </w:p>
        </w:tc>
        <w:tc>
          <w:tcPr>
            <w:tcW w:w="1300" w:type="dxa"/>
            <w:tcBorders>
              <w:top w:val="nil"/>
              <w:left w:val="nil"/>
              <w:bottom w:val="single" w:sz="4" w:space="0" w:color="auto"/>
              <w:right w:val="single" w:sz="4" w:space="0" w:color="auto"/>
            </w:tcBorders>
            <w:shd w:val="clear" w:color="auto" w:fill="auto"/>
            <w:noWrap/>
            <w:vAlign w:val="bottom"/>
            <w:hideMark/>
          </w:tcPr>
          <w:p w14:paraId="0E0979CC" w14:textId="77777777" w:rsidR="00536F6A" w:rsidRPr="00BC081A" w:rsidRDefault="00536F6A" w:rsidP="00E24EF0">
            <w:pPr>
              <w:pStyle w:val="TableContext"/>
              <w:rPr>
                <w:lang w:val="en-CA"/>
              </w:rPr>
            </w:pPr>
            <w:r w:rsidRPr="00BC081A">
              <w:rPr>
                <w:lang w:val="en-CA"/>
              </w:rPr>
              <w:t>0.22</w:t>
            </w:r>
          </w:p>
        </w:tc>
        <w:tc>
          <w:tcPr>
            <w:tcW w:w="1300" w:type="dxa"/>
            <w:tcBorders>
              <w:top w:val="nil"/>
              <w:left w:val="nil"/>
              <w:bottom w:val="single" w:sz="4" w:space="0" w:color="auto"/>
              <w:right w:val="single" w:sz="4" w:space="0" w:color="auto"/>
            </w:tcBorders>
            <w:shd w:val="clear" w:color="auto" w:fill="auto"/>
            <w:noWrap/>
            <w:vAlign w:val="bottom"/>
            <w:hideMark/>
          </w:tcPr>
          <w:p w14:paraId="1C923CC3" w14:textId="77777777" w:rsidR="00536F6A" w:rsidRPr="00BC081A" w:rsidRDefault="00536F6A" w:rsidP="00E24EF0">
            <w:pPr>
              <w:pStyle w:val="TableContext"/>
              <w:rPr>
                <w:lang w:val="en-CA"/>
              </w:rPr>
            </w:pPr>
            <w:r w:rsidRPr="00BC081A">
              <w:rPr>
                <w:lang w:val="en-CA"/>
              </w:rPr>
              <w:t>339.00</w:t>
            </w:r>
          </w:p>
        </w:tc>
        <w:tc>
          <w:tcPr>
            <w:tcW w:w="1300" w:type="dxa"/>
            <w:tcBorders>
              <w:top w:val="nil"/>
              <w:left w:val="nil"/>
              <w:bottom w:val="single" w:sz="4" w:space="0" w:color="auto"/>
              <w:right w:val="single" w:sz="4" w:space="0" w:color="auto"/>
            </w:tcBorders>
            <w:shd w:val="clear" w:color="auto" w:fill="auto"/>
            <w:noWrap/>
            <w:vAlign w:val="bottom"/>
            <w:hideMark/>
          </w:tcPr>
          <w:p w14:paraId="3131BA6A" w14:textId="77777777" w:rsidR="00536F6A" w:rsidRPr="00BC081A" w:rsidRDefault="00536F6A" w:rsidP="00E24EF0">
            <w:pPr>
              <w:pStyle w:val="TableContext"/>
              <w:rPr>
                <w:lang w:val="en-CA"/>
              </w:rPr>
            </w:pPr>
            <w:r w:rsidRPr="00BC081A">
              <w:rPr>
                <w:lang w:val="en-CA"/>
              </w:rPr>
              <w:t>293.17</w:t>
            </w:r>
          </w:p>
        </w:tc>
        <w:tc>
          <w:tcPr>
            <w:tcW w:w="1300" w:type="dxa"/>
            <w:tcBorders>
              <w:top w:val="nil"/>
              <w:left w:val="nil"/>
              <w:bottom w:val="single" w:sz="4" w:space="0" w:color="auto"/>
              <w:right w:val="single" w:sz="4" w:space="0" w:color="auto"/>
            </w:tcBorders>
            <w:shd w:val="clear" w:color="auto" w:fill="auto"/>
            <w:noWrap/>
            <w:vAlign w:val="bottom"/>
            <w:hideMark/>
          </w:tcPr>
          <w:p w14:paraId="5BC9497A" w14:textId="77777777" w:rsidR="00536F6A" w:rsidRPr="00BC081A" w:rsidRDefault="00536F6A" w:rsidP="00E24EF0">
            <w:pPr>
              <w:pStyle w:val="TableContext"/>
              <w:rPr>
                <w:lang w:val="en-CA"/>
              </w:rPr>
            </w:pPr>
            <w:r w:rsidRPr="00BC081A">
              <w:rPr>
                <w:lang w:val="en-CA"/>
              </w:rPr>
              <w:t>63.74</w:t>
            </w:r>
          </w:p>
        </w:tc>
        <w:tc>
          <w:tcPr>
            <w:tcW w:w="1300" w:type="dxa"/>
            <w:tcBorders>
              <w:top w:val="nil"/>
              <w:left w:val="nil"/>
              <w:bottom w:val="single" w:sz="4" w:space="0" w:color="auto"/>
              <w:right w:val="single" w:sz="4" w:space="0" w:color="auto"/>
            </w:tcBorders>
            <w:shd w:val="clear" w:color="auto" w:fill="auto"/>
            <w:noWrap/>
            <w:vAlign w:val="bottom"/>
            <w:hideMark/>
          </w:tcPr>
          <w:p w14:paraId="5414A669" w14:textId="77777777" w:rsidR="00536F6A" w:rsidRPr="00BC081A" w:rsidRDefault="00536F6A" w:rsidP="00E24EF0">
            <w:pPr>
              <w:pStyle w:val="TableContext"/>
              <w:rPr>
                <w:lang w:val="en-CA"/>
              </w:rPr>
            </w:pPr>
            <w:r w:rsidRPr="00BC081A">
              <w:rPr>
                <w:lang w:val="en-CA"/>
              </w:rPr>
              <w:t>13.86</w:t>
            </w:r>
          </w:p>
        </w:tc>
      </w:tr>
      <w:tr w:rsidR="00536F6A" w:rsidRPr="00BC081A" w14:paraId="47614EF1"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4F4BEE28" w14:textId="77777777" w:rsidR="00536F6A" w:rsidRPr="00BC081A" w:rsidRDefault="00536F6A" w:rsidP="00E24EF0">
            <w:pPr>
              <w:pStyle w:val="TableContext"/>
              <w:rPr>
                <w:lang w:val="en-CA"/>
              </w:rPr>
            </w:pPr>
            <w:r w:rsidRPr="00BC081A">
              <w:rPr>
                <w:lang w:val="en-CA"/>
              </w:rPr>
              <w:t>8</w:t>
            </w:r>
          </w:p>
        </w:tc>
        <w:tc>
          <w:tcPr>
            <w:tcW w:w="1300" w:type="dxa"/>
            <w:tcBorders>
              <w:top w:val="nil"/>
              <w:left w:val="nil"/>
              <w:bottom w:val="single" w:sz="4" w:space="0" w:color="auto"/>
              <w:right w:val="single" w:sz="4" w:space="0" w:color="auto"/>
            </w:tcBorders>
            <w:shd w:val="clear" w:color="auto" w:fill="auto"/>
            <w:noWrap/>
            <w:vAlign w:val="bottom"/>
            <w:hideMark/>
          </w:tcPr>
          <w:p w14:paraId="2EFC6560" w14:textId="77777777" w:rsidR="00536F6A" w:rsidRPr="00BC081A" w:rsidRDefault="00536F6A" w:rsidP="00E24EF0">
            <w:pPr>
              <w:pStyle w:val="TableContext"/>
              <w:rPr>
                <w:lang w:val="en-CA"/>
              </w:rPr>
            </w:pPr>
            <w:r w:rsidRPr="00BC081A">
              <w:rPr>
                <w:lang w:val="en-CA"/>
              </w:rPr>
              <w:t>0.25</w:t>
            </w:r>
          </w:p>
        </w:tc>
        <w:tc>
          <w:tcPr>
            <w:tcW w:w="1300" w:type="dxa"/>
            <w:tcBorders>
              <w:top w:val="nil"/>
              <w:left w:val="nil"/>
              <w:bottom w:val="single" w:sz="4" w:space="0" w:color="auto"/>
              <w:right w:val="single" w:sz="4" w:space="0" w:color="auto"/>
            </w:tcBorders>
            <w:shd w:val="clear" w:color="auto" w:fill="auto"/>
            <w:noWrap/>
            <w:vAlign w:val="bottom"/>
            <w:hideMark/>
          </w:tcPr>
          <w:p w14:paraId="23C9DC7C" w14:textId="77777777" w:rsidR="00536F6A" w:rsidRPr="00BC081A" w:rsidRDefault="00536F6A" w:rsidP="00E24EF0">
            <w:pPr>
              <w:pStyle w:val="TableContext"/>
              <w:rPr>
                <w:lang w:val="en-CA"/>
              </w:rPr>
            </w:pPr>
            <w:r w:rsidRPr="00BC081A">
              <w:rPr>
                <w:lang w:val="en-CA"/>
              </w:rPr>
              <w:t>0.24</w:t>
            </w:r>
          </w:p>
        </w:tc>
        <w:tc>
          <w:tcPr>
            <w:tcW w:w="1300" w:type="dxa"/>
            <w:tcBorders>
              <w:top w:val="nil"/>
              <w:left w:val="nil"/>
              <w:bottom w:val="single" w:sz="4" w:space="0" w:color="auto"/>
              <w:right w:val="single" w:sz="4" w:space="0" w:color="auto"/>
            </w:tcBorders>
            <w:shd w:val="clear" w:color="auto" w:fill="auto"/>
            <w:noWrap/>
            <w:vAlign w:val="bottom"/>
            <w:hideMark/>
          </w:tcPr>
          <w:p w14:paraId="121C34E6" w14:textId="77777777" w:rsidR="00536F6A" w:rsidRPr="00BC081A" w:rsidRDefault="00536F6A" w:rsidP="00E24EF0">
            <w:pPr>
              <w:pStyle w:val="TableContext"/>
              <w:rPr>
                <w:lang w:val="en-CA"/>
              </w:rPr>
            </w:pPr>
            <w:r w:rsidRPr="00BC081A">
              <w:rPr>
                <w:lang w:val="en-CA"/>
              </w:rPr>
              <w:t>208.00</w:t>
            </w:r>
          </w:p>
        </w:tc>
        <w:tc>
          <w:tcPr>
            <w:tcW w:w="1300" w:type="dxa"/>
            <w:tcBorders>
              <w:top w:val="nil"/>
              <w:left w:val="nil"/>
              <w:bottom w:val="single" w:sz="4" w:space="0" w:color="auto"/>
              <w:right w:val="single" w:sz="4" w:space="0" w:color="auto"/>
            </w:tcBorders>
            <w:shd w:val="clear" w:color="auto" w:fill="auto"/>
            <w:noWrap/>
            <w:vAlign w:val="bottom"/>
            <w:hideMark/>
          </w:tcPr>
          <w:p w14:paraId="5F2629B4" w14:textId="77777777" w:rsidR="00536F6A" w:rsidRPr="00BC081A" w:rsidRDefault="00536F6A" w:rsidP="00E24EF0">
            <w:pPr>
              <w:pStyle w:val="TableContext"/>
              <w:rPr>
                <w:lang w:val="en-CA"/>
              </w:rPr>
            </w:pPr>
            <w:r w:rsidRPr="00BC081A">
              <w:rPr>
                <w:lang w:val="en-CA"/>
              </w:rPr>
              <w:t>170.35</w:t>
            </w:r>
          </w:p>
        </w:tc>
        <w:tc>
          <w:tcPr>
            <w:tcW w:w="1300" w:type="dxa"/>
            <w:tcBorders>
              <w:top w:val="nil"/>
              <w:left w:val="nil"/>
              <w:bottom w:val="single" w:sz="4" w:space="0" w:color="auto"/>
              <w:right w:val="single" w:sz="4" w:space="0" w:color="auto"/>
            </w:tcBorders>
            <w:shd w:val="clear" w:color="auto" w:fill="auto"/>
            <w:noWrap/>
            <w:vAlign w:val="bottom"/>
            <w:hideMark/>
          </w:tcPr>
          <w:p w14:paraId="561AC989" w14:textId="77777777" w:rsidR="00536F6A" w:rsidRPr="00BC081A" w:rsidRDefault="00536F6A" w:rsidP="00E24EF0">
            <w:pPr>
              <w:pStyle w:val="TableContext"/>
              <w:rPr>
                <w:lang w:val="en-CA"/>
              </w:rPr>
            </w:pPr>
            <w:r w:rsidRPr="00BC081A">
              <w:rPr>
                <w:lang w:val="en-CA"/>
              </w:rPr>
              <w:t>40.69</w:t>
            </w:r>
          </w:p>
        </w:tc>
        <w:tc>
          <w:tcPr>
            <w:tcW w:w="1300" w:type="dxa"/>
            <w:tcBorders>
              <w:top w:val="nil"/>
              <w:left w:val="nil"/>
              <w:bottom w:val="single" w:sz="4" w:space="0" w:color="auto"/>
              <w:right w:val="single" w:sz="4" w:space="0" w:color="auto"/>
            </w:tcBorders>
            <w:shd w:val="clear" w:color="auto" w:fill="auto"/>
            <w:noWrap/>
            <w:vAlign w:val="bottom"/>
            <w:hideMark/>
          </w:tcPr>
          <w:p w14:paraId="5CB2833B" w14:textId="77777777" w:rsidR="00536F6A" w:rsidRPr="00BC081A" w:rsidRDefault="00536F6A" w:rsidP="00E24EF0">
            <w:pPr>
              <w:pStyle w:val="TableContext"/>
              <w:rPr>
                <w:lang w:val="en-CA"/>
              </w:rPr>
            </w:pPr>
            <w:r w:rsidRPr="00BC081A">
              <w:rPr>
                <w:lang w:val="en-CA"/>
              </w:rPr>
              <w:t>9.72</w:t>
            </w:r>
          </w:p>
        </w:tc>
      </w:tr>
      <w:tr w:rsidR="00536F6A" w:rsidRPr="00BC081A" w14:paraId="0AA2B245"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7B1E4B97" w14:textId="77777777" w:rsidR="00536F6A" w:rsidRPr="00BC081A" w:rsidRDefault="00536F6A" w:rsidP="00E24EF0">
            <w:pPr>
              <w:pStyle w:val="TableContext"/>
              <w:rPr>
                <w:lang w:val="en-CA"/>
              </w:rPr>
            </w:pPr>
            <w:r w:rsidRPr="00BC081A">
              <w:rPr>
                <w:lang w:val="en-CA"/>
              </w:rPr>
              <w:t>32</w:t>
            </w:r>
          </w:p>
        </w:tc>
        <w:tc>
          <w:tcPr>
            <w:tcW w:w="1300" w:type="dxa"/>
            <w:tcBorders>
              <w:top w:val="nil"/>
              <w:left w:val="nil"/>
              <w:bottom w:val="single" w:sz="4" w:space="0" w:color="auto"/>
              <w:right w:val="single" w:sz="4" w:space="0" w:color="auto"/>
            </w:tcBorders>
            <w:shd w:val="clear" w:color="auto" w:fill="auto"/>
            <w:noWrap/>
            <w:vAlign w:val="bottom"/>
          </w:tcPr>
          <w:p w14:paraId="5446CA1A" w14:textId="77777777" w:rsidR="00536F6A" w:rsidRPr="00BC081A" w:rsidRDefault="00536F6A" w:rsidP="00E24EF0">
            <w:pPr>
              <w:pStyle w:val="TableContext"/>
              <w:rPr>
                <w:lang w:val="en-CA"/>
              </w:rPr>
            </w:pPr>
            <w:r w:rsidRPr="00BC081A">
              <w:rPr>
                <w:lang w:val="en-CA"/>
              </w:rPr>
              <w:t>0.34</w:t>
            </w:r>
          </w:p>
        </w:tc>
        <w:tc>
          <w:tcPr>
            <w:tcW w:w="1300" w:type="dxa"/>
            <w:tcBorders>
              <w:top w:val="nil"/>
              <w:left w:val="nil"/>
              <w:bottom w:val="single" w:sz="4" w:space="0" w:color="auto"/>
              <w:right w:val="single" w:sz="4" w:space="0" w:color="auto"/>
            </w:tcBorders>
            <w:shd w:val="clear" w:color="auto" w:fill="auto"/>
            <w:noWrap/>
            <w:vAlign w:val="bottom"/>
          </w:tcPr>
          <w:p w14:paraId="3AC4372A" w14:textId="77777777" w:rsidR="00536F6A" w:rsidRPr="00BC081A" w:rsidRDefault="00536F6A" w:rsidP="00E24EF0">
            <w:pPr>
              <w:pStyle w:val="TableContext"/>
              <w:rPr>
                <w:lang w:val="en-CA"/>
              </w:rPr>
            </w:pPr>
            <w:r w:rsidRPr="00BC081A">
              <w:rPr>
                <w:lang w:val="en-CA"/>
              </w:rPr>
              <w:t>0.17</w:t>
            </w:r>
          </w:p>
        </w:tc>
        <w:tc>
          <w:tcPr>
            <w:tcW w:w="1300" w:type="dxa"/>
            <w:tcBorders>
              <w:top w:val="nil"/>
              <w:left w:val="nil"/>
              <w:bottom w:val="single" w:sz="4" w:space="0" w:color="auto"/>
              <w:right w:val="single" w:sz="4" w:space="0" w:color="auto"/>
            </w:tcBorders>
            <w:shd w:val="clear" w:color="auto" w:fill="auto"/>
            <w:noWrap/>
            <w:vAlign w:val="bottom"/>
          </w:tcPr>
          <w:p w14:paraId="1485196E" w14:textId="77777777" w:rsidR="00536F6A" w:rsidRPr="00BC081A" w:rsidRDefault="00536F6A" w:rsidP="00E24EF0">
            <w:pPr>
              <w:pStyle w:val="TableContext"/>
              <w:rPr>
                <w:lang w:val="en-CA"/>
              </w:rPr>
            </w:pPr>
            <w:r w:rsidRPr="00BC081A">
              <w:rPr>
                <w:lang w:val="en-CA"/>
              </w:rPr>
              <w:t>0.14</w:t>
            </w:r>
          </w:p>
        </w:tc>
        <w:tc>
          <w:tcPr>
            <w:tcW w:w="1300" w:type="dxa"/>
            <w:tcBorders>
              <w:top w:val="nil"/>
              <w:left w:val="nil"/>
              <w:bottom w:val="single" w:sz="4" w:space="0" w:color="auto"/>
              <w:right w:val="single" w:sz="4" w:space="0" w:color="auto"/>
            </w:tcBorders>
            <w:shd w:val="clear" w:color="auto" w:fill="auto"/>
            <w:noWrap/>
            <w:vAlign w:val="bottom"/>
          </w:tcPr>
          <w:p w14:paraId="512D5C43" w14:textId="77777777" w:rsidR="00536F6A" w:rsidRPr="00BC081A" w:rsidRDefault="00536F6A" w:rsidP="00E24EF0">
            <w:pPr>
              <w:pStyle w:val="TableContext"/>
              <w:rPr>
                <w:lang w:val="en-CA"/>
              </w:rPr>
            </w:pPr>
            <w:r w:rsidRPr="00BC081A">
              <w:rPr>
                <w:lang w:val="en-CA"/>
              </w:rPr>
              <w:t>237.00</w:t>
            </w:r>
          </w:p>
        </w:tc>
        <w:tc>
          <w:tcPr>
            <w:tcW w:w="1300" w:type="dxa"/>
            <w:tcBorders>
              <w:top w:val="nil"/>
              <w:left w:val="nil"/>
              <w:bottom w:val="single" w:sz="4" w:space="0" w:color="auto"/>
              <w:right w:val="single" w:sz="4" w:space="0" w:color="auto"/>
            </w:tcBorders>
            <w:shd w:val="clear" w:color="auto" w:fill="auto"/>
            <w:noWrap/>
            <w:vAlign w:val="bottom"/>
          </w:tcPr>
          <w:p w14:paraId="5439653C" w14:textId="77777777" w:rsidR="00536F6A" w:rsidRPr="00BC081A" w:rsidRDefault="00536F6A" w:rsidP="00E24EF0">
            <w:pPr>
              <w:pStyle w:val="TableContext"/>
              <w:rPr>
                <w:lang w:val="en-CA"/>
              </w:rPr>
            </w:pPr>
            <w:r w:rsidRPr="00BC081A">
              <w:rPr>
                <w:lang w:val="en-CA"/>
              </w:rPr>
              <w:t>155.71</w:t>
            </w:r>
          </w:p>
        </w:tc>
        <w:tc>
          <w:tcPr>
            <w:tcW w:w="1300" w:type="dxa"/>
            <w:tcBorders>
              <w:top w:val="nil"/>
              <w:left w:val="nil"/>
              <w:bottom w:val="single" w:sz="4" w:space="0" w:color="auto"/>
              <w:right w:val="single" w:sz="4" w:space="0" w:color="auto"/>
            </w:tcBorders>
            <w:shd w:val="clear" w:color="auto" w:fill="auto"/>
            <w:noWrap/>
            <w:vAlign w:val="bottom"/>
          </w:tcPr>
          <w:p w14:paraId="38ED820B" w14:textId="77777777" w:rsidR="00536F6A" w:rsidRPr="00BC081A" w:rsidRDefault="00536F6A" w:rsidP="00E24EF0">
            <w:pPr>
              <w:pStyle w:val="TableContext"/>
              <w:rPr>
                <w:lang w:val="en-CA"/>
              </w:rPr>
            </w:pPr>
            <w:r w:rsidRPr="00BC081A">
              <w:rPr>
                <w:lang w:val="en-CA"/>
              </w:rPr>
              <w:t>22.38</w:t>
            </w:r>
          </w:p>
        </w:tc>
      </w:tr>
      <w:tr w:rsidR="00536F6A" w:rsidRPr="00BC081A" w14:paraId="53ED8A81"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1E9DC57A" w14:textId="77777777" w:rsidR="00536F6A" w:rsidRPr="00BC081A" w:rsidRDefault="00536F6A" w:rsidP="00E24EF0">
            <w:pPr>
              <w:pStyle w:val="TableContext"/>
              <w:rPr>
                <w:lang w:val="en-CA"/>
              </w:rPr>
            </w:pPr>
            <w:r w:rsidRPr="00BC081A">
              <w:rPr>
                <w:lang w:val="en-CA"/>
              </w:rPr>
              <w:t>24</w:t>
            </w:r>
          </w:p>
        </w:tc>
        <w:tc>
          <w:tcPr>
            <w:tcW w:w="1300" w:type="dxa"/>
            <w:tcBorders>
              <w:top w:val="nil"/>
              <w:left w:val="nil"/>
              <w:bottom w:val="single" w:sz="4" w:space="0" w:color="auto"/>
              <w:right w:val="single" w:sz="4" w:space="0" w:color="auto"/>
            </w:tcBorders>
            <w:shd w:val="clear" w:color="auto" w:fill="auto"/>
            <w:noWrap/>
            <w:vAlign w:val="bottom"/>
            <w:hideMark/>
          </w:tcPr>
          <w:p w14:paraId="25ADACF1" w14:textId="77777777" w:rsidR="00536F6A" w:rsidRPr="00BC081A" w:rsidRDefault="00536F6A" w:rsidP="00E24EF0">
            <w:pPr>
              <w:pStyle w:val="TableContext"/>
              <w:rPr>
                <w:lang w:val="en-CA"/>
              </w:rPr>
            </w:pPr>
            <w:r w:rsidRPr="00BC081A">
              <w:rPr>
                <w:lang w:val="en-CA"/>
              </w:rPr>
              <w:t>0.34</w:t>
            </w:r>
          </w:p>
        </w:tc>
        <w:tc>
          <w:tcPr>
            <w:tcW w:w="1300" w:type="dxa"/>
            <w:tcBorders>
              <w:top w:val="nil"/>
              <w:left w:val="nil"/>
              <w:bottom w:val="single" w:sz="4" w:space="0" w:color="auto"/>
              <w:right w:val="single" w:sz="4" w:space="0" w:color="auto"/>
            </w:tcBorders>
            <w:shd w:val="clear" w:color="auto" w:fill="auto"/>
            <w:noWrap/>
            <w:vAlign w:val="bottom"/>
            <w:hideMark/>
          </w:tcPr>
          <w:p w14:paraId="12D0684E" w14:textId="77777777" w:rsidR="00536F6A" w:rsidRPr="00BC081A" w:rsidRDefault="00536F6A" w:rsidP="00E24EF0">
            <w:pPr>
              <w:pStyle w:val="TableContext"/>
              <w:rPr>
                <w:lang w:val="en-CA"/>
              </w:rPr>
            </w:pPr>
            <w:r w:rsidRPr="00BC081A">
              <w:rPr>
                <w:lang w:val="en-CA"/>
              </w:rPr>
              <w:t>0.34</w:t>
            </w:r>
          </w:p>
        </w:tc>
        <w:tc>
          <w:tcPr>
            <w:tcW w:w="1300" w:type="dxa"/>
            <w:tcBorders>
              <w:top w:val="nil"/>
              <w:left w:val="nil"/>
              <w:bottom w:val="single" w:sz="4" w:space="0" w:color="auto"/>
              <w:right w:val="single" w:sz="4" w:space="0" w:color="auto"/>
            </w:tcBorders>
            <w:shd w:val="clear" w:color="auto" w:fill="auto"/>
            <w:noWrap/>
            <w:vAlign w:val="bottom"/>
            <w:hideMark/>
          </w:tcPr>
          <w:p w14:paraId="603E2823" w14:textId="77777777" w:rsidR="00536F6A" w:rsidRPr="00BC081A" w:rsidRDefault="00536F6A" w:rsidP="00E24EF0">
            <w:pPr>
              <w:pStyle w:val="TableContext"/>
              <w:rPr>
                <w:lang w:val="en-CA"/>
              </w:rPr>
            </w:pPr>
            <w:r w:rsidRPr="00BC081A">
              <w:rPr>
                <w:lang w:val="en-CA"/>
              </w:rPr>
              <w:t>345.00</w:t>
            </w:r>
          </w:p>
        </w:tc>
        <w:tc>
          <w:tcPr>
            <w:tcW w:w="1300" w:type="dxa"/>
            <w:tcBorders>
              <w:top w:val="nil"/>
              <w:left w:val="nil"/>
              <w:bottom w:val="single" w:sz="4" w:space="0" w:color="auto"/>
              <w:right w:val="single" w:sz="4" w:space="0" w:color="auto"/>
            </w:tcBorders>
            <w:shd w:val="clear" w:color="auto" w:fill="auto"/>
            <w:noWrap/>
            <w:vAlign w:val="bottom"/>
            <w:hideMark/>
          </w:tcPr>
          <w:p w14:paraId="4B96C292" w14:textId="77777777" w:rsidR="00536F6A" w:rsidRPr="00BC081A" w:rsidRDefault="00536F6A" w:rsidP="00E24EF0">
            <w:pPr>
              <w:pStyle w:val="TableContext"/>
              <w:rPr>
                <w:lang w:val="en-CA"/>
              </w:rPr>
            </w:pPr>
            <w:r w:rsidRPr="00BC081A">
              <w:rPr>
                <w:lang w:val="en-CA"/>
              </w:rPr>
              <w:t>308.09</w:t>
            </w:r>
          </w:p>
        </w:tc>
        <w:tc>
          <w:tcPr>
            <w:tcW w:w="1300" w:type="dxa"/>
            <w:tcBorders>
              <w:top w:val="nil"/>
              <w:left w:val="nil"/>
              <w:bottom w:val="single" w:sz="4" w:space="0" w:color="auto"/>
              <w:right w:val="single" w:sz="4" w:space="0" w:color="auto"/>
            </w:tcBorders>
            <w:shd w:val="clear" w:color="auto" w:fill="auto"/>
            <w:noWrap/>
            <w:vAlign w:val="bottom"/>
            <w:hideMark/>
          </w:tcPr>
          <w:p w14:paraId="71B33E8B" w14:textId="77777777" w:rsidR="00536F6A" w:rsidRPr="00BC081A" w:rsidRDefault="00536F6A" w:rsidP="00E24EF0">
            <w:pPr>
              <w:pStyle w:val="TableContext"/>
              <w:rPr>
                <w:lang w:val="en-CA"/>
              </w:rPr>
            </w:pPr>
            <w:r w:rsidRPr="00BC081A">
              <w:rPr>
                <w:lang w:val="en-CA"/>
              </w:rPr>
              <w:t>104.22</w:t>
            </w:r>
          </w:p>
        </w:tc>
        <w:tc>
          <w:tcPr>
            <w:tcW w:w="1300" w:type="dxa"/>
            <w:tcBorders>
              <w:top w:val="nil"/>
              <w:left w:val="nil"/>
              <w:bottom w:val="single" w:sz="4" w:space="0" w:color="auto"/>
              <w:right w:val="single" w:sz="4" w:space="0" w:color="auto"/>
            </w:tcBorders>
            <w:shd w:val="clear" w:color="auto" w:fill="auto"/>
            <w:noWrap/>
            <w:vAlign w:val="bottom"/>
            <w:hideMark/>
          </w:tcPr>
          <w:p w14:paraId="04733CBB" w14:textId="77777777" w:rsidR="00536F6A" w:rsidRPr="00BC081A" w:rsidRDefault="00536F6A" w:rsidP="00E24EF0">
            <w:pPr>
              <w:pStyle w:val="TableContext"/>
              <w:rPr>
                <w:lang w:val="en-CA"/>
              </w:rPr>
            </w:pPr>
            <w:r w:rsidRPr="00BC081A">
              <w:rPr>
                <w:lang w:val="en-CA"/>
              </w:rPr>
              <w:t>35.26</w:t>
            </w:r>
          </w:p>
        </w:tc>
      </w:tr>
      <w:tr w:rsidR="00536F6A" w:rsidRPr="00BC081A" w14:paraId="77DBF1E1" w14:textId="77777777" w:rsidTr="00E24EF0">
        <w:trPr>
          <w:trHeight w:val="300"/>
          <w:jc w:val="center"/>
        </w:trPr>
        <w:tc>
          <w:tcPr>
            <w:tcW w:w="9100" w:type="dxa"/>
            <w:gridSpan w:val="7"/>
            <w:tcBorders>
              <w:top w:val="nil"/>
              <w:left w:val="single" w:sz="4" w:space="0" w:color="auto"/>
              <w:bottom w:val="single" w:sz="4" w:space="0" w:color="auto"/>
              <w:right w:val="single" w:sz="4" w:space="0" w:color="auto"/>
            </w:tcBorders>
            <w:shd w:val="clear" w:color="auto" w:fill="EEECE1" w:themeFill="background2"/>
            <w:noWrap/>
            <w:vAlign w:val="bottom"/>
            <w:hideMark/>
          </w:tcPr>
          <w:p w14:paraId="5AE75605" w14:textId="77777777" w:rsidR="00536F6A" w:rsidRPr="00BC081A" w:rsidRDefault="00536F6A" w:rsidP="00E24EF0">
            <w:pPr>
              <w:pStyle w:val="TableContext"/>
              <w:rPr>
                <w:b/>
                <w:lang w:val="en-CA"/>
              </w:rPr>
            </w:pPr>
            <w:r w:rsidRPr="00BC081A">
              <w:rPr>
                <w:b/>
                <w:lang w:val="en-CA"/>
              </w:rPr>
              <w:t>Studies of Flow type 2 &amp; 3</w:t>
            </w:r>
          </w:p>
        </w:tc>
      </w:tr>
      <w:tr w:rsidR="00536F6A" w:rsidRPr="00BC081A" w14:paraId="6DB03230"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4BDB2C70" w14:textId="77777777" w:rsidR="00536F6A" w:rsidRPr="00BC081A" w:rsidRDefault="00536F6A" w:rsidP="00E24EF0">
            <w:pPr>
              <w:pStyle w:val="TableContext"/>
              <w:rPr>
                <w:lang w:val="en-CA"/>
              </w:rPr>
            </w:pPr>
            <w:r w:rsidRPr="00BC081A">
              <w:rPr>
                <w:lang w:val="en-CA"/>
              </w:rPr>
              <w:t>9</w:t>
            </w:r>
          </w:p>
        </w:tc>
        <w:tc>
          <w:tcPr>
            <w:tcW w:w="1300" w:type="dxa"/>
            <w:tcBorders>
              <w:top w:val="nil"/>
              <w:left w:val="nil"/>
              <w:bottom w:val="single" w:sz="4" w:space="0" w:color="auto"/>
              <w:right w:val="single" w:sz="4" w:space="0" w:color="auto"/>
            </w:tcBorders>
            <w:shd w:val="clear" w:color="auto" w:fill="auto"/>
            <w:noWrap/>
            <w:vAlign w:val="bottom"/>
            <w:hideMark/>
          </w:tcPr>
          <w:p w14:paraId="3244AD83" w14:textId="77777777" w:rsidR="00536F6A" w:rsidRPr="00BC081A" w:rsidRDefault="00536F6A" w:rsidP="00E24EF0">
            <w:pPr>
              <w:pStyle w:val="TableContext"/>
              <w:rPr>
                <w:lang w:val="en-CA"/>
              </w:rPr>
            </w:pPr>
            <w:r w:rsidRPr="00BC081A">
              <w:rPr>
                <w:lang w:val="en-CA"/>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FC158DA"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hideMark/>
          </w:tcPr>
          <w:p w14:paraId="077A6A02" w14:textId="77777777" w:rsidR="00536F6A" w:rsidRPr="00BC081A" w:rsidRDefault="00536F6A" w:rsidP="00E24EF0">
            <w:pPr>
              <w:pStyle w:val="TableContext"/>
              <w:rPr>
                <w:lang w:val="en-CA"/>
              </w:rPr>
            </w:pPr>
            <w:r w:rsidRPr="00BC081A">
              <w:rPr>
                <w:lang w:val="en-CA"/>
              </w:rPr>
              <w:t>169.00</w:t>
            </w:r>
          </w:p>
        </w:tc>
        <w:tc>
          <w:tcPr>
            <w:tcW w:w="1300" w:type="dxa"/>
            <w:tcBorders>
              <w:top w:val="nil"/>
              <w:left w:val="nil"/>
              <w:bottom w:val="single" w:sz="4" w:space="0" w:color="auto"/>
              <w:right w:val="single" w:sz="4" w:space="0" w:color="auto"/>
            </w:tcBorders>
            <w:shd w:val="clear" w:color="auto" w:fill="auto"/>
            <w:noWrap/>
            <w:vAlign w:val="bottom"/>
            <w:hideMark/>
          </w:tcPr>
          <w:p w14:paraId="7E4174C9" w14:textId="77777777" w:rsidR="00536F6A" w:rsidRPr="00BC081A" w:rsidRDefault="00536F6A" w:rsidP="00E24EF0">
            <w:pPr>
              <w:pStyle w:val="TableContext"/>
              <w:rPr>
                <w:lang w:val="en-CA"/>
              </w:rPr>
            </w:pPr>
            <w:r w:rsidRPr="00BC081A">
              <w:rPr>
                <w:lang w:val="en-CA"/>
              </w:rPr>
              <w:t>121.83</w:t>
            </w:r>
          </w:p>
        </w:tc>
        <w:tc>
          <w:tcPr>
            <w:tcW w:w="1300" w:type="dxa"/>
            <w:tcBorders>
              <w:top w:val="nil"/>
              <w:left w:val="nil"/>
              <w:bottom w:val="single" w:sz="4" w:space="0" w:color="auto"/>
              <w:right w:val="single" w:sz="4" w:space="0" w:color="auto"/>
            </w:tcBorders>
            <w:shd w:val="clear" w:color="auto" w:fill="auto"/>
            <w:noWrap/>
            <w:vAlign w:val="bottom"/>
            <w:hideMark/>
          </w:tcPr>
          <w:p w14:paraId="302A4DB7" w14:textId="77777777" w:rsidR="00536F6A" w:rsidRPr="00BC081A" w:rsidRDefault="00536F6A" w:rsidP="00E24EF0">
            <w:pPr>
              <w:pStyle w:val="TableContext"/>
              <w:rPr>
                <w:lang w:val="en-CA"/>
              </w:rPr>
            </w:pPr>
            <w:r w:rsidRPr="00BC081A">
              <w:rPr>
                <w:lang w:val="en-CA"/>
              </w:rPr>
              <w:t>69.91</w:t>
            </w:r>
          </w:p>
        </w:tc>
        <w:tc>
          <w:tcPr>
            <w:tcW w:w="1300" w:type="dxa"/>
            <w:tcBorders>
              <w:top w:val="nil"/>
              <w:left w:val="nil"/>
              <w:bottom w:val="single" w:sz="4" w:space="0" w:color="auto"/>
              <w:right w:val="single" w:sz="4" w:space="0" w:color="auto"/>
            </w:tcBorders>
            <w:shd w:val="clear" w:color="auto" w:fill="auto"/>
            <w:noWrap/>
            <w:vAlign w:val="bottom"/>
            <w:hideMark/>
          </w:tcPr>
          <w:p w14:paraId="61F42159" w14:textId="77777777" w:rsidR="00536F6A" w:rsidRPr="00BC081A" w:rsidRDefault="00536F6A" w:rsidP="00E24EF0">
            <w:pPr>
              <w:pStyle w:val="TableContext"/>
              <w:rPr>
                <w:lang w:val="en-CA"/>
              </w:rPr>
            </w:pPr>
            <w:r w:rsidRPr="00BC081A">
              <w:rPr>
                <w:lang w:val="en-CA"/>
              </w:rPr>
              <w:t>40.12</w:t>
            </w:r>
          </w:p>
        </w:tc>
      </w:tr>
      <w:tr w:rsidR="00536F6A" w:rsidRPr="00BC081A" w14:paraId="73A531B4"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1B8259FE" w14:textId="77777777" w:rsidR="00536F6A" w:rsidRPr="00BC081A" w:rsidRDefault="00536F6A" w:rsidP="00E24EF0">
            <w:pPr>
              <w:pStyle w:val="TableContext"/>
              <w:rPr>
                <w:lang w:val="en-CA"/>
              </w:rPr>
            </w:pPr>
            <w:r w:rsidRPr="00BC081A">
              <w:rPr>
                <w:lang w:val="en-CA"/>
              </w:rPr>
              <w:t>11</w:t>
            </w:r>
          </w:p>
        </w:tc>
        <w:tc>
          <w:tcPr>
            <w:tcW w:w="1300" w:type="dxa"/>
            <w:tcBorders>
              <w:top w:val="nil"/>
              <w:left w:val="nil"/>
              <w:bottom w:val="single" w:sz="4" w:space="0" w:color="auto"/>
              <w:right w:val="single" w:sz="4" w:space="0" w:color="auto"/>
            </w:tcBorders>
            <w:shd w:val="clear" w:color="auto" w:fill="auto"/>
            <w:noWrap/>
            <w:vAlign w:val="bottom"/>
            <w:hideMark/>
          </w:tcPr>
          <w:p w14:paraId="72C3372B" w14:textId="77777777" w:rsidR="00536F6A" w:rsidRPr="00BC081A" w:rsidRDefault="00536F6A" w:rsidP="00E24EF0">
            <w:pPr>
              <w:pStyle w:val="TableContext"/>
              <w:rPr>
                <w:lang w:val="en-CA"/>
              </w:rPr>
            </w:pPr>
            <w:r w:rsidRPr="00BC081A">
              <w:rPr>
                <w:lang w:val="en-CA"/>
              </w:rPr>
              <w:t>0.65</w:t>
            </w:r>
          </w:p>
        </w:tc>
        <w:tc>
          <w:tcPr>
            <w:tcW w:w="1300" w:type="dxa"/>
            <w:tcBorders>
              <w:top w:val="nil"/>
              <w:left w:val="nil"/>
              <w:bottom w:val="single" w:sz="4" w:space="0" w:color="auto"/>
              <w:right w:val="single" w:sz="4" w:space="0" w:color="auto"/>
            </w:tcBorders>
            <w:shd w:val="clear" w:color="auto" w:fill="auto"/>
            <w:noWrap/>
            <w:vAlign w:val="bottom"/>
            <w:hideMark/>
          </w:tcPr>
          <w:p w14:paraId="46285AEA" w14:textId="77777777" w:rsidR="00536F6A" w:rsidRPr="00BC081A" w:rsidRDefault="00536F6A" w:rsidP="00E24EF0">
            <w:pPr>
              <w:pStyle w:val="TableContext"/>
              <w:rPr>
                <w:lang w:val="en-CA"/>
              </w:rPr>
            </w:pPr>
            <w:r w:rsidRPr="00BC081A">
              <w:rPr>
                <w:lang w:val="en-CA"/>
              </w:rPr>
              <w:t>0.72</w:t>
            </w:r>
          </w:p>
        </w:tc>
        <w:tc>
          <w:tcPr>
            <w:tcW w:w="1300" w:type="dxa"/>
            <w:tcBorders>
              <w:top w:val="nil"/>
              <w:left w:val="nil"/>
              <w:bottom w:val="single" w:sz="4" w:space="0" w:color="auto"/>
              <w:right w:val="single" w:sz="4" w:space="0" w:color="auto"/>
            </w:tcBorders>
            <w:shd w:val="clear" w:color="auto" w:fill="auto"/>
            <w:noWrap/>
            <w:vAlign w:val="bottom"/>
            <w:hideMark/>
          </w:tcPr>
          <w:p w14:paraId="1534AB3C" w14:textId="77777777" w:rsidR="00536F6A" w:rsidRPr="00BC081A" w:rsidRDefault="00536F6A" w:rsidP="00E24EF0">
            <w:pPr>
              <w:pStyle w:val="TableContext"/>
              <w:rPr>
                <w:lang w:val="en-CA"/>
              </w:rPr>
            </w:pPr>
            <w:r w:rsidRPr="00BC081A">
              <w:rPr>
                <w:lang w:val="en-CA"/>
              </w:rPr>
              <w:t>182.00</w:t>
            </w:r>
          </w:p>
        </w:tc>
        <w:tc>
          <w:tcPr>
            <w:tcW w:w="1300" w:type="dxa"/>
            <w:tcBorders>
              <w:top w:val="nil"/>
              <w:left w:val="nil"/>
              <w:bottom w:val="single" w:sz="4" w:space="0" w:color="auto"/>
              <w:right w:val="single" w:sz="4" w:space="0" w:color="auto"/>
            </w:tcBorders>
            <w:shd w:val="clear" w:color="auto" w:fill="auto"/>
            <w:noWrap/>
            <w:vAlign w:val="bottom"/>
            <w:hideMark/>
          </w:tcPr>
          <w:p w14:paraId="2099E9AD" w14:textId="77777777" w:rsidR="00536F6A" w:rsidRPr="00BC081A" w:rsidRDefault="00536F6A" w:rsidP="00E24EF0">
            <w:pPr>
              <w:pStyle w:val="TableContext"/>
              <w:rPr>
                <w:lang w:val="en-CA"/>
              </w:rPr>
            </w:pPr>
            <w:r w:rsidRPr="00BC081A">
              <w:rPr>
                <w:lang w:val="en-CA"/>
              </w:rPr>
              <w:t>159.07</w:t>
            </w:r>
          </w:p>
        </w:tc>
        <w:tc>
          <w:tcPr>
            <w:tcW w:w="1300" w:type="dxa"/>
            <w:tcBorders>
              <w:top w:val="nil"/>
              <w:left w:val="nil"/>
              <w:bottom w:val="single" w:sz="4" w:space="0" w:color="auto"/>
              <w:right w:val="single" w:sz="4" w:space="0" w:color="auto"/>
            </w:tcBorders>
            <w:shd w:val="clear" w:color="auto" w:fill="auto"/>
            <w:noWrap/>
            <w:vAlign w:val="bottom"/>
            <w:hideMark/>
          </w:tcPr>
          <w:p w14:paraId="4BA65342" w14:textId="77777777" w:rsidR="00536F6A" w:rsidRPr="00BC081A" w:rsidRDefault="00536F6A" w:rsidP="00E24EF0">
            <w:pPr>
              <w:pStyle w:val="TableContext"/>
              <w:rPr>
                <w:lang w:val="en-CA"/>
              </w:rPr>
            </w:pPr>
            <w:r w:rsidRPr="00BC081A">
              <w:rPr>
                <w:lang w:val="en-CA"/>
              </w:rPr>
              <w:t>115.02</w:t>
            </w:r>
          </w:p>
        </w:tc>
        <w:tc>
          <w:tcPr>
            <w:tcW w:w="1300" w:type="dxa"/>
            <w:tcBorders>
              <w:top w:val="nil"/>
              <w:left w:val="nil"/>
              <w:bottom w:val="single" w:sz="4" w:space="0" w:color="auto"/>
              <w:right w:val="single" w:sz="4" w:space="0" w:color="auto"/>
            </w:tcBorders>
            <w:shd w:val="clear" w:color="auto" w:fill="auto"/>
            <w:noWrap/>
            <w:vAlign w:val="bottom"/>
            <w:hideMark/>
          </w:tcPr>
          <w:p w14:paraId="46D4FAC5" w14:textId="77777777" w:rsidR="00536F6A" w:rsidRPr="00BC081A" w:rsidRDefault="00536F6A" w:rsidP="00E24EF0">
            <w:pPr>
              <w:pStyle w:val="TableContext"/>
              <w:rPr>
                <w:lang w:val="en-CA"/>
              </w:rPr>
            </w:pPr>
            <w:r w:rsidRPr="00BC081A">
              <w:rPr>
                <w:lang w:val="en-CA"/>
              </w:rPr>
              <w:t>83.17</w:t>
            </w:r>
          </w:p>
        </w:tc>
      </w:tr>
      <w:tr w:rsidR="00536F6A" w:rsidRPr="00BC081A" w14:paraId="2763AE55"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2370B3F0" w14:textId="77777777" w:rsidR="00536F6A" w:rsidRPr="00BC081A" w:rsidRDefault="00536F6A" w:rsidP="00E24EF0">
            <w:pPr>
              <w:pStyle w:val="TableContext"/>
              <w:rPr>
                <w:lang w:val="en-CA"/>
              </w:rPr>
            </w:pPr>
            <w:r w:rsidRPr="00BC081A">
              <w:rPr>
                <w:lang w:val="en-CA"/>
              </w:rPr>
              <w:t>12</w:t>
            </w:r>
          </w:p>
        </w:tc>
        <w:tc>
          <w:tcPr>
            <w:tcW w:w="1300" w:type="dxa"/>
            <w:tcBorders>
              <w:top w:val="nil"/>
              <w:left w:val="nil"/>
              <w:bottom w:val="single" w:sz="4" w:space="0" w:color="auto"/>
              <w:right w:val="single" w:sz="4" w:space="0" w:color="auto"/>
            </w:tcBorders>
            <w:shd w:val="clear" w:color="auto" w:fill="auto"/>
            <w:noWrap/>
            <w:vAlign w:val="bottom"/>
            <w:hideMark/>
          </w:tcPr>
          <w:p w14:paraId="35B3C73E" w14:textId="77777777" w:rsidR="00536F6A" w:rsidRPr="00BC081A" w:rsidRDefault="00536F6A" w:rsidP="00E24EF0">
            <w:pPr>
              <w:pStyle w:val="TableContext"/>
              <w:rPr>
                <w:lang w:val="en-CA"/>
              </w:rPr>
            </w:pPr>
            <w:r w:rsidRPr="00BC081A">
              <w:rPr>
                <w:lang w:val="en-CA"/>
              </w:rPr>
              <w:t>0.65</w:t>
            </w:r>
          </w:p>
        </w:tc>
        <w:tc>
          <w:tcPr>
            <w:tcW w:w="1300" w:type="dxa"/>
            <w:tcBorders>
              <w:top w:val="nil"/>
              <w:left w:val="nil"/>
              <w:bottom w:val="single" w:sz="4" w:space="0" w:color="auto"/>
              <w:right w:val="single" w:sz="4" w:space="0" w:color="auto"/>
            </w:tcBorders>
            <w:shd w:val="clear" w:color="auto" w:fill="auto"/>
            <w:noWrap/>
            <w:vAlign w:val="bottom"/>
            <w:hideMark/>
          </w:tcPr>
          <w:p w14:paraId="4CEF732F" w14:textId="77777777" w:rsidR="00536F6A" w:rsidRPr="00BC081A" w:rsidRDefault="00536F6A" w:rsidP="00E24EF0">
            <w:pPr>
              <w:pStyle w:val="TableContext"/>
              <w:rPr>
                <w:lang w:val="en-CA"/>
              </w:rPr>
            </w:pPr>
            <w:r w:rsidRPr="00BC081A">
              <w:rPr>
                <w:lang w:val="en-CA"/>
              </w:rPr>
              <w:t>0.71</w:t>
            </w:r>
          </w:p>
        </w:tc>
        <w:tc>
          <w:tcPr>
            <w:tcW w:w="1300" w:type="dxa"/>
            <w:tcBorders>
              <w:top w:val="nil"/>
              <w:left w:val="nil"/>
              <w:bottom w:val="single" w:sz="4" w:space="0" w:color="auto"/>
              <w:right w:val="single" w:sz="4" w:space="0" w:color="auto"/>
            </w:tcBorders>
            <w:shd w:val="clear" w:color="auto" w:fill="auto"/>
            <w:noWrap/>
            <w:vAlign w:val="bottom"/>
            <w:hideMark/>
          </w:tcPr>
          <w:p w14:paraId="1922ADDD" w14:textId="77777777" w:rsidR="00536F6A" w:rsidRPr="00BC081A" w:rsidRDefault="00536F6A" w:rsidP="00E24EF0">
            <w:pPr>
              <w:pStyle w:val="TableContext"/>
              <w:rPr>
                <w:lang w:val="en-CA"/>
              </w:rPr>
            </w:pPr>
            <w:r w:rsidRPr="00BC081A">
              <w:rPr>
                <w:lang w:val="en-CA"/>
              </w:rPr>
              <w:t>267.00</w:t>
            </w:r>
          </w:p>
        </w:tc>
        <w:tc>
          <w:tcPr>
            <w:tcW w:w="1300" w:type="dxa"/>
            <w:tcBorders>
              <w:top w:val="nil"/>
              <w:left w:val="nil"/>
              <w:bottom w:val="single" w:sz="4" w:space="0" w:color="auto"/>
              <w:right w:val="single" w:sz="4" w:space="0" w:color="auto"/>
            </w:tcBorders>
            <w:shd w:val="clear" w:color="auto" w:fill="auto"/>
            <w:noWrap/>
            <w:vAlign w:val="bottom"/>
            <w:hideMark/>
          </w:tcPr>
          <w:p w14:paraId="6274BE51" w14:textId="77777777" w:rsidR="00536F6A" w:rsidRPr="00BC081A" w:rsidRDefault="00536F6A" w:rsidP="00E24EF0">
            <w:pPr>
              <w:pStyle w:val="TableContext"/>
              <w:rPr>
                <w:lang w:val="en-CA"/>
              </w:rPr>
            </w:pPr>
            <w:r w:rsidRPr="00BC081A">
              <w:rPr>
                <w:lang w:val="en-CA"/>
              </w:rPr>
              <w:t>225.32</w:t>
            </w:r>
          </w:p>
        </w:tc>
        <w:tc>
          <w:tcPr>
            <w:tcW w:w="1300" w:type="dxa"/>
            <w:tcBorders>
              <w:top w:val="nil"/>
              <w:left w:val="nil"/>
              <w:bottom w:val="single" w:sz="4" w:space="0" w:color="auto"/>
              <w:right w:val="single" w:sz="4" w:space="0" w:color="auto"/>
            </w:tcBorders>
            <w:shd w:val="clear" w:color="auto" w:fill="auto"/>
            <w:noWrap/>
            <w:vAlign w:val="bottom"/>
            <w:hideMark/>
          </w:tcPr>
          <w:p w14:paraId="33B60AC2" w14:textId="77777777" w:rsidR="00536F6A" w:rsidRPr="00BC081A" w:rsidRDefault="00536F6A" w:rsidP="00E24EF0">
            <w:pPr>
              <w:pStyle w:val="TableContext"/>
              <w:rPr>
                <w:lang w:val="en-CA"/>
              </w:rPr>
            </w:pPr>
            <w:r w:rsidRPr="00BC081A">
              <w:rPr>
                <w:lang w:val="en-CA"/>
              </w:rPr>
              <w:t>159.30</w:t>
            </w:r>
          </w:p>
        </w:tc>
        <w:tc>
          <w:tcPr>
            <w:tcW w:w="1300" w:type="dxa"/>
            <w:tcBorders>
              <w:top w:val="nil"/>
              <w:left w:val="nil"/>
              <w:bottom w:val="single" w:sz="4" w:space="0" w:color="auto"/>
              <w:right w:val="single" w:sz="4" w:space="0" w:color="auto"/>
            </w:tcBorders>
            <w:shd w:val="clear" w:color="auto" w:fill="auto"/>
            <w:noWrap/>
            <w:vAlign w:val="bottom"/>
            <w:hideMark/>
          </w:tcPr>
          <w:p w14:paraId="69C78C71" w14:textId="77777777" w:rsidR="00536F6A" w:rsidRPr="00BC081A" w:rsidRDefault="00536F6A" w:rsidP="00E24EF0">
            <w:pPr>
              <w:pStyle w:val="TableContext"/>
              <w:rPr>
                <w:lang w:val="en-CA"/>
              </w:rPr>
            </w:pPr>
            <w:r w:rsidRPr="00BC081A">
              <w:rPr>
                <w:lang w:val="en-CA"/>
              </w:rPr>
              <w:t>112.63</w:t>
            </w:r>
          </w:p>
        </w:tc>
      </w:tr>
      <w:tr w:rsidR="00536F6A" w:rsidRPr="00BC081A" w14:paraId="33D2F258"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3623C035" w14:textId="77777777" w:rsidR="00536F6A" w:rsidRPr="00BC081A" w:rsidRDefault="00536F6A" w:rsidP="00E24EF0">
            <w:pPr>
              <w:pStyle w:val="TableContext"/>
              <w:rPr>
                <w:lang w:val="en-CA"/>
              </w:rPr>
            </w:pPr>
            <w:r w:rsidRPr="00BC081A">
              <w:rPr>
                <w:lang w:val="en-CA"/>
              </w:rPr>
              <w:t>19</w:t>
            </w:r>
          </w:p>
        </w:tc>
        <w:tc>
          <w:tcPr>
            <w:tcW w:w="1300" w:type="dxa"/>
            <w:tcBorders>
              <w:top w:val="nil"/>
              <w:left w:val="nil"/>
              <w:bottom w:val="single" w:sz="4" w:space="0" w:color="auto"/>
              <w:right w:val="single" w:sz="4" w:space="0" w:color="auto"/>
            </w:tcBorders>
            <w:shd w:val="clear" w:color="auto" w:fill="auto"/>
            <w:noWrap/>
            <w:vAlign w:val="bottom"/>
            <w:hideMark/>
          </w:tcPr>
          <w:p w14:paraId="1491761E" w14:textId="77777777" w:rsidR="00536F6A" w:rsidRPr="00BC081A" w:rsidRDefault="00536F6A" w:rsidP="00E24EF0">
            <w:pPr>
              <w:pStyle w:val="TableContext"/>
              <w:rPr>
                <w:lang w:val="en-CA"/>
              </w:rPr>
            </w:pPr>
            <w:r w:rsidRPr="00BC081A">
              <w:rPr>
                <w:lang w:val="en-CA"/>
              </w:rPr>
              <w:t>0.62</w:t>
            </w:r>
          </w:p>
        </w:tc>
        <w:tc>
          <w:tcPr>
            <w:tcW w:w="1300" w:type="dxa"/>
            <w:tcBorders>
              <w:top w:val="nil"/>
              <w:left w:val="nil"/>
              <w:bottom w:val="single" w:sz="4" w:space="0" w:color="auto"/>
              <w:right w:val="single" w:sz="4" w:space="0" w:color="auto"/>
            </w:tcBorders>
            <w:shd w:val="clear" w:color="auto" w:fill="auto"/>
            <w:noWrap/>
            <w:vAlign w:val="bottom"/>
            <w:hideMark/>
          </w:tcPr>
          <w:p w14:paraId="2B6D0D9A" w14:textId="77777777" w:rsidR="00536F6A" w:rsidRPr="00BC081A" w:rsidRDefault="00536F6A" w:rsidP="00E24EF0">
            <w:pPr>
              <w:pStyle w:val="TableContext"/>
              <w:rPr>
                <w:lang w:val="en-CA"/>
              </w:rPr>
            </w:pPr>
            <w:r w:rsidRPr="00BC081A">
              <w:rPr>
                <w:lang w:val="en-CA"/>
              </w:rPr>
              <w:t>0.68</w:t>
            </w:r>
          </w:p>
        </w:tc>
        <w:tc>
          <w:tcPr>
            <w:tcW w:w="1300" w:type="dxa"/>
            <w:tcBorders>
              <w:top w:val="nil"/>
              <w:left w:val="nil"/>
              <w:bottom w:val="single" w:sz="4" w:space="0" w:color="auto"/>
              <w:right w:val="single" w:sz="4" w:space="0" w:color="auto"/>
            </w:tcBorders>
            <w:shd w:val="clear" w:color="auto" w:fill="auto"/>
            <w:noWrap/>
            <w:vAlign w:val="bottom"/>
            <w:hideMark/>
          </w:tcPr>
          <w:p w14:paraId="11AFA956" w14:textId="77777777" w:rsidR="00536F6A" w:rsidRPr="00BC081A" w:rsidRDefault="00536F6A" w:rsidP="00E24EF0">
            <w:pPr>
              <w:pStyle w:val="TableContext"/>
              <w:rPr>
                <w:lang w:val="en-CA"/>
              </w:rPr>
            </w:pPr>
            <w:r w:rsidRPr="00BC081A">
              <w:rPr>
                <w:lang w:val="en-CA"/>
              </w:rPr>
              <w:t>194.00</w:t>
            </w:r>
          </w:p>
        </w:tc>
        <w:tc>
          <w:tcPr>
            <w:tcW w:w="1300" w:type="dxa"/>
            <w:tcBorders>
              <w:top w:val="nil"/>
              <w:left w:val="nil"/>
              <w:bottom w:val="single" w:sz="4" w:space="0" w:color="auto"/>
              <w:right w:val="single" w:sz="4" w:space="0" w:color="auto"/>
            </w:tcBorders>
            <w:shd w:val="clear" w:color="auto" w:fill="auto"/>
            <w:noWrap/>
            <w:vAlign w:val="bottom"/>
            <w:hideMark/>
          </w:tcPr>
          <w:p w14:paraId="1AFFFA4C" w14:textId="77777777" w:rsidR="00536F6A" w:rsidRPr="00BC081A" w:rsidRDefault="00536F6A" w:rsidP="00E24EF0">
            <w:pPr>
              <w:pStyle w:val="TableContext"/>
              <w:rPr>
                <w:lang w:val="en-CA"/>
              </w:rPr>
            </w:pPr>
            <w:r w:rsidRPr="00BC081A">
              <w:rPr>
                <w:lang w:val="en-CA"/>
              </w:rPr>
              <w:t>167.77</w:t>
            </w:r>
          </w:p>
        </w:tc>
        <w:tc>
          <w:tcPr>
            <w:tcW w:w="1300" w:type="dxa"/>
            <w:tcBorders>
              <w:top w:val="nil"/>
              <w:left w:val="nil"/>
              <w:bottom w:val="single" w:sz="4" w:space="0" w:color="auto"/>
              <w:right w:val="single" w:sz="4" w:space="0" w:color="auto"/>
            </w:tcBorders>
            <w:shd w:val="clear" w:color="auto" w:fill="auto"/>
            <w:noWrap/>
            <w:vAlign w:val="bottom"/>
            <w:hideMark/>
          </w:tcPr>
          <w:p w14:paraId="6931F5F8" w14:textId="77777777" w:rsidR="00536F6A" w:rsidRPr="00BC081A" w:rsidRDefault="00536F6A" w:rsidP="00E24EF0">
            <w:pPr>
              <w:pStyle w:val="TableContext"/>
              <w:rPr>
                <w:lang w:val="en-CA"/>
              </w:rPr>
            </w:pPr>
            <w:r w:rsidRPr="00BC081A">
              <w:rPr>
                <w:lang w:val="en-CA"/>
              </w:rPr>
              <w:t>113.37</w:t>
            </w:r>
          </w:p>
        </w:tc>
        <w:tc>
          <w:tcPr>
            <w:tcW w:w="1300" w:type="dxa"/>
            <w:tcBorders>
              <w:top w:val="nil"/>
              <w:left w:val="nil"/>
              <w:bottom w:val="single" w:sz="4" w:space="0" w:color="auto"/>
              <w:right w:val="single" w:sz="4" w:space="0" w:color="auto"/>
            </w:tcBorders>
            <w:shd w:val="clear" w:color="auto" w:fill="auto"/>
            <w:noWrap/>
            <w:vAlign w:val="bottom"/>
            <w:hideMark/>
          </w:tcPr>
          <w:p w14:paraId="3CB62C6C" w14:textId="77777777" w:rsidR="00536F6A" w:rsidRPr="00BC081A" w:rsidRDefault="00536F6A" w:rsidP="00E24EF0">
            <w:pPr>
              <w:pStyle w:val="TableContext"/>
              <w:rPr>
                <w:lang w:val="en-CA"/>
              </w:rPr>
            </w:pPr>
            <w:r w:rsidRPr="00BC081A">
              <w:rPr>
                <w:lang w:val="en-CA"/>
              </w:rPr>
              <w:t>76.60</w:t>
            </w:r>
          </w:p>
        </w:tc>
      </w:tr>
      <w:tr w:rsidR="00536F6A" w:rsidRPr="00BC081A" w14:paraId="57EB93EA"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3EA7DBE8" w14:textId="77777777" w:rsidR="00536F6A" w:rsidRPr="00BC081A" w:rsidRDefault="00536F6A" w:rsidP="00E24EF0">
            <w:pPr>
              <w:pStyle w:val="TableContext"/>
              <w:rPr>
                <w:lang w:val="en-CA"/>
              </w:rPr>
            </w:pPr>
            <w:r w:rsidRPr="00BC081A">
              <w:rPr>
                <w:lang w:val="en-CA"/>
              </w:rPr>
              <w:t>15</w:t>
            </w:r>
          </w:p>
        </w:tc>
        <w:tc>
          <w:tcPr>
            <w:tcW w:w="1300" w:type="dxa"/>
            <w:tcBorders>
              <w:top w:val="nil"/>
              <w:left w:val="nil"/>
              <w:bottom w:val="single" w:sz="4" w:space="0" w:color="auto"/>
              <w:right w:val="single" w:sz="4" w:space="0" w:color="auto"/>
            </w:tcBorders>
            <w:shd w:val="clear" w:color="auto" w:fill="auto"/>
            <w:noWrap/>
            <w:vAlign w:val="bottom"/>
            <w:hideMark/>
          </w:tcPr>
          <w:p w14:paraId="48AC2720" w14:textId="77777777" w:rsidR="00536F6A" w:rsidRPr="00BC081A" w:rsidRDefault="00536F6A" w:rsidP="00E24EF0">
            <w:pPr>
              <w:pStyle w:val="TableContext"/>
              <w:rPr>
                <w:lang w:val="en-CA"/>
              </w:rPr>
            </w:pPr>
            <w:r w:rsidRPr="00BC081A">
              <w:rPr>
                <w:lang w:val="en-CA"/>
              </w:rPr>
              <w:t>0.61</w:t>
            </w:r>
          </w:p>
        </w:tc>
        <w:tc>
          <w:tcPr>
            <w:tcW w:w="1300" w:type="dxa"/>
            <w:tcBorders>
              <w:top w:val="nil"/>
              <w:left w:val="nil"/>
              <w:bottom w:val="single" w:sz="4" w:space="0" w:color="auto"/>
              <w:right w:val="single" w:sz="4" w:space="0" w:color="auto"/>
            </w:tcBorders>
            <w:shd w:val="clear" w:color="auto" w:fill="auto"/>
            <w:noWrap/>
            <w:vAlign w:val="bottom"/>
            <w:hideMark/>
          </w:tcPr>
          <w:p w14:paraId="0F65DA48" w14:textId="77777777" w:rsidR="00536F6A" w:rsidRPr="00BC081A" w:rsidRDefault="00536F6A" w:rsidP="00E24EF0">
            <w:pPr>
              <w:pStyle w:val="TableContext"/>
              <w:rPr>
                <w:lang w:val="en-CA"/>
              </w:rPr>
            </w:pPr>
            <w:r w:rsidRPr="00BC081A">
              <w:rPr>
                <w:lang w:val="en-CA"/>
              </w:rPr>
              <w:t>0.67</w:t>
            </w:r>
          </w:p>
        </w:tc>
        <w:tc>
          <w:tcPr>
            <w:tcW w:w="1300" w:type="dxa"/>
            <w:tcBorders>
              <w:top w:val="nil"/>
              <w:left w:val="nil"/>
              <w:bottom w:val="single" w:sz="4" w:space="0" w:color="auto"/>
              <w:right w:val="single" w:sz="4" w:space="0" w:color="auto"/>
            </w:tcBorders>
            <w:shd w:val="clear" w:color="auto" w:fill="auto"/>
            <w:noWrap/>
            <w:vAlign w:val="bottom"/>
            <w:hideMark/>
          </w:tcPr>
          <w:p w14:paraId="5173C5F6" w14:textId="77777777" w:rsidR="00536F6A" w:rsidRPr="00BC081A" w:rsidRDefault="00536F6A" w:rsidP="00E24EF0">
            <w:pPr>
              <w:pStyle w:val="TableContext"/>
              <w:rPr>
                <w:lang w:val="en-CA"/>
              </w:rPr>
            </w:pPr>
            <w:r w:rsidRPr="00BC081A">
              <w:rPr>
                <w:lang w:val="en-CA"/>
              </w:rPr>
              <w:t>277.00</w:t>
            </w:r>
          </w:p>
        </w:tc>
        <w:tc>
          <w:tcPr>
            <w:tcW w:w="1300" w:type="dxa"/>
            <w:tcBorders>
              <w:top w:val="nil"/>
              <w:left w:val="nil"/>
              <w:bottom w:val="single" w:sz="4" w:space="0" w:color="auto"/>
              <w:right w:val="single" w:sz="4" w:space="0" w:color="auto"/>
            </w:tcBorders>
            <w:shd w:val="clear" w:color="auto" w:fill="auto"/>
            <w:noWrap/>
            <w:vAlign w:val="bottom"/>
            <w:hideMark/>
          </w:tcPr>
          <w:p w14:paraId="617E44FC" w14:textId="77777777" w:rsidR="00536F6A" w:rsidRPr="00BC081A" w:rsidRDefault="00536F6A" w:rsidP="00E24EF0">
            <w:pPr>
              <w:pStyle w:val="TableContext"/>
              <w:rPr>
                <w:lang w:val="en-CA"/>
              </w:rPr>
            </w:pPr>
            <w:r w:rsidRPr="00BC081A">
              <w:rPr>
                <w:lang w:val="en-CA"/>
              </w:rPr>
              <w:t>246.25</w:t>
            </w:r>
          </w:p>
        </w:tc>
        <w:tc>
          <w:tcPr>
            <w:tcW w:w="1300" w:type="dxa"/>
            <w:tcBorders>
              <w:top w:val="nil"/>
              <w:left w:val="nil"/>
              <w:bottom w:val="single" w:sz="4" w:space="0" w:color="auto"/>
              <w:right w:val="single" w:sz="4" w:space="0" w:color="auto"/>
            </w:tcBorders>
            <w:shd w:val="clear" w:color="auto" w:fill="auto"/>
            <w:noWrap/>
            <w:vAlign w:val="bottom"/>
            <w:hideMark/>
          </w:tcPr>
          <w:p w14:paraId="4429507D" w14:textId="77777777" w:rsidR="00536F6A" w:rsidRPr="00BC081A" w:rsidRDefault="00536F6A" w:rsidP="00E24EF0">
            <w:pPr>
              <w:pStyle w:val="TableContext"/>
              <w:rPr>
                <w:lang w:val="en-CA"/>
              </w:rPr>
            </w:pPr>
            <w:r w:rsidRPr="00BC081A">
              <w:rPr>
                <w:lang w:val="en-CA"/>
              </w:rPr>
              <w:t>163.94</w:t>
            </w:r>
          </w:p>
        </w:tc>
        <w:tc>
          <w:tcPr>
            <w:tcW w:w="1300" w:type="dxa"/>
            <w:tcBorders>
              <w:top w:val="nil"/>
              <w:left w:val="nil"/>
              <w:bottom w:val="single" w:sz="4" w:space="0" w:color="auto"/>
              <w:right w:val="single" w:sz="4" w:space="0" w:color="auto"/>
            </w:tcBorders>
            <w:shd w:val="clear" w:color="auto" w:fill="auto"/>
            <w:noWrap/>
            <w:vAlign w:val="bottom"/>
            <w:hideMark/>
          </w:tcPr>
          <w:p w14:paraId="00019631" w14:textId="77777777" w:rsidR="00536F6A" w:rsidRPr="00BC081A" w:rsidRDefault="00536F6A" w:rsidP="00E24EF0">
            <w:pPr>
              <w:pStyle w:val="TableContext"/>
              <w:rPr>
                <w:lang w:val="en-CA"/>
              </w:rPr>
            </w:pPr>
            <w:r w:rsidRPr="00BC081A">
              <w:rPr>
                <w:lang w:val="en-CA"/>
              </w:rPr>
              <w:t>109.14</w:t>
            </w:r>
          </w:p>
        </w:tc>
      </w:tr>
      <w:tr w:rsidR="00536F6A" w:rsidRPr="00BC081A" w14:paraId="2B7BBFD6"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0396681B" w14:textId="77777777" w:rsidR="00536F6A" w:rsidRPr="00BC081A" w:rsidRDefault="00536F6A" w:rsidP="00E24EF0">
            <w:pPr>
              <w:pStyle w:val="TableContext"/>
              <w:rPr>
                <w:lang w:val="en-CA"/>
              </w:rPr>
            </w:pPr>
            <w:r w:rsidRPr="00BC081A">
              <w:rPr>
                <w:lang w:val="en-CA"/>
              </w:rPr>
              <w:t>17</w:t>
            </w:r>
          </w:p>
        </w:tc>
        <w:tc>
          <w:tcPr>
            <w:tcW w:w="1300" w:type="dxa"/>
            <w:tcBorders>
              <w:top w:val="nil"/>
              <w:left w:val="nil"/>
              <w:bottom w:val="single" w:sz="4" w:space="0" w:color="auto"/>
              <w:right w:val="single" w:sz="4" w:space="0" w:color="auto"/>
            </w:tcBorders>
            <w:shd w:val="clear" w:color="auto" w:fill="auto"/>
            <w:noWrap/>
            <w:vAlign w:val="bottom"/>
            <w:hideMark/>
          </w:tcPr>
          <w:p w14:paraId="3C248AF5" w14:textId="77777777" w:rsidR="00536F6A" w:rsidRPr="00BC081A" w:rsidRDefault="00536F6A" w:rsidP="00E24EF0">
            <w:pPr>
              <w:pStyle w:val="TableContext"/>
              <w:rPr>
                <w:lang w:val="en-CA"/>
              </w:rPr>
            </w:pPr>
            <w:r w:rsidRPr="00BC081A">
              <w:rPr>
                <w:lang w:val="en-CA"/>
              </w:rPr>
              <w:t>0.66</w:t>
            </w:r>
          </w:p>
        </w:tc>
        <w:tc>
          <w:tcPr>
            <w:tcW w:w="1300" w:type="dxa"/>
            <w:tcBorders>
              <w:top w:val="nil"/>
              <w:left w:val="nil"/>
              <w:bottom w:val="single" w:sz="4" w:space="0" w:color="auto"/>
              <w:right w:val="single" w:sz="4" w:space="0" w:color="auto"/>
            </w:tcBorders>
            <w:shd w:val="clear" w:color="auto" w:fill="auto"/>
            <w:noWrap/>
            <w:vAlign w:val="bottom"/>
            <w:hideMark/>
          </w:tcPr>
          <w:p w14:paraId="60F3A6DA" w14:textId="77777777" w:rsidR="00536F6A" w:rsidRPr="00BC081A" w:rsidRDefault="00536F6A" w:rsidP="00E24EF0">
            <w:pPr>
              <w:pStyle w:val="TableContext"/>
              <w:rPr>
                <w:lang w:val="en-CA"/>
              </w:rPr>
            </w:pPr>
            <w:r w:rsidRPr="00BC081A">
              <w:rPr>
                <w:lang w:val="en-CA"/>
              </w:rPr>
              <w:t>0.66</w:t>
            </w:r>
          </w:p>
        </w:tc>
        <w:tc>
          <w:tcPr>
            <w:tcW w:w="1300" w:type="dxa"/>
            <w:tcBorders>
              <w:top w:val="nil"/>
              <w:left w:val="nil"/>
              <w:bottom w:val="single" w:sz="4" w:space="0" w:color="auto"/>
              <w:right w:val="single" w:sz="4" w:space="0" w:color="auto"/>
            </w:tcBorders>
            <w:shd w:val="clear" w:color="auto" w:fill="auto"/>
            <w:noWrap/>
            <w:vAlign w:val="bottom"/>
            <w:hideMark/>
          </w:tcPr>
          <w:p w14:paraId="7E54EED4" w14:textId="77777777" w:rsidR="00536F6A" w:rsidRPr="00BC081A" w:rsidRDefault="00536F6A" w:rsidP="00E24EF0">
            <w:pPr>
              <w:pStyle w:val="TableContext"/>
              <w:rPr>
                <w:lang w:val="en-CA"/>
              </w:rPr>
            </w:pPr>
            <w:r w:rsidRPr="00BC081A">
              <w:rPr>
                <w:lang w:val="en-CA"/>
              </w:rPr>
              <w:t>278.00</w:t>
            </w:r>
          </w:p>
        </w:tc>
        <w:tc>
          <w:tcPr>
            <w:tcW w:w="1300" w:type="dxa"/>
            <w:tcBorders>
              <w:top w:val="nil"/>
              <w:left w:val="nil"/>
              <w:bottom w:val="single" w:sz="4" w:space="0" w:color="auto"/>
              <w:right w:val="single" w:sz="4" w:space="0" w:color="auto"/>
            </w:tcBorders>
            <w:shd w:val="clear" w:color="auto" w:fill="auto"/>
            <w:noWrap/>
            <w:vAlign w:val="bottom"/>
            <w:hideMark/>
          </w:tcPr>
          <w:p w14:paraId="1B5B41F7" w14:textId="77777777" w:rsidR="00536F6A" w:rsidRPr="00BC081A" w:rsidRDefault="00536F6A" w:rsidP="00E24EF0">
            <w:pPr>
              <w:pStyle w:val="TableContext"/>
              <w:rPr>
                <w:lang w:val="en-CA"/>
              </w:rPr>
            </w:pPr>
            <w:r w:rsidRPr="00BC081A">
              <w:rPr>
                <w:lang w:val="en-CA"/>
              </w:rPr>
              <w:t>206.19</w:t>
            </w:r>
          </w:p>
        </w:tc>
        <w:tc>
          <w:tcPr>
            <w:tcW w:w="1300" w:type="dxa"/>
            <w:tcBorders>
              <w:top w:val="nil"/>
              <w:left w:val="nil"/>
              <w:bottom w:val="single" w:sz="4" w:space="0" w:color="auto"/>
              <w:right w:val="single" w:sz="4" w:space="0" w:color="auto"/>
            </w:tcBorders>
            <w:shd w:val="clear" w:color="auto" w:fill="auto"/>
            <w:noWrap/>
            <w:vAlign w:val="bottom"/>
            <w:hideMark/>
          </w:tcPr>
          <w:p w14:paraId="16FE5974" w14:textId="77777777" w:rsidR="00536F6A" w:rsidRPr="00BC081A" w:rsidRDefault="00536F6A" w:rsidP="00E24EF0">
            <w:pPr>
              <w:pStyle w:val="TableContext"/>
              <w:rPr>
                <w:lang w:val="en-CA"/>
              </w:rPr>
            </w:pPr>
            <w:r w:rsidRPr="00BC081A">
              <w:rPr>
                <w:lang w:val="en-CA"/>
              </w:rPr>
              <w:t>135.13</w:t>
            </w:r>
          </w:p>
        </w:tc>
        <w:tc>
          <w:tcPr>
            <w:tcW w:w="1300" w:type="dxa"/>
            <w:tcBorders>
              <w:top w:val="nil"/>
              <w:left w:val="nil"/>
              <w:bottom w:val="single" w:sz="4" w:space="0" w:color="auto"/>
              <w:right w:val="single" w:sz="4" w:space="0" w:color="auto"/>
            </w:tcBorders>
            <w:shd w:val="clear" w:color="auto" w:fill="auto"/>
            <w:noWrap/>
            <w:vAlign w:val="bottom"/>
            <w:hideMark/>
          </w:tcPr>
          <w:p w14:paraId="36BA7DE0" w14:textId="77777777" w:rsidR="00536F6A" w:rsidRPr="00BC081A" w:rsidRDefault="00536F6A" w:rsidP="00E24EF0">
            <w:pPr>
              <w:pStyle w:val="TableContext"/>
              <w:rPr>
                <w:lang w:val="en-CA"/>
              </w:rPr>
            </w:pPr>
            <w:r w:rsidRPr="00BC081A">
              <w:rPr>
                <w:lang w:val="en-CA"/>
              </w:rPr>
              <w:t>88.57</w:t>
            </w:r>
          </w:p>
        </w:tc>
      </w:tr>
      <w:tr w:rsidR="00536F6A" w:rsidRPr="00BC081A" w14:paraId="4F647A01"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457B36D4" w14:textId="77777777" w:rsidR="00536F6A" w:rsidRPr="00BC081A" w:rsidRDefault="00536F6A" w:rsidP="00E24EF0">
            <w:pPr>
              <w:pStyle w:val="TableContext"/>
              <w:rPr>
                <w:lang w:val="en-CA"/>
              </w:rPr>
            </w:pPr>
            <w:r w:rsidRPr="00BC081A">
              <w:rPr>
                <w:lang w:val="en-CA"/>
              </w:rPr>
              <w:t>21</w:t>
            </w:r>
          </w:p>
        </w:tc>
        <w:tc>
          <w:tcPr>
            <w:tcW w:w="1300" w:type="dxa"/>
            <w:tcBorders>
              <w:top w:val="nil"/>
              <w:left w:val="nil"/>
              <w:bottom w:val="single" w:sz="4" w:space="0" w:color="auto"/>
              <w:right w:val="single" w:sz="4" w:space="0" w:color="auto"/>
            </w:tcBorders>
            <w:shd w:val="clear" w:color="auto" w:fill="auto"/>
            <w:noWrap/>
            <w:vAlign w:val="bottom"/>
          </w:tcPr>
          <w:p w14:paraId="22F344CD" w14:textId="77777777" w:rsidR="00536F6A" w:rsidRPr="00BC081A" w:rsidRDefault="00536F6A" w:rsidP="00E24EF0">
            <w:pPr>
              <w:pStyle w:val="TableContext"/>
              <w:rPr>
                <w:lang w:val="en-CA"/>
              </w:rPr>
            </w:pPr>
            <w:r w:rsidRPr="00BC081A">
              <w:rPr>
                <w:lang w:val="en-CA"/>
              </w:rPr>
              <w:t>0.62</w:t>
            </w:r>
          </w:p>
        </w:tc>
        <w:tc>
          <w:tcPr>
            <w:tcW w:w="1300" w:type="dxa"/>
            <w:tcBorders>
              <w:top w:val="nil"/>
              <w:left w:val="nil"/>
              <w:bottom w:val="single" w:sz="4" w:space="0" w:color="auto"/>
              <w:right w:val="single" w:sz="4" w:space="0" w:color="auto"/>
            </w:tcBorders>
            <w:shd w:val="clear" w:color="auto" w:fill="auto"/>
            <w:noWrap/>
            <w:vAlign w:val="bottom"/>
          </w:tcPr>
          <w:p w14:paraId="69A32185" w14:textId="77777777" w:rsidR="00536F6A" w:rsidRPr="00BC081A" w:rsidRDefault="00536F6A" w:rsidP="00E24EF0">
            <w:pPr>
              <w:pStyle w:val="TableContext"/>
              <w:rPr>
                <w:lang w:val="en-CA"/>
              </w:rPr>
            </w:pPr>
            <w:r w:rsidRPr="00BC081A">
              <w:rPr>
                <w:lang w:val="en-CA"/>
              </w:rPr>
              <w:t>0.59</w:t>
            </w:r>
          </w:p>
        </w:tc>
        <w:tc>
          <w:tcPr>
            <w:tcW w:w="1300" w:type="dxa"/>
            <w:tcBorders>
              <w:top w:val="nil"/>
              <w:left w:val="nil"/>
              <w:bottom w:val="single" w:sz="4" w:space="0" w:color="auto"/>
              <w:right w:val="single" w:sz="4" w:space="0" w:color="auto"/>
            </w:tcBorders>
            <w:shd w:val="clear" w:color="auto" w:fill="auto"/>
            <w:noWrap/>
            <w:vAlign w:val="bottom"/>
          </w:tcPr>
          <w:p w14:paraId="3249DC3C" w14:textId="77777777" w:rsidR="00536F6A" w:rsidRPr="00BC081A" w:rsidRDefault="00536F6A" w:rsidP="00E24EF0">
            <w:pPr>
              <w:pStyle w:val="TableContext"/>
              <w:rPr>
                <w:lang w:val="en-CA"/>
              </w:rPr>
            </w:pPr>
            <w:r w:rsidRPr="00BC081A">
              <w:rPr>
                <w:lang w:val="en-CA"/>
              </w:rPr>
              <w:t>307.00</w:t>
            </w:r>
          </w:p>
        </w:tc>
        <w:tc>
          <w:tcPr>
            <w:tcW w:w="1300" w:type="dxa"/>
            <w:tcBorders>
              <w:top w:val="nil"/>
              <w:left w:val="nil"/>
              <w:bottom w:val="single" w:sz="4" w:space="0" w:color="auto"/>
              <w:right w:val="single" w:sz="4" w:space="0" w:color="auto"/>
            </w:tcBorders>
            <w:shd w:val="clear" w:color="auto" w:fill="auto"/>
            <w:noWrap/>
            <w:vAlign w:val="bottom"/>
          </w:tcPr>
          <w:p w14:paraId="5692B95F" w14:textId="77777777" w:rsidR="00536F6A" w:rsidRPr="00BC081A" w:rsidRDefault="00536F6A" w:rsidP="00E24EF0">
            <w:pPr>
              <w:pStyle w:val="TableContext"/>
              <w:rPr>
                <w:lang w:val="en-CA"/>
              </w:rPr>
            </w:pPr>
            <w:r w:rsidRPr="00BC081A">
              <w:rPr>
                <w:lang w:val="en-CA"/>
              </w:rPr>
              <w:t>215.11</w:t>
            </w:r>
          </w:p>
        </w:tc>
        <w:tc>
          <w:tcPr>
            <w:tcW w:w="1300" w:type="dxa"/>
            <w:tcBorders>
              <w:top w:val="nil"/>
              <w:left w:val="nil"/>
              <w:bottom w:val="single" w:sz="4" w:space="0" w:color="auto"/>
              <w:right w:val="single" w:sz="4" w:space="0" w:color="auto"/>
            </w:tcBorders>
            <w:shd w:val="clear" w:color="auto" w:fill="auto"/>
            <w:noWrap/>
            <w:vAlign w:val="bottom"/>
          </w:tcPr>
          <w:p w14:paraId="55DE479A" w14:textId="77777777" w:rsidR="00536F6A" w:rsidRPr="00BC081A" w:rsidRDefault="00536F6A" w:rsidP="00E24EF0">
            <w:pPr>
              <w:pStyle w:val="TableContext"/>
              <w:rPr>
                <w:lang w:val="en-CA"/>
              </w:rPr>
            </w:pPr>
            <w:r w:rsidRPr="00BC081A">
              <w:rPr>
                <w:lang w:val="en-CA"/>
              </w:rPr>
              <w:t>126.46</w:t>
            </w:r>
          </w:p>
        </w:tc>
        <w:tc>
          <w:tcPr>
            <w:tcW w:w="1300" w:type="dxa"/>
            <w:tcBorders>
              <w:top w:val="nil"/>
              <w:left w:val="nil"/>
              <w:bottom w:val="single" w:sz="4" w:space="0" w:color="auto"/>
              <w:right w:val="single" w:sz="4" w:space="0" w:color="auto"/>
            </w:tcBorders>
            <w:shd w:val="clear" w:color="auto" w:fill="auto"/>
            <w:noWrap/>
            <w:vAlign w:val="bottom"/>
          </w:tcPr>
          <w:p w14:paraId="4B6DD3D5" w14:textId="77777777" w:rsidR="00536F6A" w:rsidRPr="00BC081A" w:rsidRDefault="00536F6A" w:rsidP="00E24EF0">
            <w:pPr>
              <w:pStyle w:val="TableContext"/>
              <w:rPr>
                <w:lang w:val="en-CA"/>
              </w:rPr>
            </w:pPr>
            <w:r w:rsidRPr="00BC081A">
              <w:rPr>
                <w:lang w:val="en-CA"/>
              </w:rPr>
              <w:t>74.34</w:t>
            </w:r>
          </w:p>
        </w:tc>
      </w:tr>
      <w:tr w:rsidR="00536F6A" w:rsidRPr="00BC081A" w14:paraId="5E4EF218"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5CA95A38" w14:textId="77777777" w:rsidR="00536F6A" w:rsidRPr="00BC081A" w:rsidRDefault="00536F6A" w:rsidP="00E24EF0">
            <w:pPr>
              <w:pStyle w:val="TableContext"/>
              <w:rPr>
                <w:lang w:val="en-CA"/>
              </w:rPr>
            </w:pPr>
            <w:r w:rsidRPr="00BC081A">
              <w:rPr>
                <w:lang w:val="en-CA"/>
              </w:rPr>
              <w:t>23</w:t>
            </w:r>
          </w:p>
        </w:tc>
        <w:tc>
          <w:tcPr>
            <w:tcW w:w="1300" w:type="dxa"/>
            <w:tcBorders>
              <w:top w:val="nil"/>
              <w:left w:val="nil"/>
              <w:bottom w:val="single" w:sz="4" w:space="0" w:color="auto"/>
              <w:right w:val="single" w:sz="4" w:space="0" w:color="auto"/>
            </w:tcBorders>
            <w:shd w:val="clear" w:color="auto" w:fill="auto"/>
            <w:noWrap/>
            <w:vAlign w:val="bottom"/>
            <w:hideMark/>
          </w:tcPr>
          <w:p w14:paraId="67F6F8B9" w14:textId="77777777" w:rsidR="00536F6A" w:rsidRPr="00BC081A" w:rsidRDefault="00536F6A" w:rsidP="00E24EF0">
            <w:pPr>
              <w:pStyle w:val="TableContext"/>
              <w:rPr>
                <w:lang w:val="en-CA"/>
              </w:rPr>
            </w:pPr>
            <w:r w:rsidRPr="00BC081A">
              <w:rPr>
                <w:lang w:val="en-CA"/>
              </w:rPr>
              <w:t>0.66</w:t>
            </w:r>
          </w:p>
        </w:tc>
        <w:tc>
          <w:tcPr>
            <w:tcW w:w="1300" w:type="dxa"/>
            <w:tcBorders>
              <w:top w:val="nil"/>
              <w:left w:val="nil"/>
              <w:bottom w:val="single" w:sz="4" w:space="0" w:color="auto"/>
              <w:right w:val="single" w:sz="4" w:space="0" w:color="auto"/>
            </w:tcBorders>
            <w:shd w:val="clear" w:color="auto" w:fill="auto"/>
            <w:noWrap/>
            <w:vAlign w:val="bottom"/>
            <w:hideMark/>
          </w:tcPr>
          <w:p w14:paraId="08B0BE02" w14:textId="77777777" w:rsidR="00536F6A" w:rsidRPr="00BC081A" w:rsidRDefault="00536F6A" w:rsidP="00E24EF0">
            <w:pPr>
              <w:pStyle w:val="TableContext"/>
              <w:rPr>
                <w:lang w:val="en-CA"/>
              </w:rPr>
            </w:pPr>
            <w:r w:rsidRPr="00BC081A">
              <w:rPr>
                <w:lang w:val="en-CA"/>
              </w:rPr>
              <w:t>0.74</w:t>
            </w:r>
          </w:p>
        </w:tc>
        <w:tc>
          <w:tcPr>
            <w:tcW w:w="1300" w:type="dxa"/>
            <w:tcBorders>
              <w:top w:val="nil"/>
              <w:left w:val="nil"/>
              <w:bottom w:val="single" w:sz="4" w:space="0" w:color="auto"/>
              <w:right w:val="single" w:sz="4" w:space="0" w:color="auto"/>
            </w:tcBorders>
            <w:shd w:val="clear" w:color="auto" w:fill="auto"/>
            <w:noWrap/>
            <w:vAlign w:val="bottom"/>
            <w:hideMark/>
          </w:tcPr>
          <w:p w14:paraId="7F75FC4F" w14:textId="77777777" w:rsidR="00536F6A" w:rsidRPr="00BC081A" w:rsidRDefault="00536F6A" w:rsidP="00E24EF0">
            <w:pPr>
              <w:pStyle w:val="TableContext"/>
              <w:rPr>
                <w:lang w:val="en-CA"/>
              </w:rPr>
            </w:pPr>
            <w:r w:rsidRPr="00BC081A">
              <w:rPr>
                <w:lang w:val="en-CA"/>
              </w:rPr>
              <w:t>277.00</w:t>
            </w:r>
          </w:p>
        </w:tc>
        <w:tc>
          <w:tcPr>
            <w:tcW w:w="1300" w:type="dxa"/>
            <w:tcBorders>
              <w:top w:val="nil"/>
              <w:left w:val="nil"/>
              <w:bottom w:val="single" w:sz="4" w:space="0" w:color="auto"/>
              <w:right w:val="single" w:sz="4" w:space="0" w:color="auto"/>
            </w:tcBorders>
            <w:shd w:val="clear" w:color="auto" w:fill="auto"/>
            <w:noWrap/>
            <w:vAlign w:val="bottom"/>
            <w:hideMark/>
          </w:tcPr>
          <w:p w14:paraId="6C5D5BA2" w14:textId="77777777" w:rsidR="00536F6A" w:rsidRPr="00BC081A" w:rsidRDefault="00536F6A" w:rsidP="00E24EF0">
            <w:pPr>
              <w:pStyle w:val="TableContext"/>
              <w:rPr>
                <w:lang w:val="en-CA"/>
              </w:rPr>
            </w:pPr>
            <w:r w:rsidRPr="00BC081A">
              <w:rPr>
                <w:lang w:val="en-CA"/>
              </w:rPr>
              <w:t>241.82</w:t>
            </w:r>
          </w:p>
        </w:tc>
        <w:tc>
          <w:tcPr>
            <w:tcW w:w="1300" w:type="dxa"/>
            <w:tcBorders>
              <w:top w:val="nil"/>
              <w:left w:val="nil"/>
              <w:bottom w:val="single" w:sz="4" w:space="0" w:color="auto"/>
              <w:right w:val="single" w:sz="4" w:space="0" w:color="auto"/>
            </w:tcBorders>
            <w:shd w:val="clear" w:color="auto" w:fill="auto"/>
            <w:noWrap/>
            <w:vAlign w:val="bottom"/>
            <w:hideMark/>
          </w:tcPr>
          <w:p w14:paraId="54913649" w14:textId="77777777" w:rsidR="00536F6A" w:rsidRPr="00BC081A" w:rsidRDefault="00536F6A" w:rsidP="00E24EF0">
            <w:pPr>
              <w:pStyle w:val="TableContext"/>
              <w:rPr>
                <w:lang w:val="en-CA"/>
              </w:rPr>
            </w:pPr>
            <w:r w:rsidRPr="00BC081A">
              <w:rPr>
                <w:lang w:val="en-CA"/>
              </w:rPr>
              <w:t>178.83</w:t>
            </w:r>
          </w:p>
        </w:tc>
        <w:tc>
          <w:tcPr>
            <w:tcW w:w="1300" w:type="dxa"/>
            <w:tcBorders>
              <w:top w:val="nil"/>
              <w:left w:val="nil"/>
              <w:bottom w:val="single" w:sz="4" w:space="0" w:color="auto"/>
              <w:right w:val="single" w:sz="4" w:space="0" w:color="auto"/>
            </w:tcBorders>
            <w:shd w:val="clear" w:color="auto" w:fill="auto"/>
            <w:noWrap/>
            <w:vAlign w:val="bottom"/>
            <w:hideMark/>
          </w:tcPr>
          <w:p w14:paraId="61DC5FAA" w14:textId="77777777" w:rsidR="00536F6A" w:rsidRPr="00BC081A" w:rsidRDefault="00536F6A" w:rsidP="00E24EF0">
            <w:pPr>
              <w:pStyle w:val="TableContext"/>
              <w:rPr>
                <w:lang w:val="en-CA"/>
              </w:rPr>
            </w:pPr>
            <w:r w:rsidRPr="00BC081A">
              <w:rPr>
                <w:lang w:val="en-CA"/>
              </w:rPr>
              <w:t>132.24</w:t>
            </w:r>
          </w:p>
        </w:tc>
      </w:tr>
      <w:tr w:rsidR="00536F6A" w:rsidRPr="00BC081A" w14:paraId="520F4273"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15AA6DCB" w14:textId="77777777" w:rsidR="00536F6A" w:rsidRPr="00BC081A" w:rsidRDefault="00536F6A" w:rsidP="00E24EF0">
            <w:pPr>
              <w:pStyle w:val="TableContext"/>
              <w:rPr>
                <w:lang w:val="en-CA"/>
              </w:rPr>
            </w:pPr>
            <w:r w:rsidRPr="00BC081A">
              <w:rPr>
                <w:lang w:val="en-CA"/>
              </w:rPr>
              <w:t>25</w:t>
            </w:r>
          </w:p>
        </w:tc>
        <w:tc>
          <w:tcPr>
            <w:tcW w:w="1300" w:type="dxa"/>
            <w:tcBorders>
              <w:top w:val="nil"/>
              <w:left w:val="nil"/>
              <w:bottom w:val="single" w:sz="4" w:space="0" w:color="auto"/>
              <w:right w:val="single" w:sz="4" w:space="0" w:color="auto"/>
            </w:tcBorders>
            <w:shd w:val="clear" w:color="auto" w:fill="auto"/>
            <w:noWrap/>
            <w:vAlign w:val="bottom"/>
            <w:hideMark/>
          </w:tcPr>
          <w:p w14:paraId="4642CDE0"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hideMark/>
          </w:tcPr>
          <w:p w14:paraId="0BE0EF02"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hideMark/>
          </w:tcPr>
          <w:p w14:paraId="4F3DD107" w14:textId="77777777" w:rsidR="00536F6A" w:rsidRPr="00BC081A" w:rsidRDefault="00536F6A" w:rsidP="00E24EF0">
            <w:pPr>
              <w:pStyle w:val="TableContext"/>
              <w:rPr>
                <w:lang w:val="en-CA"/>
              </w:rPr>
            </w:pPr>
            <w:r w:rsidRPr="00BC081A">
              <w:rPr>
                <w:lang w:val="en-CA"/>
              </w:rPr>
              <w:t>351.00</w:t>
            </w:r>
          </w:p>
        </w:tc>
        <w:tc>
          <w:tcPr>
            <w:tcW w:w="1300" w:type="dxa"/>
            <w:tcBorders>
              <w:top w:val="nil"/>
              <w:left w:val="nil"/>
              <w:bottom w:val="single" w:sz="4" w:space="0" w:color="auto"/>
              <w:right w:val="single" w:sz="4" w:space="0" w:color="auto"/>
            </w:tcBorders>
            <w:shd w:val="clear" w:color="auto" w:fill="auto"/>
            <w:noWrap/>
            <w:vAlign w:val="bottom"/>
            <w:hideMark/>
          </w:tcPr>
          <w:p w14:paraId="1188E751" w14:textId="77777777" w:rsidR="00536F6A" w:rsidRPr="00BC081A" w:rsidRDefault="00536F6A" w:rsidP="00E24EF0">
            <w:pPr>
              <w:pStyle w:val="TableContext"/>
              <w:rPr>
                <w:lang w:val="en-CA"/>
              </w:rPr>
            </w:pPr>
            <w:r w:rsidRPr="00BC081A">
              <w:rPr>
                <w:lang w:val="en-CA"/>
              </w:rPr>
              <w:t>277.47</w:t>
            </w:r>
          </w:p>
        </w:tc>
        <w:tc>
          <w:tcPr>
            <w:tcW w:w="1300" w:type="dxa"/>
            <w:tcBorders>
              <w:top w:val="nil"/>
              <w:left w:val="nil"/>
              <w:bottom w:val="single" w:sz="4" w:space="0" w:color="auto"/>
              <w:right w:val="single" w:sz="4" w:space="0" w:color="auto"/>
            </w:tcBorders>
            <w:shd w:val="clear" w:color="auto" w:fill="auto"/>
            <w:noWrap/>
            <w:vAlign w:val="bottom"/>
            <w:hideMark/>
          </w:tcPr>
          <w:p w14:paraId="4C1EC5DF" w14:textId="77777777" w:rsidR="00536F6A" w:rsidRPr="00BC081A" w:rsidRDefault="00536F6A" w:rsidP="00E24EF0">
            <w:pPr>
              <w:pStyle w:val="TableContext"/>
              <w:rPr>
                <w:lang w:val="en-CA"/>
              </w:rPr>
            </w:pPr>
            <w:r w:rsidRPr="00BC081A">
              <w:rPr>
                <w:lang w:val="en-CA"/>
              </w:rPr>
              <w:t>159.46</w:t>
            </w:r>
          </w:p>
        </w:tc>
        <w:tc>
          <w:tcPr>
            <w:tcW w:w="1300" w:type="dxa"/>
            <w:tcBorders>
              <w:top w:val="nil"/>
              <w:left w:val="nil"/>
              <w:bottom w:val="single" w:sz="4" w:space="0" w:color="auto"/>
              <w:right w:val="single" w:sz="4" w:space="0" w:color="auto"/>
            </w:tcBorders>
            <w:shd w:val="clear" w:color="auto" w:fill="auto"/>
            <w:noWrap/>
            <w:vAlign w:val="bottom"/>
            <w:hideMark/>
          </w:tcPr>
          <w:p w14:paraId="5399E5BC" w14:textId="77777777" w:rsidR="00536F6A" w:rsidRPr="00BC081A" w:rsidRDefault="00536F6A" w:rsidP="00E24EF0">
            <w:pPr>
              <w:pStyle w:val="TableContext"/>
              <w:rPr>
                <w:lang w:val="en-CA"/>
              </w:rPr>
            </w:pPr>
            <w:r w:rsidRPr="00BC081A">
              <w:rPr>
                <w:lang w:val="en-CA"/>
              </w:rPr>
              <w:t>91.64</w:t>
            </w:r>
          </w:p>
        </w:tc>
      </w:tr>
      <w:tr w:rsidR="00536F6A" w:rsidRPr="00BC081A" w14:paraId="271884E9"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E7517DC" w14:textId="77777777" w:rsidR="00536F6A" w:rsidRPr="00BC081A" w:rsidRDefault="00536F6A" w:rsidP="00E24EF0">
            <w:pPr>
              <w:pStyle w:val="TableContext"/>
              <w:rPr>
                <w:lang w:val="en-CA"/>
              </w:rPr>
            </w:pPr>
            <w:r w:rsidRPr="00BC081A">
              <w:rPr>
                <w:lang w:val="en-CA"/>
              </w:rPr>
              <w:t>26</w:t>
            </w:r>
          </w:p>
        </w:tc>
        <w:tc>
          <w:tcPr>
            <w:tcW w:w="1300" w:type="dxa"/>
            <w:tcBorders>
              <w:top w:val="nil"/>
              <w:left w:val="nil"/>
              <w:bottom w:val="single" w:sz="4" w:space="0" w:color="auto"/>
              <w:right w:val="single" w:sz="4" w:space="0" w:color="auto"/>
            </w:tcBorders>
            <w:shd w:val="clear" w:color="auto" w:fill="auto"/>
            <w:noWrap/>
            <w:vAlign w:val="bottom"/>
          </w:tcPr>
          <w:p w14:paraId="5D2123D8" w14:textId="77777777" w:rsidR="00536F6A" w:rsidRPr="00BC081A" w:rsidRDefault="00536F6A" w:rsidP="00E24EF0">
            <w:pPr>
              <w:pStyle w:val="TableContext"/>
              <w:rPr>
                <w:lang w:val="en-CA"/>
              </w:rPr>
            </w:pPr>
            <w:r w:rsidRPr="00BC081A">
              <w:rPr>
                <w:lang w:val="en-CA"/>
              </w:rPr>
              <w:t>0.74</w:t>
            </w:r>
          </w:p>
        </w:tc>
        <w:tc>
          <w:tcPr>
            <w:tcW w:w="1300" w:type="dxa"/>
            <w:tcBorders>
              <w:top w:val="nil"/>
              <w:left w:val="nil"/>
              <w:bottom w:val="single" w:sz="4" w:space="0" w:color="auto"/>
              <w:right w:val="single" w:sz="4" w:space="0" w:color="auto"/>
            </w:tcBorders>
            <w:shd w:val="clear" w:color="auto" w:fill="auto"/>
            <w:noWrap/>
            <w:vAlign w:val="bottom"/>
          </w:tcPr>
          <w:p w14:paraId="5B68F5E6" w14:textId="77777777" w:rsidR="00536F6A" w:rsidRPr="00BC081A" w:rsidRDefault="00536F6A" w:rsidP="00E24EF0">
            <w:pPr>
              <w:pStyle w:val="TableContext"/>
              <w:rPr>
                <w:lang w:val="en-CA"/>
              </w:rPr>
            </w:pPr>
            <w:r w:rsidRPr="00BC081A">
              <w:rPr>
                <w:lang w:val="en-CA"/>
              </w:rPr>
              <w:t>0.83</w:t>
            </w:r>
          </w:p>
        </w:tc>
        <w:tc>
          <w:tcPr>
            <w:tcW w:w="1300" w:type="dxa"/>
            <w:tcBorders>
              <w:top w:val="nil"/>
              <w:left w:val="nil"/>
              <w:bottom w:val="single" w:sz="4" w:space="0" w:color="auto"/>
              <w:right w:val="single" w:sz="4" w:space="0" w:color="auto"/>
            </w:tcBorders>
            <w:shd w:val="clear" w:color="auto" w:fill="auto"/>
            <w:noWrap/>
            <w:vAlign w:val="bottom"/>
          </w:tcPr>
          <w:p w14:paraId="64AE6FFD" w14:textId="77777777" w:rsidR="00536F6A" w:rsidRPr="00BC081A" w:rsidRDefault="00536F6A" w:rsidP="00E24EF0">
            <w:pPr>
              <w:pStyle w:val="TableContext"/>
              <w:rPr>
                <w:lang w:val="en-CA"/>
              </w:rPr>
            </w:pPr>
            <w:r w:rsidRPr="00BC081A">
              <w:rPr>
                <w:lang w:val="en-CA"/>
              </w:rPr>
              <w:t>204.00</w:t>
            </w:r>
          </w:p>
        </w:tc>
        <w:tc>
          <w:tcPr>
            <w:tcW w:w="1300" w:type="dxa"/>
            <w:tcBorders>
              <w:top w:val="nil"/>
              <w:left w:val="nil"/>
              <w:bottom w:val="single" w:sz="4" w:space="0" w:color="auto"/>
              <w:right w:val="single" w:sz="4" w:space="0" w:color="auto"/>
            </w:tcBorders>
            <w:shd w:val="clear" w:color="auto" w:fill="auto"/>
            <w:noWrap/>
            <w:vAlign w:val="bottom"/>
          </w:tcPr>
          <w:p w14:paraId="130B2B48" w14:textId="77777777" w:rsidR="00536F6A" w:rsidRPr="00BC081A" w:rsidRDefault="00536F6A" w:rsidP="00E24EF0">
            <w:pPr>
              <w:pStyle w:val="TableContext"/>
              <w:rPr>
                <w:lang w:val="en-CA"/>
              </w:rPr>
            </w:pPr>
            <w:r w:rsidRPr="00BC081A">
              <w:rPr>
                <w:lang w:val="en-CA"/>
              </w:rPr>
              <w:t>168.91</w:t>
            </w:r>
          </w:p>
        </w:tc>
        <w:tc>
          <w:tcPr>
            <w:tcW w:w="1300" w:type="dxa"/>
            <w:tcBorders>
              <w:top w:val="nil"/>
              <w:left w:val="nil"/>
              <w:bottom w:val="single" w:sz="4" w:space="0" w:color="auto"/>
              <w:right w:val="single" w:sz="4" w:space="0" w:color="auto"/>
            </w:tcBorders>
            <w:shd w:val="clear" w:color="auto" w:fill="auto"/>
            <w:noWrap/>
            <w:vAlign w:val="bottom"/>
          </w:tcPr>
          <w:p w14:paraId="2E8831FD" w14:textId="77777777" w:rsidR="00536F6A" w:rsidRPr="00BC081A" w:rsidRDefault="00536F6A" w:rsidP="00E24EF0">
            <w:pPr>
              <w:pStyle w:val="TableContext"/>
              <w:rPr>
                <w:lang w:val="en-CA"/>
              </w:rPr>
            </w:pPr>
            <w:r w:rsidRPr="00BC081A">
              <w:rPr>
                <w:lang w:val="en-CA"/>
              </w:rPr>
              <w:t>139.68</w:t>
            </w:r>
          </w:p>
        </w:tc>
        <w:tc>
          <w:tcPr>
            <w:tcW w:w="1300" w:type="dxa"/>
            <w:tcBorders>
              <w:top w:val="nil"/>
              <w:left w:val="nil"/>
              <w:bottom w:val="single" w:sz="4" w:space="0" w:color="auto"/>
              <w:right w:val="single" w:sz="4" w:space="0" w:color="auto"/>
            </w:tcBorders>
            <w:shd w:val="clear" w:color="auto" w:fill="auto"/>
            <w:noWrap/>
            <w:vAlign w:val="bottom"/>
          </w:tcPr>
          <w:p w14:paraId="39F27FAB" w14:textId="77777777" w:rsidR="00536F6A" w:rsidRPr="00BC081A" w:rsidRDefault="00536F6A" w:rsidP="00E24EF0">
            <w:pPr>
              <w:pStyle w:val="TableContext"/>
              <w:rPr>
                <w:lang w:val="en-CA"/>
              </w:rPr>
            </w:pPr>
            <w:r w:rsidRPr="00BC081A">
              <w:rPr>
                <w:lang w:val="en-CA"/>
              </w:rPr>
              <w:t>115.51</w:t>
            </w:r>
          </w:p>
        </w:tc>
      </w:tr>
      <w:tr w:rsidR="00536F6A" w:rsidRPr="00BC081A" w14:paraId="17FEE609"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72AFA48D" w14:textId="77777777" w:rsidR="00536F6A" w:rsidRPr="00BC081A" w:rsidRDefault="00536F6A" w:rsidP="00E24EF0">
            <w:pPr>
              <w:pStyle w:val="TableContext"/>
              <w:rPr>
                <w:lang w:val="en-CA"/>
              </w:rPr>
            </w:pPr>
            <w:r w:rsidRPr="00BC081A">
              <w:rPr>
                <w:lang w:val="en-CA"/>
              </w:rPr>
              <w:t>29</w:t>
            </w:r>
          </w:p>
        </w:tc>
        <w:tc>
          <w:tcPr>
            <w:tcW w:w="1300" w:type="dxa"/>
            <w:tcBorders>
              <w:top w:val="nil"/>
              <w:left w:val="nil"/>
              <w:bottom w:val="single" w:sz="4" w:space="0" w:color="auto"/>
              <w:right w:val="single" w:sz="4" w:space="0" w:color="auto"/>
            </w:tcBorders>
            <w:shd w:val="clear" w:color="auto" w:fill="auto"/>
            <w:noWrap/>
            <w:vAlign w:val="bottom"/>
            <w:hideMark/>
          </w:tcPr>
          <w:p w14:paraId="5748A11E"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hideMark/>
          </w:tcPr>
          <w:p w14:paraId="1859EB52" w14:textId="77777777" w:rsidR="00536F6A" w:rsidRPr="00BC081A" w:rsidRDefault="00536F6A" w:rsidP="00E24EF0">
            <w:pPr>
              <w:pStyle w:val="TableContext"/>
              <w:rPr>
                <w:lang w:val="en-CA"/>
              </w:rPr>
            </w:pPr>
            <w:r w:rsidRPr="00BC081A">
              <w:rPr>
                <w:lang w:val="en-CA"/>
              </w:rPr>
              <w:t>0.56</w:t>
            </w:r>
          </w:p>
        </w:tc>
        <w:tc>
          <w:tcPr>
            <w:tcW w:w="1300" w:type="dxa"/>
            <w:tcBorders>
              <w:top w:val="nil"/>
              <w:left w:val="nil"/>
              <w:bottom w:val="single" w:sz="4" w:space="0" w:color="auto"/>
              <w:right w:val="single" w:sz="4" w:space="0" w:color="auto"/>
            </w:tcBorders>
            <w:shd w:val="clear" w:color="auto" w:fill="auto"/>
            <w:noWrap/>
            <w:vAlign w:val="bottom"/>
            <w:hideMark/>
          </w:tcPr>
          <w:p w14:paraId="4CA56016" w14:textId="77777777" w:rsidR="00536F6A" w:rsidRPr="00BC081A" w:rsidRDefault="00536F6A" w:rsidP="00E24EF0">
            <w:pPr>
              <w:pStyle w:val="TableContext"/>
              <w:rPr>
                <w:lang w:val="en-CA"/>
              </w:rPr>
            </w:pPr>
            <w:r w:rsidRPr="00BC081A">
              <w:rPr>
                <w:lang w:val="en-CA"/>
              </w:rPr>
              <w:t>625.00</w:t>
            </w:r>
          </w:p>
        </w:tc>
        <w:tc>
          <w:tcPr>
            <w:tcW w:w="1300" w:type="dxa"/>
            <w:tcBorders>
              <w:top w:val="nil"/>
              <w:left w:val="nil"/>
              <w:bottom w:val="single" w:sz="4" w:space="0" w:color="auto"/>
              <w:right w:val="single" w:sz="4" w:space="0" w:color="auto"/>
            </w:tcBorders>
            <w:shd w:val="clear" w:color="auto" w:fill="auto"/>
            <w:noWrap/>
            <w:vAlign w:val="bottom"/>
            <w:hideMark/>
          </w:tcPr>
          <w:p w14:paraId="7F6407C7" w14:textId="77777777" w:rsidR="00536F6A" w:rsidRPr="00BC081A" w:rsidRDefault="00536F6A" w:rsidP="00E24EF0">
            <w:pPr>
              <w:pStyle w:val="TableContext"/>
              <w:rPr>
                <w:lang w:val="en-CA"/>
              </w:rPr>
            </w:pPr>
            <w:r w:rsidRPr="00BC081A">
              <w:rPr>
                <w:lang w:val="en-CA"/>
              </w:rPr>
              <w:t>483.44</w:t>
            </w:r>
          </w:p>
        </w:tc>
        <w:tc>
          <w:tcPr>
            <w:tcW w:w="1300" w:type="dxa"/>
            <w:tcBorders>
              <w:top w:val="nil"/>
              <w:left w:val="nil"/>
              <w:bottom w:val="single" w:sz="4" w:space="0" w:color="auto"/>
              <w:right w:val="single" w:sz="4" w:space="0" w:color="auto"/>
            </w:tcBorders>
            <w:shd w:val="clear" w:color="auto" w:fill="auto"/>
            <w:noWrap/>
            <w:vAlign w:val="bottom"/>
            <w:hideMark/>
          </w:tcPr>
          <w:p w14:paraId="3B8B4AB0" w14:textId="77777777" w:rsidR="00536F6A" w:rsidRPr="00BC081A" w:rsidRDefault="00536F6A" w:rsidP="00E24EF0">
            <w:pPr>
              <w:pStyle w:val="TableContext"/>
              <w:rPr>
                <w:lang w:val="en-CA"/>
              </w:rPr>
            </w:pPr>
            <w:r w:rsidRPr="00BC081A">
              <w:rPr>
                <w:lang w:val="en-CA"/>
              </w:rPr>
              <w:t>270.87</w:t>
            </w:r>
          </w:p>
        </w:tc>
        <w:tc>
          <w:tcPr>
            <w:tcW w:w="1300" w:type="dxa"/>
            <w:tcBorders>
              <w:top w:val="nil"/>
              <w:left w:val="nil"/>
              <w:bottom w:val="single" w:sz="4" w:space="0" w:color="auto"/>
              <w:right w:val="single" w:sz="4" w:space="0" w:color="auto"/>
            </w:tcBorders>
            <w:shd w:val="clear" w:color="auto" w:fill="auto"/>
            <w:noWrap/>
            <w:vAlign w:val="bottom"/>
            <w:hideMark/>
          </w:tcPr>
          <w:p w14:paraId="69BD2344" w14:textId="77777777" w:rsidR="00536F6A" w:rsidRPr="00BC081A" w:rsidRDefault="00536F6A" w:rsidP="00E24EF0">
            <w:pPr>
              <w:pStyle w:val="TableContext"/>
              <w:rPr>
                <w:lang w:val="en-CA"/>
              </w:rPr>
            </w:pPr>
            <w:r w:rsidRPr="00BC081A">
              <w:rPr>
                <w:lang w:val="en-CA"/>
              </w:rPr>
              <w:t>151.76</w:t>
            </w:r>
          </w:p>
        </w:tc>
      </w:tr>
      <w:tr w:rsidR="00536F6A" w:rsidRPr="00BC081A" w14:paraId="276692C4" w14:textId="77777777" w:rsidTr="00E24EF0">
        <w:trPr>
          <w:trHeight w:val="300"/>
          <w:jc w:val="center"/>
        </w:trPr>
        <w:tc>
          <w:tcPr>
            <w:tcW w:w="9100" w:type="dxa"/>
            <w:gridSpan w:val="7"/>
            <w:tcBorders>
              <w:top w:val="nil"/>
              <w:left w:val="single" w:sz="4" w:space="0" w:color="auto"/>
              <w:bottom w:val="single" w:sz="4" w:space="0" w:color="auto"/>
              <w:right w:val="single" w:sz="4" w:space="0" w:color="auto"/>
            </w:tcBorders>
            <w:shd w:val="clear" w:color="auto" w:fill="EEECE1" w:themeFill="background2"/>
            <w:noWrap/>
            <w:vAlign w:val="bottom"/>
            <w:hideMark/>
          </w:tcPr>
          <w:p w14:paraId="28CBA430" w14:textId="77777777" w:rsidR="00536F6A" w:rsidRPr="00BC081A" w:rsidRDefault="00536F6A" w:rsidP="00E24EF0">
            <w:pPr>
              <w:pStyle w:val="TableContext"/>
              <w:rPr>
                <w:b/>
                <w:lang w:val="en-CA"/>
              </w:rPr>
            </w:pPr>
            <w:r w:rsidRPr="00BC081A">
              <w:rPr>
                <w:b/>
                <w:lang w:val="en-CA"/>
              </w:rPr>
              <w:t>Studies of Flow type 4</w:t>
            </w:r>
          </w:p>
        </w:tc>
      </w:tr>
      <w:tr w:rsidR="00536F6A" w:rsidRPr="00BC081A" w14:paraId="4E5459E1"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25192E10" w14:textId="77777777" w:rsidR="00536F6A" w:rsidRPr="00BC081A" w:rsidRDefault="00536F6A" w:rsidP="00E24EF0">
            <w:pPr>
              <w:pStyle w:val="TableContext"/>
              <w:rPr>
                <w:lang w:val="en-CA"/>
              </w:rPr>
            </w:pPr>
            <w:r w:rsidRPr="00BC081A">
              <w:rPr>
                <w:lang w:val="en-CA"/>
              </w:rPr>
              <w:t>3</w:t>
            </w:r>
          </w:p>
        </w:tc>
        <w:tc>
          <w:tcPr>
            <w:tcW w:w="1300" w:type="dxa"/>
            <w:tcBorders>
              <w:top w:val="nil"/>
              <w:left w:val="nil"/>
              <w:bottom w:val="single" w:sz="4" w:space="0" w:color="auto"/>
              <w:right w:val="single" w:sz="4" w:space="0" w:color="auto"/>
            </w:tcBorders>
            <w:shd w:val="clear" w:color="auto" w:fill="auto"/>
            <w:noWrap/>
            <w:vAlign w:val="bottom"/>
            <w:hideMark/>
          </w:tcPr>
          <w:p w14:paraId="5208F2E1" w14:textId="77777777" w:rsidR="00536F6A" w:rsidRPr="00BC081A" w:rsidRDefault="00536F6A" w:rsidP="00E24EF0">
            <w:pPr>
              <w:pStyle w:val="TableContext"/>
              <w:rPr>
                <w:lang w:val="en-CA"/>
              </w:rPr>
            </w:pPr>
            <w:r w:rsidRPr="00BC081A">
              <w:rPr>
                <w:lang w:val="en-CA"/>
              </w:rPr>
              <w:t>0.64</w:t>
            </w:r>
          </w:p>
        </w:tc>
        <w:tc>
          <w:tcPr>
            <w:tcW w:w="1300" w:type="dxa"/>
            <w:tcBorders>
              <w:top w:val="nil"/>
              <w:left w:val="nil"/>
              <w:bottom w:val="single" w:sz="4" w:space="0" w:color="auto"/>
              <w:right w:val="single" w:sz="4" w:space="0" w:color="auto"/>
            </w:tcBorders>
            <w:shd w:val="clear" w:color="auto" w:fill="auto"/>
            <w:noWrap/>
            <w:vAlign w:val="bottom"/>
            <w:hideMark/>
          </w:tcPr>
          <w:p w14:paraId="3C5A7E20" w14:textId="77777777" w:rsidR="00536F6A" w:rsidRPr="00BC081A" w:rsidRDefault="00536F6A" w:rsidP="00E24EF0">
            <w:pPr>
              <w:pStyle w:val="TableContext"/>
              <w:rPr>
                <w:lang w:val="en-CA"/>
              </w:rPr>
            </w:pPr>
            <w:r w:rsidRPr="00BC081A">
              <w:rPr>
                <w:lang w:val="en-CA"/>
              </w:rPr>
              <w:t>0.66</w:t>
            </w:r>
          </w:p>
        </w:tc>
        <w:tc>
          <w:tcPr>
            <w:tcW w:w="1300" w:type="dxa"/>
            <w:tcBorders>
              <w:top w:val="nil"/>
              <w:left w:val="nil"/>
              <w:bottom w:val="single" w:sz="4" w:space="0" w:color="auto"/>
              <w:right w:val="single" w:sz="4" w:space="0" w:color="auto"/>
            </w:tcBorders>
            <w:shd w:val="clear" w:color="auto" w:fill="auto"/>
            <w:noWrap/>
            <w:vAlign w:val="bottom"/>
            <w:hideMark/>
          </w:tcPr>
          <w:p w14:paraId="76A56A0A" w14:textId="77777777" w:rsidR="00536F6A" w:rsidRPr="00BC081A" w:rsidRDefault="00536F6A" w:rsidP="00E24EF0">
            <w:pPr>
              <w:pStyle w:val="TableContext"/>
              <w:rPr>
                <w:lang w:val="en-CA"/>
              </w:rPr>
            </w:pPr>
            <w:r w:rsidRPr="00BC081A">
              <w:rPr>
                <w:lang w:val="en-CA"/>
              </w:rPr>
              <w:t>250.00</w:t>
            </w:r>
          </w:p>
        </w:tc>
        <w:tc>
          <w:tcPr>
            <w:tcW w:w="1300" w:type="dxa"/>
            <w:tcBorders>
              <w:top w:val="nil"/>
              <w:left w:val="nil"/>
              <w:bottom w:val="single" w:sz="4" w:space="0" w:color="auto"/>
              <w:right w:val="single" w:sz="4" w:space="0" w:color="auto"/>
            </w:tcBorders>
            <w:shd w:val="clear" w:color="auto" w:fill="auto"/>
            <w:noWrap/>
            <w:vAlign w:val="bottom"/>
            <w:hideMark/>
          </w:tcPr>
          <w:p w14:paraId="42E1E85C" w14:textId="77777777" w:rsidR="00536F6A" w:rsidRPr="00BC081A" w:rsidRDefault="00536F6A" w:rsidP="00E24EF0">
            <w:pPr>
              <w:pStyle w:val="TableContext"/>
              <w:rPr>
                <w:lang w:val="en-CA"/>
              </w:rPr>
            </w:pPr>
            <w:r w:rsidRPr="00BC081A">
              <w:rPr>
                <w:lang w:val="en-CA"/>
              </w:rPr>
              <w:t>195.65</w:t>
            </w:r>
          </w:p>
        </w:tc>
        <w:tc>
          <w:tcPr>
            <w:tcW w:w="1300" w:type="dxa"/>
            <w:tcBorders>
              <w:top w:val="nil"/>
              <w:left w:val="nil"/>
              <w:bottom w:val="single" w:sz="4" w:space="0" w:color="auto"/>
              <w:right w:val="single" w:sz="4" w:space="0" w:color="auto"/>
            </w:tcBorders>
            <w:shd w:val="clear" w:color="auto" w:fill="auto"/>
            <w:noWrap/>
            <w:vAlign w:val="bottom"/>
            <w:hideMark/>
          </w:tcPr>
          <w:p w14:paraId="6F9BEC75" w14:textId="77777777" w:rsidR="00536F6A" w:rsidRPr="00BC081A" w:rsidRDefault="00536F6A" w:rsidP="00E24EF0">
            <w:pPr>
              <w:pStyle w:val="TableContext"/>
              <w:rPr>
                <w:lang w:val="en-CA"/>
              </w:rPr>
            </w:pPr>
            <w:r w:rsidRPr="00BC081A">
              <w:rPr>
                <w:lang w:val="en-CA"/>
              </w:rPr>
              <w:t>129.22</w:t>
            </w:r>
          </w:p>
        </w:tc>
        <w:tc>
          <w:tcPr>
            <w:tcW w:w="1300" w:type="dxa"/>
            <w:tcBorders>
              <w:top w:val="nil"/>
              <w:left w:val="nil"/>
              <w:bottom w:val="single" w:sz="4" w:space="0" w:color="auto"/>
              <w:right w:val="single" w:sz="4" w:space="0" w:color="auto"/>
            </w:tcBorders>
            <w:shd w:val="clear" w:color="auto" w:fill="auto"/>
            <w:noWrap/>
            <w:vAlign w:val="bottom"/>
            <w:hideMark/>
          </w:tcPr>
          <w:p w14:paraId="4BCB38F1" w14:textId="77777777" w:rsidR="00536F6A" w:rsidRPr="00BC081A" w:rsidRDefault="00536F6A" w:rsidP="00E24EF0">
            <w:pPr>
              <w:pStyle w:val="TableContext"/>
              <w:rPr>
                <w:lang w:val="en-CA"/>
              </w:rPr>
            </w:pPr>
            <w:r w:rsidRPr="00BC081A">
              <w:rPr>
                <w:lang w:val="en-CA"/>
              </w:rPr>
              <w:t>85.35</w:t>
            </w:r>
          </w:p>
        </w:tc>
      </w:tr>
      <w:tr w:rsidR="00536F6A" w:rsidRPr="00BC081A" w14:paraId="5C9EBE02"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1508EEE6" w14:textId="77777777" w:rsidR="00536F6A" w:rsidRPr="00BC081A" w:rsidRDefault="00536F6A" w:rsidP="00E24EF0">
            <w:pPr>
              <w:pStyle w:val="TableContext"/>
              <w:rPr>
                <w:lang w:val="en-CA"/>
              </w:rPr>
            </w:pPr>
            <w:r w:rsidRPr="00BC081A">
              <w:rPr>
                <w:lang w:val="en-CA"/>
              </w:rPr>
              <w:t>4</w:t>
            </w:r>
          </w:p>
        </w:tc>
        <w:tc>
          <w:tcPr>
            <w:tcW w:w="1300" w:type="dxa"/>
            <w:tcBorders>
              <w:top w:val="nil"/>
              <w:left w:val="nil"/>
              <w:bottom w:val="single" w:sz="4" w:space="0" w:color="auto"/>
              <w:right w:val="single" w:sz="4" w:space="0" w:color="auto"/>
            </w:tcBorders>
            <w:shd w:val="clear" w:color="auto" w:fill="auto"/>
            <w:noWrap/>
            <w:vAlign w:val="bottom"/>
            <w:hideMark/>
          </w:tcPr>
          <w:p w14:paraId="12C19F16" w14:textId="77777777" w:rsidR="00536F6A" w:rsidRPr="00BC081A" w:rsidRDefault="00536F6A" w:rsidP="00E24EF0">
            <w:pPr>
              <w:pStyle w:val="TableContext"/>
              <w:rPr>
                <w:lang w:val="en-CA"/>
              </w:rPr>
            </w:pPr>
            <w:r w:rsidRPr="00BC081A">
              <w:rPr>
                <w:lang w:val="en-CA"/>
              </w:rPr>
              <w:t>0.49</w:t>
            </w:r>
          </w:p>
        </w:tc>
        <w:tc>
          <w:tcPr>
            <w:tcW w:w="1300" w:type="dxa"/>
            <w:tcBorders>
              <w:top w:val="nil"/>
              <w:left w:val="nil"/>
              <w:bottom w:val="single" w:sz="4" w:space="0" w:color="auto"/>
              <w:right w:val="single" w:sz="4" w:space="0" w:color="auto"/>
            </w:tcBorders>
            <w:shd w:val="clear" w:color="auto" w:fill="auto"/>
            <w:noWrap/>
            <w:vAlign w:val="bottom"/>
            <w:hideMark/>
          </w:tcPr>
          <w:p w14:paraId="2900C4F1" w14:textId="77777777" w:rsidR="00536F6A" w:rsidRPr="00BC081A" w:rsidRDefault="00536F6A" w:rsidP="00E24EF0">
            <w:pPr>
              <w:pStyle w:val="TableContext"/>
              <w:rPr>
                <w:lang w:val="en-CA"/>
              </w:rPr>
            </w:pPr>
            <w:r w:rsidRPr="00BC081A">
              <w:rPr>
                <w:lang w:val="en-CA"/>
              </w:rPr>
              <w:t>0.46</w:t>
            </w:r>
          </w:p>
        </w:tc>
        <w:tc>
          <w:tcPr>
            <w:tcW w:w="1300" w:type="dxa"/>
            <w:tcBorders>
              <w:top w:val="nil"/>
              <w:left w:val="nil"/>
              <w:bottom w:val="single" w:sz="4" w:space="0" w:color="auto"/>
              <w:right w:val="single" w:sz="4" w:space="0" w:color="auto"/>
            </w:tcBorders>
            <w:shd w:val="clear" w:color="auto" w:fill="auto"/>
            <w:noWrap/>
            <w:vAlign w:val="bottom"/>
            <w:hideMark/>
          </w:tcPr>
          <w:p w14:paraId="1D902300" w14:textId="77777777" w:rsidR="00536F6A" w:rsidRPr="00BC081A" w:rsidRDefault="00536F6A" w:rsidP="00E24EF0">
            <w:pPr>
              <w:pStyle w:val="TableContext"/>
              <w:rPr>
                <w:lang w:val="en-CA"/>
              </w:rPr>
            </w:pPr>
            <w:r w:rsidRPr="00BC081A">
              <w:rPr>
                <w:lang w:val="en-CA"/>
              </w:rPr>
              <w:t>99.00</w:t>
            </w:r>
          </w:p>
        </w:tc>
        <w:tc>
          <w:tcPr>
            <w:tcW w:w="1300" w:type="dxa"/>
            <w:tcBorders>
              <w:top w:val="nil"/>
              <w:left w:val="nil"/>
              <w:bottom w:val="single" w:sz="4" w:space="0" w:color="auto"/>
              <w:right w:val="single" w:sz="4" w:space="0" w:color="auto"/>
            </w:tcBorders>
            <w:shd w:val="clear" w:color="auto" w:fill="auto"/>
            <w:noWrap/>
            <w:vAlign w:val="bottom"/>
            <w:hideMark/>
          </w:tcPr>
          <w:p w14:paraId="3D9B7B7C" w14:textId="77777777" w:rsidR="00536F6A" w:rsidRPr="00BC081A" w:rsidRDefault="00536F6A" w:rsidP="00E24EF0">
            <w:pPr>
              <w:pStyle w:val="TableContext"/>
              <w:rPr>
                <w:lang w:val="en-CA"/>
              </w:rPr>
            </w:pPr>
            <w:r w:rsidRPr="00BC081A">
              <w:rPr>
                <w:lang w:val="en-CA"/>
              </w:rPr>
              <w:t>71.49</w:t>
            </w:r>
          </w:p>
        </w:tc>
        <w:tc>
          <w:tcPr>
            <w:tcW w:w="1300" w:type="dxa"/>
            <w:tcBorders>
              <w:top w:val="nil"/>
              <w:left w:val="nil"/>
              <w:bottom w:val="single" w:sz="4" w:space="0" w:color="auto"/>
              <w:right w:val="single" w:sz="4" w:space="0" w:color="auto"/>
            </w:tcBorders>
            <w:shd w:val="clear" w:color="auto" w:fill="auto"/>
            <w:noWrap/>
            <w:vAlign w:val="bottom"/>
            <w:hideMark/>
          </w:tcPr>
          <w:p w14:paraId="10DD1EA3" w14:textId="77777777" w:rsidR="00536F6A" w:rsidRPr="00BC081A" w:rsidRDefault="00536F6A" w:rsidP="00E24EF0">
            <w:pPr>
              <w:pStyle w:val="TableContext"/>
              <w:rPr>
                <w:lang w:val="en-CA"/>
              </w:rPr>
            </w:pPr>
            <w:r w:rsidRPr="00BC081A">
              <w:rPr>
                <w:lang w:val="en-CA"/>
              </w:rPr>
              <w:t>32.64</w:t>
            </w:r>
          </w:p>
        </w:tc>
        <w:tc>
          <w:tcPr>
            <w:tcW w:w="1300" w:type="dxa"/>
            <w:tcBorders>
              <w:top w:val="nil"/>
              <w:left w:val="nil"/>
              <w:bottom w:val="single" w:sz="4" w:space="0" w:color="auto"/>
              <w:right w:val="single" w:sz="4" w:space="0" w:color="auto"/>
            </w:tcBorders>
            <w:shd w:val="clear" w:color="auto" w:fill="auto"/>
            <w:noWrap/>
            <w:vAlign w:val="bottom"/>
            <w:hideMark/>
          </w:tcPr>
          <w:p w14:paraId="0DED1DD9" w14:textId="77777777" w:rsidR="00536F6A" w:rsidRPr="00BC081A" w:rsidRDefault="00536F6A" w:rsidP="00E24EF0">
            <w:pPr>
              <w:pStyle w:val="TableContext"/>
              <w:rPr>
                <w:lang w:val="en-CA"/>
              </w:rPr>
            </w:pPr>
            <w:r w:rsidRPr="00BC081A">
              <w:rPr>
                <w:lang w:val="en-CA"/>
              </w:rPr>
              <w:t>14.91</w:t>
            </w:r>
          </w:p>
        </w:tc>
      </w:tr>
      <w:tr w:rsidR="00536F6A" w:rsidRPr="00BC081A" w14:paraId="367C8001"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50EC4B10" w14:textId="77777777" w:rsidR="00536F6A" w:rsidRPr="00BC081A" w:rsidRDefault="00536F6A" w:rsidP="00E24EF0">
            <w:pPr>
              <w:pStyle w:val="TableContext"/>
              <w:rPr>
                <w:lang w:val="en-CA"/>
              </w:rPr>
            </w:pPr>
            <w:r w:rsidRPr="00BC081A">
              <w:rPr>
                <w:lang w:val="en-CA"/>
              </w:rPr>
              <w:t>5</w:t>
            </w:r>
          </w:p>
        </w:tc>
        <w:tc>
          <w:tcPr>
            <w:tcW w:w="1300" w:type="dxa"/>
            <w:tcBorders>
              <w:top w:val="nil"/>
              <w:left w:val="nil"/>
              <w:bottom w:val="single" w:sz="4" w:space="0" w:color="auto"/>
              <w:right w:val="single" w:sz="4" w:space="0" w:color="auto"/>
            </w:tcBorders>
            <w:shd w:val="clear" w:color="auto" w:fill="auto"/>
            <w:noWrap/>
            <w:vAlign w:val="bottom"/>
            <w:hideMark/>
          </w:tcPr>
          <w:p w14:paraId="140873B7" w14:textId="77777777" w:rsidR="00536F6A" w:rsidRPr="00BC081A" w:rsidRDefault="00536F6A" w:rsidP="00E24EF0">
            <w:pPr>
              <w:pStyle w:val="TableContext"/>
              <w:rPr>
                <w:lang w:val="en-CA"/>
              </w:rPr>
            </w:pPr>
            <w:r w:rsidRPr="00BC081A">
              <w:rPr>
                <w:lang w:val="en-CA"/>
              </w:rPr>
              <w:t>0.53</w:t>
            </w:r>
          </w:p>
        </w:tc>
        <w:tc>
          <w:tcPr>
            <w:tcW w:w="1300" w:type="dxa"/>
            <w:tcBorders>
              <w:top w:val="nil"/>
              <w:left w:val="nil"/>
              <w:bottom w:val="single" w:sz="4" w:space="0" w:color="auto"/>
              <w:right w:val="single" w:sz="4" w:space="0" w:color="auto"/>
            </w:tcBorders>
            <w:shd w:val="clear" w:color="auto" w:fill="auto"/>
            <w:noWrap/>
            <w:vAlign w:val="bottom"/>
            <w:hideMark/>
          </w:tcPr>
          <w:p w14:paraId="234BF139" w14:textId="77777777" w:rsidR="00536F6A" w:rsidRPr="00BC081A" w:rsidRDefault="00536F6A" w:rsidP="00E24EF0">
            <w:pPr>
              <w:pStyle w:val="TableContext"/>
              <w:rPr>
                <w:lang w:val="en-CA"/>
              </w:rPr>
            </w:pPr>
            <w:r w:rsidRPr="00BC081A">
              <w:rPr>
                <w:lang w:val="en-CA"/>
              </w:rPr>
              <w:t>0.51</w:t>
            </w:r>
          </w:p>
        </w:tc>
        <w:tc>
          <w:tcPr>
            <w:tcW w:w="1300" w:type="dxa"/>
            <w:tcBorders>
              <w:top w:val="nil"/>
              <w:left w:val="nil"/>
              <w:bottom w:val="single" w:sz="4" w:space="0" w:color="auto"/>
              <w:right w:val="single" w:sz="4" w:space="0" w:color="auto"/>
            </w:tcBorders>
            <w:shd w:val="clear" w:color="auto" w:fill="auto"/>
            <w:noWrap/>
            <w:vAlign w:val="bottom"/>
            <w:hideMark/>
          </w:tcPr>
          <w:p w14:paraId="3371E4F6" w14:textId="77777777" w:rsidR="00536F6A" w:rsidRPr="00BC081A" w:rsidRDefault="00536F6A" w:rsidP="00E24EF0">
            <w:pPr>
              <w:pStyle w:val="TableContext"/>
              <w:rPr>
                <w:lang w:val="en-CA"/>
              </w:rPr>
            </w:pPr>
            <w:r w:rsidRPr="00BC081A">
              <w:rPr>
                <w:lang w:val="en-CA"/>
              </w:rPr>
              <w:t>205.00</w:t>
            </w:r>
          </w:p>
        </w:tc>
        <w:tc>
          <w:tcPr>
            <w:tcW w:w="1300" w:type="dxa"/>
            <w:tcBorders>
              <w:top w:val="nil"/>
              <w:left w:val="nil"/>
              <w:bottom w:val="single" w:sz="4" w:space="0" w:color="auto"/>
              <w:right w:val="single" w:sz="4" w:space="0" w:color="auto"/>
            </w:tcBorders>
            <w:shd w:val="clear" w:color="auto" w:fill="auto"/>
            <w:noWrap/>
            <w:vAlign w:val="bottom"/>
            <w:hideMark/>
          </w:tcPr>
          <w:p w14:paraId="33696F42" w14:textId="77777777" w:rsidR="00536F6A" w:rsidRPr="00BC081A" w:rsidRDefault="00536F6A" w:rsidP="00E24EF0">
            <w:pPr>
              <w:pStyle w:val="TableContext"/>
              <w:rPr>
                <w:lang w:val="en-CA"/>
              </w:rPr>
            </w:pPr>
            <w:r w:rsidRPr="00BC081A">
              <w:rPr>
                <w:lang w:val="en-CA"/>
              </w:rPr>
              <w:t>156.83</w:t>
            </w:r>
          </w:p>
        </w:tc>
        <w:tc>
          <w:tcPr>
            <w:tcW w:w="1300" w:type="dxa"/>
            <w:tcBorders>
              <w:top w:val="nil"/>
              <w:left w:val="nil"/>
              <w:bottom w:val="single" w:sz="4" w:space="0" w:color="auto"/>
              <w:right w:val="single" w:sz="4" w:space="0" w:color="auto"/>
            </w:tcBorders>
            <w:shd w:val="clear" w:color="auto" w:fill="auto"/>
            <w:noWrap/>
            <w:vAlign w:val="bottom"/>
            <w:hideMark/>
          </w:tcPr>
          <w:p w14:paraId="6EDE1229" w14:textId="77777777" w:rsidR="00536F6A" w:rsidRPr="00BC081A" w:rsidRDefault="00536F6A" w:rsidP="00E24EF0">
            <w:pPr>
              <w:pStyle w:val="TableContext"/>
              <w:rPr>
                <w:lang w:val="en-CA"/>
              </w:rPr>
            </w:pPr>
            <w:r w:rsidRPr="00BC081A">
              <w:rPr>
                <w:lang w:val="en-CA"/>
              </w:rPr>
              <w:t>79.55</w:t>
            </w:r>
          </w:p>
        </w:tc>
        <w:tc>
          <w:tcPr>
            <w:tcW w:w="1300" w:type="dxa"/>
            <w:tcBorders>
              <w:top w:val="nil"/>
              <w:left w:val="nil"/>
              <w:bottom w:val="single" w:sz="4" w:space="0" w:color="auto"/>
              <w:right w:val="single" w:sz="4" w:space="0" w:color="auto"/>
            </w:tcBorders>
            <w:shd w:val="clear" w:color="auto" w:fill="auto"/>
            <w:noWrap/>
            <w:vAlign w:val="bottom"/>
            <w:hideMark/>
          </w:tcPr>
          <w:p w14:paraId="586BB145" w14:textId="77777777" w:rsidR="00536F6A" w:rsidRPr="00BC081A" w:rsidRDefault="00536F6A" w:rsidP="00E24EF0">
            <w:pPr>
              <w:pStyle w:val="TableContext"/>
              <w:rPr>
                <w:lang w:val="en-CA"/>
              </w:rPr>
            </w:pPr>
            <w:r w:rsidRPr="00BC081A">
              <w:rPr>
                <w:lang w:val="en-CA"/>
              </w:rPr>
              <w:t>40.35</w:t>
            </w:r>
          </w:p>
        </w:tc>
      </w:tr>
      <w:tr w:rsidR="00536F6A" w:rsidRPr="00BC081A" w14:paraId="4462D5AB"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61477B55" w14:textId="77777777" w:rsidR="00536F6A" w:rsidRPr="00BC081A" w:rsidRDefault="00536F6A" w:rsidP="00E24EF0">
            <w:pPr>
              <w:pStyle w:val="TableContext"/>
              <w:rPr>
                <w:lang w:val="en-CA"/>
              </w:rPr>
            </w:pPr>
            <w:r w:rsidRPr="00BC081A">
              <w:rPr>
                <w:lang w:val="en-CA"/>
              </w:rPr>
              <w:lastRenderedPageBreak/>
              <w:t>6</w:t>
            </w:r>
          </w:p>
        </w:tc>
        <w:tc>
          <w:tcPr>
            <w:tcW w:w="1300" w:type="dxa"/>
            <w:tcBorders>
              <w:top w:val="nil"/>
              <w:left w:val="nil"/>
              <w:bottom w:val="single" w:sz="4" w:space="0" w:color="auto"/>
              <w:right w:val="single" w:sz="4" w:space="0" w:color="auto"/>
            </w:tcBorders>
            <w:shd w:val="clear" w:color="auto" w:fill="auto"/>
            <w:noWrap/>
            <w:vAlign w:val="bottom"/>
          </w:tcPr>
          <w:p w14:paraId="0E5344F9" w14:textId="77777777" w:rsidR="00536F6A" w:rsidRPr="00BC081A" w:rsidRDefault="00536F6A" w:rsidP="00E24EF0">
            <w:pPr>
              <w:pStyle w:val="TableContext"/>
              <w:rPr>
                <w:lang w:val="en-CA"/>
              </w:rPr>
            </w:pPr>
            <w:r w:rsidRPr="00BC081A">
              <w:rPr>
                <w:lang w:val="en-CA"/>
              </w:rPr>
              <w:t>0.21</w:t>
            </w:r>
          </w:p>
        </w:tc>
        <w:tc>
          <w:tcPr>
            <w:tcW w:w="1300" w:type="dxa"/>
            <w:tcBorders>
              <w:top w:val="nil"/>
              <w:left w:val="nil"/>
              <w:bottom w:val="single" w:sz="4" w:space="0" w:color="auto"/>
              <w:right w:val="single" w:sz="4" w:space="0" w:color="auto"/>
            </w:tcBorders>
            <w:shd w:val="clear" w:color="auto" w:fill="auto"/>
            <w:noWrap/>
            <w:vAlign w:val="bottom"/>
          </w:tcPr>
          <w:p w14:paraId="2B89B6CF" w14:textId="77777777" w:rsidR="00536F6A" w:rsidRPr="00BC081A" w:rsidRDefault="00536F6A" w:rsidP="00E24EF0">
            <w:pPr>
              <w:pStyle w:val="TableContext"/>
              <w:rPr>
                <w:lang w:val="en-CA"/>
              </w:rPr>
            </w:pPr>
            <w:r w:rsidRPr="00BC081A">
              <w:rPr>
                <w:lang w:val="en-CA"/>
              </w:rPr>
              <w:t>0.20</w:t>
            </w:r>
          </w:p>
        </w:tc>
        <w:tc>
          <w:tcPr>
            <w:tcW w:w="1300" w:type="dxa"/>
            <w:tcBorders>
              <w:top w:val="nil"/>
              <w:left w:val="nil"/>
              <w:bottom w:val="single" w:sz="4" w:space="0" w:color="auto"/>
              <w:right w:val="single" w:sz="4" w:space="0" w:color="auto"/>
            </w:tcBorders>
            <w:shd w:val="clear" w:color="auto" w:fill="auto"/>
            <w:noWrap/>
            <w:vAlign w:val="bottom"/>
          </w:tcPr>
          <w:p w14:paraId="5D36FF6F" w14:textId="77777777" w:rsidR="00536F6A" w:rsidRPr="00BC081A" w:rsidRDefault="00536F6A" w:rsidP="00E24EF0">
            <w:pPr>
              <w:pStyle w:val="TableContext"/>
              <w:rPr>
                <w:lang w:val="en-CA"/>
              </w:rPr>
            </w:pPr>
            <w:r w:rsidRPr="00BC081A">
              <w:rPr>
                <w:lang w:val="en-CA"/>
              </w:rPr>
              <w:t>277.00</w:t>
            </w:r>
          </w:p>
        </w:tc>
        <w:tc>
          <w:tcPr>
            <w:tcW w:w="1300" w:type="dxa"/>
            <w:tcBorders>
              <w:top w:val="nil"/>
              <w:left w:val="nil"/>
              <w:bottom w:val="single" w:sz="4" w:space="0" w:color="auto"/>
              <w:right w:val="single" w:sz="4" w:space="0" w:color="auto"/>
            </w:tcBorders>
            <w:shd w:val="clear" w:color="auto" w:fill="auto"/>
            <w:noWrap/>
            <w:vAlign w:val="bottom"/>
          </w:tcPr>
          <w:p w14:paraId="21F2362B" w14:textId="77777777" w:rsidR="00536F6A" w:rsidRPr="00BC081A" w:rsidRDefault="00536F6A" w:rsidP="00E24EF0">
            <w:pPr>
              <w:pStyle w:val="TableContext"/>
              <w:rPr>
                <w:lang w:val="en-CA"/>
              </w:rPr>
            </w:pPr>
            <w:r w:rsidRPr="00BC081A">
              <w:rPr>
                <w:lang w:val="en-CA"/>
              </w:rPr>
              <w:t>221.82</w:t>
            </w:r>
          </w:p>
        </w:tc>
        <w:tc>
          <w:tcPr>
            <w:tcW w:w="1300" w:type="dxa"/>
            <w:tcBorders>
              <w:top w:val="nil"/>
              <w:left w:val="nil"/>
              <w:bottom w:val="single" w:sz="4" w:space="0" w:color="auto"/>
              <w:right w:val="single" w:sz="4" w:space="0" w:color="auto"/>
            </w:tcBorders>
            <w:shd w:val="clear" w:color="auto" w:fill="auto"/>
            <w:noWrap/>
            <w:vAlign w:val="bottom"/>
          </w:tcPr>
          <w:p w14:paraId="6414D83A" w14:textId="77777777" w:rsidR="00536F6A" w:rsidRPr="00BC081A" w:rsidRDefault="00536F6A" w:rsidP="00E24EF0">
            <w:pPr>
              <w:pStyle w:val="TableContext"/>
              <w:rPr>
                <w:lang w:val="en-CA"/>
              </w:rPr>
            </w:pPr>
            <w:r w:rsidRPr="00BC081A">
              <w:rPr>
                <w:lang w:val="en-CA"/>
              </w:rPr>
              <w:t>43.52</w:t>
            </w:r>
          </w:p>
        </w:tc>
        <w:tc>
          <w:tcPr>
            <w:tcW w:w="1300" w:type="dxa"/>
            <w:tcBorders>
              <w:top w:val="nil"/>
              <w:left w:val="nil"/>
              <w:bottom w:val="single" w:sz="4" w:space="0" w:color="auto"/>
              <w:right w:val="single" w:sz="4" w:space="0" w:color="auto"/>
            </w:tcBorders>
            <w:shd w:val="clear" w:color="auto" w:fill="auto"/>
            <w:noWrap/>
            <w:vAlign w:val="bottom"/>
          </w:tcPr>
          <w:p w14:paraId="0EB8034A" w14:textId="77777777" w:rsidR="00536F6A" w:rsidRPr="00BC081A" w:rsidRDefault="00536F6A" w:rsidP="00E24EF0">
            <w:pPr>
              <w:pStyle w:val="TableContext"/>
              <w:rPr>
                <w:lang w:val="en-CA"/>
              </w:rPr>
            </w:pPr>
            <w:r w:rsidRPr="00BC081A">
              <w:rPr>
                <w:lang w:val="en-CA"/>
              </w:rPr>
              <w:t>8.54</w:t>
            </w:r>
          </w:p>
        </w:tc>
      </w:tr>
      <w:tr w:rsidR="00536F6A" w:rsidRPr="00BC081A" w14:paraId="060C6707"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1EABEC45" w14:textId="77777777" w:rsidR="00536F6A" w:rsidRPr="00BC081A" w:rsidRDefault="00536F6A" w:rsidP="00E24EF0">
            <w:pPr>
              <w:pStyle w:val="TableContext"/>
              <w:rPr>
                <w:lang w:val="en-CA"/>
              </w:rPr>
            </w:pPr>
            <w:r w:rsidRPr="00BC081A">
              <w:rPr>
                <w:lang w:val="en-CA"/>
              </w:rPr>
              <w:t>13</w:t>
            </w:r>
          </w:p>
        </w:tc>
        <w:tc>
          <w:tcPr>
            <w:tcW w:w="1300" w:type="dxa"/>
            <w:tcBorders>
              <w:top w:val="nil"/>
              <w:left w:val="nil"/>
              <w:bottom w:val="single" w:sz="4" w:space="0" w:color="auto"/>
              <w:right w:val="single" w:sz="4" w:space="0" w:color="auto"/>
            </w:tcBorders>
            <w:shd w:val="clear" w:color="auto" w:fill="auto"/>
            <w:noWrap/>
            <w:vAlign w:val="bottom"/>
          </w:tcPr>
          <w:p w14:paraId="4493E32A" w14:textId="77777777" w:rsidR="00536F6A" w:rsidRPr="00BC081A" w:rsidRDefault="00536F6A" w:rsidP="00E24EF0">
            <w:pPr>
              <w:pStyle w:val="TableContext"/>
              <w:rPr>
                <w:lang w:val="en-CA"/>
              </w:rPr>
            </w:pPr>
            <w:r w:rsidRPr="00BC081A">
              <w:rPr>
                <w:lang w:val="en-CA"/>
              </w:rPr>
              <w:t>0.48</w:t>
            </w:r>
          </w:p>
        </w:tc>
        <w:tc>
          <w:tcPr>
            <w:tcW w:w="1300" w:type="dxa"/>
            <w:tcBorders>
              <w:top w:val="nil"/>
              <w:left w:val="nil"/>
              <w:bottom w:val="single" w:sz="4" w:space="0" w:color="auto"/>
              <w:right w:val="single" w:sz="4" w:space="0" w:color="auto"/>
            </w:tcBorders>
            <w:shd w:val="clear" w:color="auto" w:fill="auto"/>
            <w:noWrap/>
            <w:vAlign w:val="bottom"/>
          </w:tcPr>
          <w:p w14:paraId="787EA2C3" w14:textId="77777777" w:rsidR="00536F6A" w:rsidRPr="00BC081A" w:rsidRDefault="00536F6A" w:rsidP="00E24EF0">
            <w:pPr>
              <w:pStyle w:val="TableContext"/>
              <w:rPr>
                <w:lang w:val="en-CA"/>
              </w:rPr>
            </w:pPr>
            <w:r w:rsidRPr="00BC081A">
              <w:rPr>
                <w:lang w:val="en-CA"/>
              </w:rPr>
              <w:t>0.47</w:t>
            </w:r>
          </w:p>
        </w:tc>
        <w:tc>
          <w:tcPr>
            <w:tcW w:w="1300" w:type="dxa"/>
            <w:tcBorders>
              <w:top w:val="nil"/>
              <w:left w:val="nil"/>
              <w:bottom w:val="single" w:sz="4" w:space="0" w:color="auto"/>
              <w:right w:val="single" w:sz="4" w:space="0" w:color="auto"/>
            </w:tcBorders>
            <w:shd w:val="clear" w:color="auto" w:fill="auto"/>
            <w:noWrap/>
            <w:vAlign w:val="bottom"/>
          </w:tcPr>
          <w:p w14:paraId="2D37113F" w14:textId="77777777" w:rsidR="00536F6A" w:rsidRPr="00BC081A" w:rsidRDefault="00536F6A" w:rsidP="00E24EF0">
            <w:pPr>
              <w:pStyle w:val="TableContext"/>
              <w:rPr>
                <w:lang w:val="en-CA"/>
              </w:rPr>
            </w:pPr>
            <w:r w:rsidRPr="00BC081A">
              <w:rPr>
                <w:lang w:val="en-CA"/>
              </w:rPr>
              <w:t>286.00</w:t>
            </w:r>
          </w:p>
        </w:tc>
        <w:tc>
          <w:tcPr>
            <w:tcW w:w="1300" w:type="dxa"/>
            <w:tcBorders>
              <w:top w:val="nil"/>
              <w:left w:val="nil"/>
              <w:bottom w:val="single" w:sz="4" w:space="0" w:color="auto"/>
              <w:right w:val="single" w:sz="4" w:space="0" w:color="auto"/>
            </w:tcBorders>
            <w:shd w:val="clear" w:color="auto" w:fill="auto"/>
            <w:noWrap/>
            <w:vAlign w:val="bottom"/>
          </w:tcPr>
          <w:p w14:paraId="349D61D9" w14:textId="77777777" w:rsidR="00536F6A" w:rsidRPr="00BC081A" w:rsidRDefault="00536F6A" w:rsidP="00E24EF0">
            <w:pPr>
              <w:pStyle w:val="TableContext"/>
              <w:rPr>
                <w:lang w:val="en-CA"/>
              </w:rPr>
            </w:pPr>
            <w:r w:rsidRPr="00BC081A">
              <w:rPr>
                <w:lang w:val="en-CA"/>
              </w:rPr>
              <w:t>225.62</w:t>
            </w:r>
          </w:p>
        </w:tc>
        <w:tc>
          <w:tcPr>
            <w:tcW w:w="1300" w:type="dxa"/>
            <w:tcBorders>
              <w:top w:val="nil"/>
              <w:left w:val="nil"/>
              <w:bottom w:val="single" w:sz="4" w:space="0" w:color="auto"/>
              <w:right w:val="single" w:sz="4" w:space="0" w:color="auto"/>
            </w:tcBorders>
            <w:shd w:val="clear" w:color="auto" w:fill="auto"/>
            <w:noWrap/>
            <w:vAlign w:val="bottom"/>
          </w:tcPr>
          <w:p w14:paraId="14BF9202" w14:textId="77777777" w:rsidR="00536F6A" w:rsidRPr="00BC081A" w:rsidRDefault="00536F6A" w:rsidP="00E24EF0">
            <w:pPr>
              <w:pStyle w:val="TableContext"/>
              <w:rPr>
                <w:lang w:val="en-CA"/>
              </w:rPr>
            </w:pPr>
            <w:r w:rsidRPr="00BC081A">
              <w:rPr>
                <w:lang w:val="en-CA"/>
              </w:rPr>
              <w:t>105.13</w:t>
            </w:r>
          </w:p>
        </w:tc>
        <w:tc>
          <w:tcPr>
            <w:tcW w:w="1300" w:type="dxa"/>
            <w:tcBorders>
              <w:top w:val="nil"/>
              <w:left w:val="nil"/>
              <w:bottom w:val="single" w:sz="4" w:space="0" w:color="auto"/>
              <w:right w:val="single" w:sz="4" w:space="0" w:color="auto"/>
            </w:tcBorders>
            <w:shd w:val="clear" w:color="auto" w:fill="auto"/>
            <w:noWrap/>
            <w:vAlign w:val="bottom"/>
          </w:tcPr>
          <w:p w14:paraId="145117D8" w14:textId="77777777" w:rsidR="00536F6A" w:rsidRPr="00BC081A" w:rsidRDefault="00536F6A" w:rsidP="00E24EF0">
            <w:pPr>
              <w:pStyle w:val="TableContext"/>
              <w:rPr>
                <w:lang w:val="en-CA"/>
              </w:rPr>
            </w:pPr>
            <w:r w:rsidRPr="00BC081A">
              <w:rPr>
                <w:lang w:val="en-CA"/>
              </w:rPr>
              <w:t>48.99</w:t>
            </w:r>
          </w:p>
        </w:tc>
      </w:tr>
      <w:tr w:rsidR="00536F6A" w:rsidRPr="00BC081A" w14:paraId="613E8E97"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4D93BCE" w14:textId="77777777" w:rsidR="00536F6A" w:rsidRPr="00BC081A" w:rsidRDefault="00536F6A" w:rsidP="00E24EF0">
            <w:pPr>
              <w:pStyle w:val="TableContext"/>
              <w:rPr>
                <w:lang w:val="en-CA"/>
              </w:rPr>
            </w:pPr>
            <w:r w:rsidRPr="00BC081A">
              <w:rPr>
                <w:lang w:val="en-CA"/>
              </w:rPr>
              <w:t>14</w:t>
            </w:r>
          </w:p>
        </w:tc>
        <w:tc>
          <w:tcPr>
            <w:tcW w:w="1300" w:type="dxa"/>
            <w:tcBorders>
              <w:top w:val="nil"/>
              <w:left w:val="nil"/>
              <w:bottom w:val="single" w:sz="4" w:space="0" w:color="auto"/>
              <w:right w:val="single" w:sz="4" w:space="0" w:color="auto"/>
            </w:tcBorders>
            <w:shd w:val="clear" w:color="auto" w:fill="auto"/>
            <w:noWrap/>
            <w:vAlign w:val="bottom"/>
          </w:tcPr>
          <w:p w14:paraId="3CD81385" w14:textId="77777777" w:rsidR="00536F6A" w:rsidRPr="00BC081A" w:rsidRDefault="00536F6A" w:rsidP="00E24EF0">
            <w:pPr>
              <w:pStyle w:val="TableContext"/>
              <w:rPr>
                <w:lang w:val="en-CA"/>
              </w:rPr>
            </w:pPr>
            <w:r w:rsidRPr="00BC081A">
              <w:rPr>
                <w:lang w:val="en-CA"/>
              </w:rPr>
              <w:t>0.83</w:t>
            </w:r>
          </w:p>
        </w:tc>
        <w:tc>
          <w:tcPr>
            <w:tcW w:w="1300" w:type="dxa"/>
            <w:tcBorders>
              <w:top w:val="nil"/>
              <w:left w:val="nil"/>
              <w:bottom w:val="single" w:sz="4" w:space="0" w:color="auto"/>
              <w:right w:val="single" w:sz="4" w:space="0" w:color="auto"/>
            </w:tcBorders>
            <w:shd w:val="clear" w:color="auto" w:fill="auto"/>
            <w:noWrap/>
            <w:vAlign w:val="bottom"/>
          </w:tcPr>
          <w:p w14:paraId="4871AC4F" w14:textId="77777777" w:rsidR="00536F6A" w:rsidRPr="00BC081A" w:rsidRDefault="00536F6A" w:rsidP="00E24EF0">
            <w:pPr>
              <w:pStyle w:val="TableContext"/>
              <w:rPr>
                <w:lang w:val="en-CA"/>
              </w:rPr>
            </w:pPr>
            <w:r w:rsidRPr="00BC081A">
              <w:rPr>
                <w:lang w:val="en-CA"/>
              </w:rPr>
              <w:t>1.01</w:t>
            </w:r>
          </w:p>
        </w:tc>
        <w:tc>
          <w:tcPr>
            <w:tcW w:w="1300" w:type="dxa"/>
            <w:tcBorders>
              <w:top w:val="nil"/>
              <w:left w:val="nil"/>
              <w:bottom w:val="single" w:sz="4" w:space="0" w:color="auto"/>
              <w:right w:val="single" w:sz="4" w:space="0" w:color="auto"/>
            </w:tcBorders>
            <w:shd w:val="clear" w:color="auto" w:fill="auto"/>
            <w:noWrap/>
            <w:vAlign w:val="bottom"/>
          </w:tcPr>
          <w:p w14:paraId="4BEC281E" w14:textId="77777777" w:rsidR="00536F6A" w:rsidRPr="00BC081A" w:rsidRDefault="00536F6A" w:rsidP="00E24EF0">
            <w:pPr>
              <w:pStyle w:val="TableContext"/>
              <w:rPr>
                <w:lang w:val="en-CA"/>
              </w:rPr>
            </w:pPr>
            <w:r w:rsidRPr="00BC081A">
              <w:rPr>
                <w:lang w:val="en-CA"/>
              </w:rPr>
              <w:t>227.00</w:t>
            </w:r>
          </w:p>
        </w:tc>
        <w:tc>
          <w:tcPr>
            <w:tcW w:w="1300" w:type="dxa"/>
            <w:tcBorders>
              <w:top w:val="nil"/>
              <w:left w:val="nil"/>
              <w:bottom w:val="single" w:sz="4" w:space="0" w:color="auto"/>
              <w:right w:val="single" w:sz="4" w:space="0" w:color="auto"/>
            </w:tcBorders>
            <w:shd w:val="clear" w:color="auto" w:fill="auto"/>
            <w:noWrap/>
            <w:vAlign w:val="bottom"/>
          </w:tcPr>
          <w:p w14:paraId="3DCBE36F" w14:textId="77777777" w:rsidR="00536F6A" w:rsidRPr="00BC081A" w:rsidRDefault="00536F6A" w:rsidP="00E24EF0">
            <w:pPr>
              <w:pStyle w:val="TableContext"/>
              <w:rPr>
                <w:lang w:val="en-CA"/>
              </w:rPr>
            </w:pPr>
            <w:r w:rsidRPr="00BC081A">
              <w:rPr>
                <w:lang w:val="en-CA"/>
              </w:rPr>
              <w:t>186.95</w:t>
            </w:r>
          </w:p>
        </w:tc>
        <w:tc>
          <w:tcPr>
            <w:tcW w:w="1300" w:type="dxa"/>
            <w:tcBorders>
              <w:top w:val="nil"/>
              <w:left w:val="nil"/>
              <w:bottom w:val="single" w:sz="4" w:space="0" w:color="auto"/>
              <w:right w:val="single" w:sz="4" w:space="0" w:color="auto"/>
            </w:tcBorders>
            <w:shd w:val="clear" w:color="auto" w:fill="auto"/>
            <w:noWrap/>
            <w:vAlign w:val="bottom"/>
          </w:tcPr>
          <w:p w14:paraId="51E0FFAD" w14:textId="77777777" w:rsidR="00536F6A" w:rsidRPr="00BC081A" w:rsidRDefault="00536F6A" w:rsidP="00E24EF0">
            <w:pPr>
              <w:pStyle w:val="TableContext"/>
              <w:rPr>
                <w:lang w:val="en-CA"/>
              </w:rPr>
            </w:pPr>
            <w:r w:rsidRPr="00BC081A">
              <w:rPr>
                <w:lang w:val="en-CA"/>
              </w:rPr>
              <w:t>188.85</w:t>
            </w:r>
          </w:p>
        </w:tc>
        <w:tc>
          <w:tcPr>
            <w:tcW w:w="1300" w:type="dxa"/>
            <w:tcBorders>
              <w:top w:val="nil"/>
              <w:left w:val="nil"/>
              <w:bottom w:val="single" w:sz="4" w:space="0" w:color="auto"/>
              <w:right w:val="single" w:sz="4" w:space="0" w:color="auto"/>
            </w:tcBorders>
            <w:shd w:val="clear" w:color="auto" w:fill="auto"/>
            <w:noWrap/>
            <w:vAlign w:val="bottom"/>
          </w:tcPr>
          <w:p w14:paraId="3FBD6E55" w14:textId="77777777" w:rsidR="00536F6A" w:rsidRPr="00BC081A" w:rsidRDefault="00536F6A" w:rsidP="00E24EF0">
            <w:pPr>
              <w:pStyle w:val="TableContext"/>
              <w:rPr>
                <w:lang w:val="en-CA"/>
              </w:rPr>
            </w:pPr>
            <w:r w:rsidRPr="00BC081A">
              <w:rPr>
                <w:lang w:val="en-CA"/>
              </w:rPr>
              <w:t>190.77</w:t>
            </w:r>
          </w:p>
        </w:tc>
      </w:tr>
      <w:tr w:rsidR="00536F6A" w:rsidRPr="00BC081A" w14:paraId="7226F516"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37F11D49" w14:textId="77777777" w:rsidR="00536F6A" w:rsidRPr="00BC081A" w:rsidRDefault="00536F6A" w:rsidP="00E24EF0">
            <w:pPr>
              <w:pStyle w:val="TableContext"/>
              <w:rPr>
                <w:lang w:val="en-CA"/>
              </w:rPr>
            </w:pPr>
            <w:r w:rsidRPr="00BC081A">
              <w:rPr>
                <w:lang w:val="en-CA"/>
              </w:rPr>
              <w:t>18</w:t>
            </w:r>
          </w:p>
        </w:tc>
        <w:tc>
          <w:tcPr>
            <w:tcW w:w="1300" w:type="dxa"/>
            <w:tcBorders>
              <w:top w:val="nil"/>
              <w:left w:val="nil"/>
              <w:bottom w:val="single" w:sz="4" w:space="0" w:color="auto"/>
              <w:right w:val="single" w:sz="4" w:space="0" w:color="auto"/>
            </w:tcBorders>
            <w:shd w:val="clear" w:color="auto" w:fill="auto"/>
            <w:noWrap/>
            <w:vAlign w:val="bottom"/>
            <w:hideMark/>
          </w:tcPr>
          <w:p w14:paraId="37FD389C"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hideMark/>
          </w:tcPr>
          <w:p w14:paraId="08719044" w14:textId="77777777" w:rsidR="00536F6A" w:rsidRPr="00BC081A" w:rsidRDefault="00536F6A" w:rsidP="00E24EF0">
            <w:pPr>
              <w:pStyle w:val="TableContext"/>
              <w:rPr>
                <w:lang w:val="en-CA"/>
              </w:rPr>
            </w:pPr>
            <w:r w:rsidRPr="00BC081A">
              <w:rPr>
                <w:lang w:val="en-CA"/>
              </w:rPr>
              <w:t>0.55</w:t>
            </w:r>
          </w:p>
        </w:tc>
        <w:tc>
          <w:tcPr>
            <w:tcW w:w="1300" w:type="dxa"/>
            <w:tcBorders>
              <w:top w:val="nil"/>
              <w:left w:val="nil"/>
              <w:bottom w:val="single" w:sz="4" w:space="0" w:color="auto"/>
              <w:right w:val="single" w:sz="4" w:space="0" w:color="auto"/>
            </w:tcBorders>
            <w:shd w:val="clear" w:color="auto" w:fill="auto"/>
            <w:noWrap/>
            <w:vAlign w:val="bottom"/>
            <w:hideMark/>
          </w:tcPr>
          <w:p w14:paraId="07B84125" w14:textId="77777777" w:rsidR="00536F6A" w:rsidRPr="00BC081A" w:rsidRDefault="00536F6A" w:rsidP="00E24EF0">
            <w:pPr>
              <w:pStyle w:val="TableContext"/>
              <w:rPr>
                <w:lang w:val="en-CA"/>
              </w:rPr>
            </w:pPr>
            <w:r w:rsidRPr="00BC081A">
              <w:rPr>
                <w:lang w:val="en-CA"/>
              </w:rPr>
              <w:t>169.00</w:t>
            </w:r>
          </w:p>
        </w:tc>
        <w:tc>
          <w:tcPr>
            <w:tcW w:w="1300" w:type="dxa"/>
            <w:tcBorders>
              <w:top w:val="nil"/>
              <w:left w:val="nil"/>
              <w:bottom w:val="single" w:sz="4" w:space="0" w:color="auto"/>
              <w:right w:val="single" w:sz="4" w:space="0" w:color="auto"/>
            </w:tcBorders>
            <w:shd w:val="clear" w:color="auto" w:fill="auto"/>
            <w:noWrap/>
            <w:vAlign w:val="bottom"/>
            <w:hideMark/>
          </w:tcPr>
          <w:p w14:paraId="42A7E402" w14:textId="77777777" w:rsidR="00536F6A" w:rsidRPr="00BC081A" w:rsidRDefault="00536F6A" w:rsidP="00E24EF0">
            <w:pPr>
              <w:pStyle w:val="TableContext"/>
              <w:rPr>
                <w:lang w:val="en-CA"/>
              </w:rPr>
            </w:pPr>
            <w:r w:rsidRPr="00BC081A">
              <w:rPr>
                <w:lang w:val="en-CA"/>
              </w:rPr>
              <w:t>124.92</w:t>
            </w:r>
          </w:p>
        </w:tc>
        <w:tc>
          <w:tcPr>
            <w:tcW w:w="1300" w:type="dxa"/>
            <w:tcBorders>
              <w:top w:val="nil"/>
              <w:left w:val="nil"/>
              <w:bottom w:val="single" w:sz="4" w:space="0" w:color="auto"/>
              <w:right w:val="single" w:sz="4" w:space="0" w:color="auto"/>
            </w:tcBorders>
            <w:shd w:val="clear" w:color="auto" w:fill="auto"/>
            <w:noWrap/>
            <w:vAlign w:val="bottom"/>
            <w:hideMark/>
          </w:tcPr>
          <w:p w14:paraId="3DE30A14" w14:textId="77777777" w:rsidR="00536F6A" w:rsidRPr="00BC081A" w:rsidRDefault="00536F6A" w:rsidP="00E24EF0">
            <w:pPr>
              <w:pStyle w:val="TableContext"/>
              <w:rPr>
                <w:lang w:val="en-CA"/>
              </w:rPr>
            </w:pPr>
            <w:r w:rsidRPr="00BC081A">
              <w:rPr>
                <w:lang w:val="en-CA"/>
              </w:rPr>
              <w:t>68.31</w:t>
            </w:r>
          </w:p>
        </w:tc>
        <w:tc>
          <w:tcPr>
            <w:tcW w:w="1300" w:type="dxa"/>
            <w:tcBorders>
              <w:top w:val="nil"/>
              <w:left w:val="nil"/>
              <w:bottom w:val="single" w:sz="4" w:space="0" w:color="auto"/>
              <w:right w:val="single" w:sz="4" w:space="0" w:color="auto"/>
            </w:tcBorders>
            <w:shd w:val="clear" w:color="auto" w:fill="auto"/>
            <w:noWrap/>
            <w:vAlign w:val="bottom"/>
            <w:hideMark/>
          </w:tcPr>
          <w:p w14:paraId="4A066394" w14:textId="77777777" w:rsidR="00536F6A" w:rsidRPr="00BC081A" w:rsidRDefault="00536F6A" w:rsidP="00E24EF0">
            <w:pPr>
              <w:pStyle w:val="TableContext"/>
              <w:rPr>
                <w:lang w:val="en-CA"/>
              </w:rPr>
            </w:pPr>
            <w:r w:rsidRPr="00BC081A">
              <w:rPr>
                <w:lang w:val="en-CA"/>
              </w:rPr>
              <w:t>37.35</w:t>
            </w:r>
          </w:p>
        </w:tc>
      </w:tr>
      <w:tr w:rsidR="00536F6A" w:rsidRPr="00BC081A" w14:paraId="0BB6682C"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5B954267" w14:textId="77777777" w:rsidR="00536F6A" w:rsidRPr="00BC081A" w:rsidRDefault="00536F6A" w:rsidP="00E24EF0">
            <w:pPr>
              <w:pStyle w:val="TableContext"/>
              <w:rPr>
                <w:lang w:val="en-CA"/>
              </w:rPr>
            </w:pPr>
            <w:r w:rsidRPr="00BC081A">
              <w:rPr>
                <w:lang w:val="en-CA"/>
              </w:rPr>
              <w:t>20</w:t>
            </w:r>
          </w:p>
        </w:tc>
        <w:tc>
          <w:tcPr>
            <w:tcW w:w="1300" w:type="dxa"/>
            <w:tcBorders>
              <w:top w:val="nil"/>
              <w:left w:val="nil"/>
              <w:bottom w:val="single" w:sz="4" w:space="0" w:color="auto"/>
              <w:right w:val="single" w:sz="4" w:space="0" w:color="auto"/>
            </w:tcBorders>
            <w:shd w:val="clear" w:color="auto" w:fill="auto"/>
            <w:noWrap/>
            <w:vAlign w:val="bottom"/>
          </w:tcPr>
          <w:p w14:paraId="08215B8A" w14:textId="77777777" w:rsidR="00536F6A" w:rsidRPr="00BC081A" w:rsidRDefault="00536F6A" w:rsidP="00E24EF0">
            <w:pPr>
              <w:pStyle w:val="TableContext"/>
              <w:rPr>
                <w:lang w:val="en-CA"/>
              </w:rPr>
            </w:pPr>
            <w:r w:rsidRPr="00BC081A">
              <w:rPr>
                <w:lang w:val="en-CA"/>
              </w:rPr>
              <w:t>0.53</w:t>
            </w:r>
          </w:p>
        </w:tc>
        <w:tc>
          <w:tcPr>
            <w:tcW w:w="1300" w:type="dxa"/>
            <w:tcBorders>
              <w:top w:val="nil"/>
              <w:left w:val="nil"/>
              <w:bottom w:val="single" w:sz="4" w:space="0" w:color="auto"/>
              <w:right w:val="single" w:sz="4" w:space="0" w:color="auto"/>
            </w:tcBorders>
            <w:shd w:val="clear" w:color="auto" w:fill="auto"/>
            <w:noWrap/>
            <w:vAlign w:val="bottom"/>
          </w:tcPr>
          <w:p w14:paraId="02C162C0" w14:textId="77777777" w:rsidR="00536F6A" w:rsidRPr="00BC081A" w:rsidRDefault="00536F6A" w:rsidP="00E24EF0">
            <w:pPr>
              <w:pStyle w:val="TableContext"/>
              <w:rPr>
                <w:lang w:val="en-CA"/>
              </w:rPr>
            </w:pPr>
            <w:r w:rsidRPr="00BC081A">
              <w:rPr>
                <w:lang w:val="en-CA"/>
              </w:rPr>
              <w:t>0.51</w:t>
            </w:r>
          </w:p>
        </w:tc>
        <w:tc>
          <w:tcPr>
            <w:tcW w:w="1300" w:type="dxa"/>
            <w:tcBorders>
              <w:top w:val="nil"/>
              <w:left w:val="nil"/>
              <w:bottom w:val="single" w:sz="4" w:space="0" w:color="auto"/>
              <w:right w:val="single" w:sz="4" w:space="0" w:color="auto"/>
            </w:tcBorders>
            <w:shd w:val="clear" w:color="auto" w:fill="auto"/>
            <w:noWrap/>
            <w:vAlign w:val="bottom"/>
          </w:tcPr>
          <w:p w14:paraId="4FF61A45" w14:textId="77777777" w:rsidR="00536F6A" w:rsidRPr="00BC081A" w:rsidRDefault="00536F6A" w:rsidP="00E24EF0">
            <w:pPr>
              <w:pStyle w:val="TableContext"/>
              <w:rPr>
                <w:lang w:val="en-CA"/>
              </w:rPr>
            </w:pPr>
            <w:r w:rsidRPr="00BC081A">
              <w:rPr>
                <w:lang w:val="en-CA"/>
              </w:rPr>
              <w:t>300.00</w:t>
            </w:r>
          </w:p>
        </w:tc>
        <w:tc>
          <w:tcPr>
            <w:tcW w:w="1300" w:type="dxa"/>
            <w:tcBorders>
              <w:top w:val="nil"/>
              <w:left w:val="nil"/>
              <w:bottom w:val="single" w:sz="4" w:space="0" w:color="auto"/>
              <w:right w:val="single" w:sz="4" w:space="0" w:color="auto"/>
            </w:tcBorders>
            <w:shd w:val="clear" w:color="auto" w:fill="auto"/>
            <w:noWrap/>
            <w:vAlign w:val="bottom"/>
          </w:tcPr>
          <w:p w14:paraId="2F5A9D97" w14:textId="77777777" w:rsidR="00536F6A" w:rsidRPr="00BC081A" w:rsidRDefault="00536F6A" w:rsidP="00E24EF0">
            <w:pPr>
              <w:pStyle w:val="TableContext"/>
              <w:rPr>
                <w:lang w:val="en-CA"/>
              </w:rPr>
            </w:pPr>
            <w:r w:rsidRPr="00BC081A">
              <w:rPr>
                <w:lang w:val="en-CA"/>
              </w:rPr>
              <w:t>225.15</w:t>
            </w:r>
          </w:p>
        </w:tc>
        <w:tc>
          <w:tcPr>
            <w:tcW w:w="1300" w:type="dxa"/>
            <w:tcBorders>
              <w:top w:val="nil"/>
              <w:left w:val="nil"/>
              <w:bottom w:val="single" w:sz="4" w:space="0" w:color="auto"/>
              <w:right w:val="single" w:sz="4" w:space="0" w:color="auto"/>
            </w:tcBorders>
            <w:shd w:val="clear" w:color="auto" w:fill="auto"/>
            <w:noWrap/>
            <w:vAlign w:val="bottom"/>
          </w:tcPr>
          <w:p w14:paraId="425C7023" w14:textId="77777777" w:rsidR="00536F6A" w:rsidRPr="00BC081A" w:rsidRDefault="00536F6A" w:rsidP="00E24EF0">
            <w:pPr>
              <w:pStyle w:val="TableContext"/>
              <w:rPr>
                <w:lang w:val="en-CA"/>
              </w:rPr>
            </w:pPr>
            <w:r w:rsidRPr="00BC081A">
              <w:rPr>
                <w:lang w:val="en-CA"/>
              </w:rPr>
              <w:t>114.21</w:t>
            </w:r>
          </w:p>
        </w:tc>
        <w:tc>
          <w:tcPr>
            <w:tcW w:w="1300" w:type="dxa"/>
            <w:tcBorders>
              <w:top w:val="nil"/>
              <w:left w:val="nil"/>
              <w:bottom w:val="single" w:sz="4" w:space="0" w:color="auto"/>
              <w:right w:val="single" w:sz="4" w:space="0" w:color="auto"/>
            </w:tcBorders>
            <w:shd w:val="clear" w:color="auto" w:fill="auto"/>
            <w:noWrap/>
            <w:vAlign w:val="bottom"/>
          </w:tcPr>
          <w:p w14:paraId="6F46D716" w14:textId="77777777" w:rsidR="00536F6A" w:rsidRPr="00BC081A" w:rsidRDefault="00536F6A" w:rsidP="00E24EF0">
            <w:pPr>
              <w:pStyle w:val="TableContext"/>
              <w:rPr>
                <w:lang w:val="en-CA"/>
              </w:rPr>
            </w:pPr>
            <w:r w:rsidRPr="00BC081A">
              <w:rPr>
                <w:lang w:val="en-CA"/>
              </w:rPr>
              <w:t>57.93</w:t>
            </w:r>
          </w:p>
        </w:tc>
      </w:tr>
      <w:tr w:rsidR="00536F6A" w:rsidRPr="00BC081A" w14:paraId="6EBA0C0D"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6FC71927" w14:textId="77777777" w:rsidR="00536F6A" w:rsidRPr="00BC081A" w:rsidRDefault="00536F6A" w:rsidP="00E24EF0">
            <w:pPr>
              <w:pStyle w:val="TableContext"/>
              <w:rPr>
                <w:lang w:val="en-CA"/>
              </w:rPr>
            </w:pPr>
            <w:r w:rsidRPr="00BC081A">
              <w:rPr>
                <w:lang w:val="en-CA"/>
              </w:rPr>
              <w:t>30</w:t>
            </w:r>
          </w:p>
        </w:tc>
        <w:tc>
          <w:tcPr>
            <w:tcW w:w="1300" w:type="dxa"/>
            <w:tcBorders>
              <w:top w:val="nil"/>
              <w:left w:val="nil"/>
              <w:bottom w:val="single" w:sz="4" w:space="0" w:color="auto"/>
              <w:right w:val="single" w:sz="4" w:space="0" w:color="auto"/>
            </w:tcBorders>
            <w:shd w:val="clear" w:color="auto" w:fill="auto"/>
            <w:noWrap/>
            <w:vAlign w:val="bottom"/>
          </w:tcPr>
          <w:p w14:paraId="441CDDB6" w14:textId="77777777" w:rsidR="00536F6A" w:rsidRPr="00BC081A" w:rsidRDefault="00536F6A" w:rsidP="00E24EF0">
            <w:pPr>
              <w:pStyle w:val="TableContext"/>
              <w:rPr>
                <w:lang w:val="en-CA"/>
              </w:rPr>
            </w:pPr>
            <w:r w:rsidRPr="00BC081A">
              <w:rPr>
                <w:lang w:val="en-CA"/>
              </w:rPr>
              <w:t>0.72</w:t>
            </w:r>
          </w:p>
        </w:tc>
        <w:tc>
          <w:tcPr>
            <w:tcW w:w="1300" w:type="dxa"/>
            <w:tcBorders>
              <w:top w:val="nil"/>
              <w:left w:val="nil"/>
              <w:bottom w:val="single" w:sz="4" w:space="0" w:color="auto"/>
              <w:right w:val="single" w:sz="4" w:space="0" w:color="auto"/>
            </w:tcBorders>
            <w:shd w:val="clear" w:color="auto" w:fill="auto"/>
            <w:noWrap/>
            <w:vAlign w:val="bottom"/>
          </w:tcPr>
          <w:p w14:paraId="2272625D" w14:textId="77777777" w:rsidR="00536F6A" w:rsidRPr="00BC081A" w:rsidRDefault="00536F6A" w:rsidP="00E24EF0">
            <w:pPr>
              <w:pStyle w:val="TableContext"/>
              <w:rPr>
                <w:lang w:val="en-CA"/>
              </w:rPr>
            </w:pPr>
            <w:r w:rsidRPr="00BC081A">
              <w:rPr>
                <w:lang w:val="en-CA"/>
              </w:rPr>
              <w:t>0.73</w:t>
            </w:r>
          </w:p>
        </w:tc>
        <w:tc>
          <w:tcPr>
            <w:tcW w:w="1300" w:type="dxa"/>
            <w:tcBorders>
              <w:top w:val="nil"/>
              <w:left w:val="nil"/>
              <w:bottom w:val="single" w:sz="4" w:space="0" w:color="auto"/>
              <w:right w:val="single" w:sz="4" w:space="0" w:color="auto"/>
            </w:tcBorders>
            <w:shd w:val="clear" w:color="auto" w:fill="auto"/>
            <w:noWrap/>
            <w:vAlign w:val="bottom"/>
          </w:tcPr>
          <w:p w14:paraId="19345C0F" w14:textId="77777777" w:rsidR="00536F6A" w:rsidRPr="00BC081A" w:rsidRDefault="00536F6A" w:rsidP="00E24EF0">
            <w:pPr>
              <w:pStyle w:val="TableContext"/>
              <w:rPr>
                <w:lang w:val="en-CA"/>
              </w:rPr>
            </w:pPr>
            <w:r w:rsidRPr="00BC081A">
              <w:rPr>
                <w:lang w:val="en-CA"/>
              </w:rPr>
              <w:t>247.00</w:t>
            </w:r>
          </w:p>
        </w:tc>
        <w:tc>
          <w:tcPr>
            <w:tcW w:w="1300" w:type="dxa"/>
            <w:tcBorders>
              <w:top w:val="nil"/>
              <w:left w:val="nil"/>
              <w:bottom w:val="single" w:sz="4" w:space="0" w:color="auto"/>
              <w:right w:val="single" w:sz="4" w:space="0" w:color="auto"/>
            </w:tcBorders>
            <w:shd w:val="clear" w:color="auto" w:fill="auto"/>
            <w:noWrap/>
            <w:vAlign w:val="bottom"/>
          </w:tcPr>
          <w:p w14:paraId="08BC6FDD" w14:textId="77777777" w:rsidR="00536F6A" w:rsidRPr="00BC081A" w:rsidRDefault="00536F6A" w:rsidP="00E24EF0">
            <w:pPr>
              <w:pStyle w:val="TableContext"/>
              <w:rPr>
                <w:lang w:val="en-CA"/>
              </w:rPr>
            </w:pPr>
            <w:r w:rsidRPr="00BC081A">
              <w:rPr>
                <w:lang w:val="en-CA"/>
              </w:rPr>
              <w:t>177.37</w:t>
            </w:r>
          </w:p>
        </w:tc>
        <w:tc>
          <w:tcPr>
            <w:tcW w:w="1300" w:type="dxa"/>
            <w:tcBorders>
              <w:top w:val="nil"/>
              <w:left w:val="nil"/>
              <w:bottom w:val="single" w:sz="4" w:space="0" w:color="auto"/>
              <w:right w:val="single" w:sz="4" w:space="0" w:color="auto"/>
            </w:tcBorders>
            <w:shd w:val="clear" w:color="auto" w:fill="auto"/>
            <w:noWrap/>
            <w:vAlign w:val="bottom"/>
          </w:tcPr>
          <w:p w14:paraId="401C1E8B" w14:textId="77777777" w:rsidR="00536F6A" w:rsidRPr="00BC081A" w:rsidRDefault="00536F6A" w:rsidP="00E24EF0">
            <w:pPr>
              <w:pStyle w:val="TableContext"/>
              <w:rPr>
                <w:lang w:val="en-CA"/>
              </w:rPr>
            </w:pPr>
            <w:r w:rsidRPr="00BC081A">
              <w:rPr>
                <w:lang w:val="en-CA"/>
              </w:rPr>
              <w:t>128.94</w:t>
            </w:r>
          </w:p>
        </w:tc>
        <w:tc>
          <w:tcPr>
            <w:tcW w:w="1300" w:type="dxa"/>
            <w:tcBorders>
              <w:top w:val="nil"/>
              <w:left w:val="nil"/>
              <w:bottom w:val="single" w:sz="4" w:space="0" w:color="auto"/>
              <w:right w:val="single" w:sz="4" w:space="0" w:color="auto"/>
            </w:tcBorders>
            <w:shd w:val="clear" w:color="auto" w:fill="auto"/>
            <w:noWrap/>
            <w:vAlign w:val="bottom"/>
          </w:tcPr>
          <w:p w14:paraId="11CC8940" w14:textId="77777777" w:rsidR="00536F6A" w:rsidRPr="00BC081A" w:rsidRDefault="00536F6A" w:rsidP="00E24EF0">
            <w:pPr>
              <w:pStyle w:val="TableContext"/>
              <w:rPr>
                <w:lang w:val="en-CA"/>
              </w:rPr>
            </w:pPr>
            <w:r w:rsidRPr="00BC081A">
              <w:rPr>
                <w:lang w:val="en-CA"/>
              </w:rPr>
              <w:t>93.74</w:t>
            </w:r>
          </w:p>
        </w:tc>
      </w:tr>
      <w:tr w:rsidR="00536F6A" w:rsidRPr="00BC081A" w14:paraId="25B09F5F"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726D4A94" w14:textId="77777777" w:rsidR="00536F6A" w:rsidRPr="00BC081A" w:rsidRDefault="00536F6A" w:rsidP="00E24EF0">
            <w:pPr>
              <w:pStyle w:val="TableContext"/>
              <w:rPr>
                <w:lang w:val="en-CA"/>
              </w:rPr>
            </w:pPr>
            <w:r w:rsidRPr="00BC081A">
              <w:rPr>
                <w:lang w:val="en-CA"/>
              </w:rPr>
              <w:t>33</w:t>
            </w:r>
          </w:p>
        </w:tc>
        <w:tc>
          <w:tcPr>
            <w:tcW w:w="1300" w:type="dxa"/>
            <w:tcBorders>
              <w:top w:val="nil"/>
              <w:left w:val="nil"/>
              <w:bottom w:val="single" w:sz="4" w:space="0" w:color="auto"/>
              <w:right w:val="single" w:sz="4" w:space="0" w:color="auto"/>
            </w:tcBorders>
            <w:shd w:val="clear" w:color="auto" w:fill="auto"/>
            <w:noWrap/>
            <w:vAlign w:val="bottom"/>
          </w:tcPr>
          <w:p w14:paraId="65D2F358" w14:textId="77777777" w:rsidR="00536F6A" w:rsidRPr="00BC081A" w:rsidRDefault="00536F6A" w:rsidP="00E24EF0">
            <w:pPr>
              <w:pStyle w:val="TableContext"/>
              <w:rPr>
                <w:lang w:val="en-CA"/>
              </w:rPr>
            </w:pPr>
            <w:r w:rsidRPr="00BC081A">
              <w:rPr>
                <w:lang w:val="en-CA"/>
              </w:rPr>
              <w:t>0.69</w:t>
            </w:r>
          </w:p>
        </w:tc>
        <w:tc>
          <w:tcPr>
            <w:tcW w:w="1300" w:type="dxa"/>
            <w:tcBorders>
              <w:top w:val="nil"/>
              <w:left w:val="nil"/>
              <w:bottom w:val="single" w:sz="4" w:space="0" w:color="auto"/>
              <w:right w:val="single" w:sz="4" w:space="0" w:color="auto"/>
            </w:tcBorders>
            <w:shd w:val="clear" w:color="auto" w:fill="auto"/>
            <w:noWrap/>
            <w:vAlign w:val="bottom"/>
          </w:tcPr>
          <w:p w14:paraId="68CE603E" w14:textId="77777777" w:rsidR="00536F6A" w:rsidRPr="00BC081A" w:rsidRDefault="00536F6A" w:rsidP="00E24EF0">
            <w:pPr>
              <w:pStyle w:val="TableContext"/>
              <w:rPr>
                <w:lang w:val="en-CA"/>
              </w:rPr>
            </w:pPr>
            <w:r w:rsidRPr="00BC081A">
              <w:rPr>
                <w:lang w:val="en-CA"/>
              </w:rPr>
              <w:t>0.68</w:t>
            </w:r>
          </w:p>
        </w:tc>
        <w:tc>
          <w:tcPr>
            <w:tcW w:w="1300" w:type="dxa"/>
            <w:tcBorders>
              <w:top w:val="nil"/>
              <w:left w:val="nil"/>
              <w:bottom w:val="single" w:sz="4" w:space="0" w:color="auto"/>
              <w:right w:val="single" w:sz="4" w:space="0" w:color="auto"/>
            </w:tcBorders>
            <w:shd w:val="clear" w:color="auto" w:fill="auto"/>
            <w:noWrap/>
            <w:vAlign w:val="bottom"/>
          </w:tcPr>
          <w:p w14:paraId="504F0C3B" w14:textId="77777777" w:rsidR="00536F6A" w:rsidRPr="00BC081A" w:rsidRDefault="00536F6A" w:rsidP="00E24EF0">
            <w:pPr>
              <w:pStyle w:val="TableContext"/>
              <w:rPr>
                <w:lang w:val="en-CA"/>
              </w:rPr>
            </w:pPr>
            <w:r w:rsidRPr="00BC081A">
              <w:rPr>
                <w:lang w:val="en-CA"/>
              </w:rPr>
              <w:t>282.00</w:t>
            </w:r>
          </w:p>
        </w:tc>
        <w:tc>
          <w:tcPr>
            <w:tcW w:w="1300" w:type="dxa"/>
            <w:tcBorders>
              <w:top w:val="nil"/>
              <w:left w:val="nil"/>
              <w:bottom w:val="single" w:sz="4" w:space="0" w:color="auto"/>
              <w:right w:val="single" w:sz="4" w:space="0" w:color="auto"/>
            </w:tcBorders>
            <w:shd w:val="clear" w:color="auto" w:fill="auto"/>
            <w:noWrap/>
            <w:vAlign w:val="bottom"/>
          </w:tcPr>
          <w:p w14:paraId="039507E2" w14:textId="77777777" w:rsidR="00536F6A" w:rsidRPr="00BC081A" w:rsidRDefault="00536F6A" w:rsidP="00E24EF0">
            <w:pPr>
              <w:pStyle w:val="TableContext"/>
              <w:rPr>
                <w:lang w:val="en-CA"/>
              </w:rPr>
            </w:pPr>
            <w:r w:rsidRPr="00BC081A">
              <w:rPr>
                <w:lang w:val="en-CA"/>
              </w:rPr>
              <w:t>198.95</w:t>
            </w:r>
          </w:p>
        </w:tc>
        <w:tc>
          <w:tcPr>
            <w:tcW w:w="1300" w:type="dxa"/>
            <w:tcBorders>
              <w:top w:val="nil"/>
              <w:left w:val="nil"/>
              <w:bottom w:val="single" w:sz="4" w:space="0" w:color="auto"/>
              <w:right w:val="single" w:sz="4" w:space="0" w:color="auto"/>
            </w:tcBorders>
            <w:shd w:val="clear" w:color="auto" w:fill="auto"/>
            <w:noWrap/>
            <w:vAlign w:val="bottom"/>
          </w:tcPr>
          <w:p w14:paraId="075C116B" w14:textId="77777777" w:rsidR="00536F6A" w:rsidRPr="00BC081A" w:rsidRDefault="00536F6A" w:rsidP="00E24EF0">
            <w:pPr>
              <w:pStyle w:val="TableContext"/>
              <w:rPr>
                <w:lang w:val="en-CA"/>
              </w:rPr>
            </w:pPr>
            <w:r w:rsidRPr="00BC081A">
              <w:rPr>
                <w:lang w:val="en-CA"/>
              </w:rPr>
              <w:t>134.43</w:t>
            </w:r>
          </w:p>
        </w:tc>
        <w:tc>
          <w:tcPr>
            <w:tcW w:w="1300" w:type="dxa"/>
            <w:tcBorders>
              <w:top w:val="nil"/>
              <w:left w:val="nil"/>
              <w:bottom w:val="single" w:sz="4" w:space="0" w:color="auto"/>
              <w:right w:val="single" w:sz="4" w:space="0" w:color="auto"/>
            </w:tcBorders>
            <w:shd w:val="clear" w:color="auto" w:fill="auto"/>
            <w:noWrap/>
            <w:vAlign w:val="bottom"/>
          </w:tcPr>
          <w:p w14:paraId="7214DEB4" w14:textId="77777777" w:rsidR="00536F6A" w:rsidRPr="00BC081A" w:rsidRDefault="00536F6A" w:rsidP="00E24EF0">
            <w:pPr>
              <w:pStyle w:val="TableContext"/>
              <w:rPr>
                <w:lang w:val="en-CA"/>
              </w:rPr>
            </w:pPr>
            <w:r w:rsidRPr="00BC081A">
              <w:rPr>
                <w:lang w:val="en-CA"/>
              </w:rPr>
              <w:t>90.84</w:t>
            </w:r>
          </w:p>
        </w:tc>
      </w:tr>
      <w:tr w:rsidR="00536F6A" w:rsidRPr="00BC081A" w14:paraId="4388B1B3"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03DEBC48" w14:textId="77777777" w:rsidR="00536F6A" w:rsidRPr="00BC081A" w:rsidRDefault="00536F6A" w:rsidP="00E24EF0">
            <w:pPr>
              <w:pStyle w:val="TableContext"/>
              <w:rPr>
                <w:lang w:val="en-CA"/>
              </w:rPr>
            </w:pPr>
            <w:r w:rsidRPr="00BC081A">
              <w:rPr>
                <w:lang w:val="en-CA"/>
              </w:rPr>
              <w:t>34</w:t>
            </w:r>
          </w:p>
        </w:tc>
        <w:tc>
          <w:tcPr>
            <w:tcW w:w="1300" w:type="dxa"/>
            <w:tcBorders>
              <w:top w:val="nil"/>
              <w:left w:val="nil"/>
              <w:bottom w:val="single" w:sz="4" w:space="0" w:color="auto"/>
              <w:right w:val="single" w:sz="4" w:space="0" w:color="auto"/>
            </w:tcBorders>
            <w:shd w:val="clear" w:color="auto" w:fill="auto"/>
            <w:noWrap/>
            <w:vAlign w:val="bottom"/>
          </w:tcPr>
          <w:p w14:paraId="12E9D58C" w14:textId="77777777" w:rsidR="00536F6A" w:rsidRPr="00BC081A" w:rsidRDefault="00536F6A" w:rsidP="00E24EF0">
            <w:pPr>
              <w:pStyle w:val="TableContext"/>
              <w:rPr>
                <w:lang w:val="en-CA"/>
              </w:rPr>
            </w:pPr>
            <w:r w:rsidRPr="00BC081A">
              <w:rPr>
                <w:lang w:val="en-CA"/>
              </w:rPr>
              <w:t>0.63</w:t>
            </w:r>
          </w:p>
        </w:tc>
        <w:tc>
          <w:tcPr>
            <w:tcW w:w="1300" w:type="dxa"/>
            <w:tcBorders>
              <w:top w:val="nil"/>
              <w:left w:val="nil"/>
              <w:bottom w:val="single" w:sz="4" w:space="0" w:color="auto"/>
              <w:right w:val="single" w:sz="4" w:space="0" w:color="auto"/>
            </w:tcBorders>
            <w:shd w:val="clear" w:color="auto" w:fill="auto"/>
            <w:noWrap/>
            <w:vAlign w:val="bottom"/>
          </w:tcPr>
          <w:p w14:paraId="2FB228F6" w14:textId="77777777" w:rsidR="00536F6A" w:rsidRPr="00BC081A" w:rsidRDefault="00536F6A" w:rsidP="00E24EF0">
            <w:pPr>
              <w:pStyle w:val="TableContext"/>
              <w:rPr>
                <w:lang w:val="en-CA"/>
              </w:rPr>
            </w:pPr>
            <w:r w:rsidRPr="00BC081A">
              <w:rPr>
                <w:lang w:val="en-CA"/>
              </w:rPr>
              <w:t>0.59</w:t>
            </w:r>
          </w:p>
        </w:tc>
        <w:tc>
          <w:tcPr>
            <w:tcW w:w="1300" w:type="dxa"/>
            <w:tcBorders>
              <w:top w:val="nil"/>
              <w:left w:val="nil"/>
              <w:bottom w:val="single" w:sz="4" w:space="0" w:color="auto"/>
              <w:right w:val="single" w:sz="4" w:space="0" w:color="auto"/>
            </w:tcBorders>
            <w:shd w:val="clear" w:color="auto" w:fill="auto"/>
            <w:noWrap/>
            <w:vAlign w:val="bottom"/>
          </w:tcPr>
          <w:p w14:paraId="60DA3BAF" w14:textId="77777777" w:rsidR="00536F6A" w:rsidRPr="00BC081A" w:rsidRDefault="00536F6A" w:rsidP="00E24EF0">
            <w:pPr>
              <w:pStyle w:val="TableContext"/>
              <w:rPr>
                <w:lang w:val="en-CA"/>
              </w:rPr>
            </w:pPr>
            <w:r w:rsidRPr="00BC081A">
              <w:rPr>
                <w:lang w:val="en-CA"/>
              </w:rPr>
              <w:t>197.00</w:t>
            </w:r>
          </w:p>
        </w:tc>
        <w:tc>
          <w:tcPr>
            <w:tcW w:w="1300" w:type="dxa"/>
            <w:tcBorders>
              <w:top w:val="nil"/>
              <w:left w:val="nil"/>
              <w:bottom w:val="single" w:sz="4" w:space="0" w:color="auto"/>
              <w:right w:val="single" w:sz="4" w:space="0" w:color="auto"/>
            </w:tcBorders>
            <w:shd w:val="clear" w:color="auto" w:fill="auto"/>
            <w:noWrap/>
            <w:vAlign w:val="bottom"/>
          </w:tcPr>
          <w:p w14:paraId="2F308C01" w14:textId="77777777" w:rsidR="00536F6A" w:rsidRPr="00BC081A" w:rsidRDefault="00536F6A" w:rsidP="00E24EF0">
            <w:pPr>
              <w:pStyle w:val="TableContext"/>
              <w:rPr>
                <w:lang w:val="en-CA"/>
              </w:rPr>
            </w:pPr>
            <w:r w:rsidRPr="00BC081A">
              <w:rPr>
                <w:lang w:val="en-CA"/>
              </w:rPr>
              <w:t>134.04</w:t>
            </w:r>
          </w:p>
        </w:tc>
        <w:tc>
          <w:tcPr>
            <w:tcW w:w="1300" w:type="dxa"/>
            <w:tcBorders>
              <w:top w:val="nil"/>
              <w:left w:val="nil"/>
              <w:bottom w:val="single" w:sz="4" w:space="0" w:color="auto"/>
              <w:right w:val="single" w:sz="4" w:space="0" w:color="auto"/>
            </w:tcBorders>
            <w:shd w:val="clear" w:color="auto" w:fill="auto"/>
            <w:noWrap/>
            <w:vAlign w:val="bottom"/>
          </w:tcPr>
          <w:p w14:paraId="7477DDA0" w14:textId="77777777" w:rsidR="00536F6A" w:rsidRPr="00BC081A" w:rsidRDefault="00536F6A" w:rsidP="00E24EF0">
            <w:pPr>
              <w:pStyle w:val="TableContext"/>
              <w:rPr>
                <w:lang w:val="en-CA"/>
              </w:rPr>
            </w:pPr>
            <w:r w:rsidRPr="00BC081A">
              <w:rPr>
                <w:lang w:val="en-CA"/>
              </w:rPr>
              <w:t>78.80</w:t>
            </w:r>
          </w:p>
        </w:tc>
        <w:tc>
          <w:tcPr>
            <w:tcW w:w="1300" w:type="dxa"/>
            <w:tcBorders>
              <w:top w:val="nil"/>
              <w:left w:val="nil"/>
              <w:bottom w:val="single" w:sz="4" w:space="0" w:color="auto"/>
              <w:right w:val="single" w:sz="4" w:space="0" w:color="auto"/>
            </w:tcBorders>
            <w:shd w:val="clear" w:color="auto" w:fill="auto"/>
            <w:noWrap/>
            <w:vAlign w:val="bottom"/>
          </w:tcPr>
          <w:p w14:paraId="357E261B" w14:textId="77777777" w:rsidR="00536F6A" w:rsidRPr="00BC081A" w:rsidRDefault="00536F6A" w:rsidP="00E24EF0">
            <w:pPr>
              <w:pStyle w:val="TableContext"/>
              <w:rPr>
                <w:lang w:val="en-CA"/>
              </w:rPr>
            </w:pPr>
            <w:r w:rsidRPr="00BC081A">
              <w:rPr>
                <w:lang w:val="en-CA"/>
              </w:rPr>
              <w:t>46.32</w:t>
            </w:r>
          </w:p>
        </w:tc>
      </w:tr>
      <w:tr w:rsidR="00536F6A" w:rsidRPr="00BC081A" w14:paraId="1123C66F"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6E15FC56" w14:textId="77777777" w:rsidR="00536F6A" w:rsidRPr="00BC081A" w:rsidRDefault="00536F6A" w:rsidP="00E24EF0">
            <w:pPr>
              <w:pStyle w:val="TableContext"/>
              <w:rPr>
                <w:lang w:val="en-CA"/>
              </w:rPr>
            </w:pPr>
            <w:r w:rsidRPr="00BC081A">
              <w:rPr>
                <w:lang w:val="en-CA"/>
              </w:rPr>
              <w:t>35</w:t>
            </w:r>
          </w:p>
        </w:tc>
        <w:tc>
          <w:tcPr>
            <w:tcW w:w="1300" w:type="dxa"/>
            <w:tcBorders>
              <w:top w:val="nil"/>
              <w:left w:val="nil"/>
              <w:bottom w:val="single" w:sz="4" w:space="0" w:color="auto"/>
              <w:right w:val="single" w:sz="4" w:space="0" w:color="auto"/>
            </w:tcBorders>
            <w:shd w:val="clear" w:color="auto" w:fill="auto"/>
            <w:noWrap/>
            <w:vAlign w:val="bottom"/>
          </w:tcPr>
          <w:p w14:paraId="5C7E670D" w14:textId="77777777" w:rsidR="00536F6A" w:rsidRPr="00BC081A" w:rsidRDefault="00536F6A" w:rsidP="00E24EF0">
            <w:pPr>
              <w:pStyle w:val="TableContext"/>
              <w:rPr>
                <w:lang w:val="en-CA"/>
              </w:rPr>
            </w:pPr>
            <w:r w:rsidRPr="00BC081A">
              <w:rPr>
                <w:lang w:val="en-CA"/>
              </w:rPr>
              <w:t>0.66</w:t>
            </w:r>
          </w:p>
        </w:tc>
        <w:tc>
          <w:tcPr>
            <w:tcW w:w="1300" w:type="dxa"/>
            <w:tcBorders>
              <w:top w:val="nil"/>
              <w:left w:val="nil"/>
              <w:bottom w:val="single" w:sz="4" w:space="0" w:color="auto"/>
              <w:right w:val="single" w:sz="4" w:space="0" w:color="auto"/>
            </w:tcBorders>
            <w:shd w:val="clear" w:color="auto" w:fill="auto"/>
            <w:noWrap/>
            <w:vAlign w:val="bottom"/>
          </w:tcPr>
          <w:p w14:paraId="784448A4"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tcPr>
          <w:p w14:paraId="6EA3C37F" w14:textId="77777777" w:rsidR="00536F6A" w:rsidRPr="00BC081A" w:rsidRDefault="00536F6A" w:rsidP="00E24EF0">
            <w:pPr>
              <w:pStyle w:val="TableContext"/>
              <w:rPr>
                <w:lang w:val="en-CA"/>
              </w:rPr>
            </w:pPr>
            <w:r w:rsidRPr="00BC081A">
              <w:rPr>
                <w:lang w:val="en-CA"/>
              </w:rPr>
              <w:t>84.00</w:t>
            </w:r>
          </w:p>
        </w:tc>
        <w:tc>
          <w:tcPr>
            <w:tcW w:w="1300" w:type="dxa"/>
            <w:tcBorders>
              <w:top w:val="nil"/>
              <w:left w:val="nil"/>
              <w:bottom w:val="single" w:sz="4" w:space="0" w:color="auto"/>
              <w:right w:val="single" w:sz="4" w:space="0" w:color="auto"/>
            </w:tcBorders>
            <w:shd w:val="clear" w:color="auto" w:fill="auto"/>
            <w:noWrap/>
            <w:vAlign w:val="bottom"/>
          </w:tcPr>
          <w:p w14:paraId="1B8FCC29" w14:textId="77777777" w:rsidR="00536F6A" w:rsidRPr="00BC081A" w:rsidRDefault="00536F6A" w:rsidP="00E24EF0">
            <w:pPr>
              <w:pStyle w:val="TableContext"/>
              <w:rPr>
                <w:lang w:val="en-CA"/>
              </w:rPr>
            </w:pPr>
            <w:r w:rsidRPr="00BC081A">
              <w:rPr>
                <w:lang w:val="en-CA"/>
              </w:rPr>
              <w:t>49.43</w:t>
            </w:r>
          </w:p>
        </w:tc>
        <w:tc>
          <w:tcPr>
            <w:tcW w:w="1300" w:type="dxa"/>
            <w:tcBorders>
              <w:top w:val="nil"/>
              <w:left w:val="nil"/>
              <w:bottom w:val="single" w:sz="4" w:space="0" w:color="auto"/>
              <w:right w:val="single" w:sz="4" w:space="0" w:color="auto"/>
            </w:tcBorders>
            <w:shd w:val="clear" w:color="auto" w:fill="auto"/>
            <w:noWrap/>
            <w:vAlign w:val="bottom"/>
          </w:tcPr>
          <w:p w14:paraId="7697FF75" w14:textId="77777777" w:rsidR="00536F6A" w:rsidRPr="00BC081A" w:rsidRDefault="00536F6A" w:rsidP="00E24EF0">
            <w:pPr>
              <w:pStyle w:val="TableContext"/>
              <w:rPr>
                <w:lang w:val="en-CA"/>
              </w:rPr>
            </w:pPr>
            <w:r w:rsidRPr="00BC081A">
              <w:rPr>
                <w:lang w:val="en-CA"/>
              </w:rPr>
              <w:t>28.37</w:t>
            </w:r>
          </w:p>
        </w:tc>
        <w:tc>
          <w:tcPr>
            <w:tcW w:w="1300" w:type="dxa"/>
            <w:tcBorders>
              <w:top w:val="nil"/>
              <w:left w:val="nil"/>
              <w:bottom w:val="single" w:sz="4" w:space="0" w:color="auto"/>
              <w:right w:val="single" w:sz="4" w:space="0" w:color="auto"/>
            </w:tcBorders>
            <w:shd w:val="clear" w:color="auto" w:fill="auto"/>
            <w:noWrap/>
            <w:vAlign w:val="bottom"/>
          </w:tcPr>
          <w:p w14:paraId="40301F0B" w14:textId="77777777" w:rsidR="00536F6A" w:rsidRPr="00BC081A" w:rsidRDefault="00536F6A" w:rsidP="00E24EF0">
            <w:pPr>
              <w:pStyle w:val="TableContext"/>
              <w:rPr>
                <w:lang w:val="en-CA"/>
              </w:rPr>
            </w:pPr>
            <w:r w:rsidRPr="00BC081A">
              <w:rPr>
                <w:lang w:val="en-CA"/>
              </w:rPr>
              <w:t>16.29</w:t>
            </w:r>
          </w:p>
        </w:tc>
      </w:tr>
      <w:tr w:rsidR="00536F6A" w:rsidRPr="00BC081A" w14:paraId="19BDF34F"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4805735" w14:textId="77777777" w:rsidR="00536F6A" w:rsidRPr="00BC081A" w:rsidRDefault="00536F6A" w:rsidP="00E24EF0">
            <w:pPr>
              <w:pStyle w:val="TableContext"/>
              <w:rPr>
                <w:lang w:val="en-CA"/>
              </w:rPr>
            </w:pPr>
            <w:r w:rsidRPr="00BC081A">
              <w:rPr>
                <w:lang w:val="en-CA"/>
              </w:rPr>
              <w:t>36</w:t>
            </w:r>
          </w:p>
        </w:tc>
        <w:tc>
          <w:tcPr>
            <w:tcW w:w="1300" w:type="dxa"/>
            <w:tcBorders>
              <w:top w:val="nil"/>
              <w:left w:val="nil"/>
              <w:bottom w:val="single" w:sz="4" w:space="0" w:color="auto"/>
              <w:right w:val="single" w:sz="4" w:space="0" w:color="auto"/>
            </w:tcBorders>
            <w:shd w:val="clear" w:color="auto" w:fill="auto"/>
            <w:noWrap/>
            <w:vAlign w:val="bottom"/>
          </w:tcPr>
          <w:p w14:paraId="6A9E5FA6" w14:textId="77777777" w:rsidR="00536F6A" w:rsidRPr="00BC081A" w:rsidRDefault="00536F6A" w:rsidP="00E24EF0">
            <w:pPr>
              <w:pStyle w:val="TableContext"/>
              <w:rPr>
                <w:lang w:val="en-CA"/>
              </w:rPr>
            </w:pPr>
            <w:r w:rsidRPr="00BC081A">
              <w:rPr>
                <w:lang w:val="en-CA"/>
              </w:rPr>
              <w:t>0.85</w:t>
            </w:r>
          </w:p>
        </w:tc>
        <w:tc>
          <w:tcPr>
            <w:tcW w:w="1300" w:type="dxa"/>
            <w:tcBorders>
              <w:top w:val="nil"/>
              <w:left w:val="nil"/>
              <w:bottom w:val="single" w:sz="4" w:space="0" w:color="auto"/>
              <w:right w:val="single" w:sz="4" w:space="0" w:color="auto"/>
            </w:tcBorders>
            <w:shd w:val="clear" w:color="auto" w:fill="auto"/>
            <w:noWrap/>
            <w:vAlign w:val="bottom"/>
          </w:tcPr>
          <w:p w14:paraId="58C84383" w14:textId="77777777" w:rsidR="00536F6A" w:rsidRPr="00BC081A" w:rsidRDefault="00536F6A" w:rsidP="00E24EF0">
            <w:pPr>
              <w:pStyle w:val="TableContext"/>
              <w:rPr>
                <w:lang w:val="en-CA"/>
              </w:rPr>
            </w:pPr>
            <w:r w:rsidRPr="00BC081A">
              <w:rPr>
                <w:lang w:val="en-CA"/>
              </w:rPr>
              <w:t>0.81</w:t>
            </w:r>
          </w:p>
        </w:tc>
        <w:tc>
          <w:tcPr>
            <w:tcW w:w="1300" w:type="dxa"/>
            <w:tcBorders>
              <w:top w:val="nil"/>
              <w:left w:val="nil"/>
              <w:bottom w:val="single" w:sz="4" w:space="0" w:color="auto"/>
              <w:right w:val="single" w:sz="4" w:space="0" w:color="auto"/>
            </w:tcBorders>
            <w:shd w:val="clear" w:color="auto" w:fill="auto"/>
            <w:noWrap/>
            <w:vAlign w:val="bottom"/>
          </w:tcPr>
          <w:p w14:paraId="15D2DB20" w14:textId="77777777" w:rsidR="00536F6A" w:rsidRPr="00BC081A" w:rsidRDefault="00536F6A" w:rsidP="00E24EF0">
            <w:pPr>
              <w:pStyle w:val="TableContext"/>
              <w:rPr>
                <w:lang w:val="en-CA"/>
              </w:rPr>
            </w:pPr>
            <w:r w:rsidRPr="00BC081A">
              <w:rPr>
                <w:lang w:val="en-CA"/>
              </w:rPr>
              <w:t>434.00</w:t>
            </w:r>
          </w:p>
        </w:tc>
        <w:tc>
          <w:tcPr>
            <w:tcW w:w="1300" w:type="dxa"/>
            <w:tcBorders>
              <w:top w:val="nil"/>
              <w:left w:val="nil"/>
              <w:bottom w:val="single" w:sz="4" w:space="0" w:color="auto"/>
              <w:right w:val="single" w:sz="4" w:space="0" w:color="auto"/>
            </w:tcBorders>
            <w:shd w:val="clear" w:color="auto" w:fill="auto"/>
            <w:noWrap/>
            <w:vAlign w:val="bottom"/>
          </w:tcPr>
          <w:p w14:paraId="552D08A1" w14:textId="77777777" w:rsidR="00536F6A" w:rsidRPr="00BC081A" w:rsidRDefault="00536F6A" w:rsidP="00E24EF0">
            <w:pPr>
              <w:pStyle w:val="TableContext"/>
              <w:rPr>
                <w:lang w:val="en-CA"/>
              </w:rPr>
            </w:pPr>
            <w:r w:rsidRPr="00BC081A">
              <w:rPr>
                <w:lang w:val="en-CA"/>
              </w:rPr>
              <w:t>260.14</w:t>
            </w:r>
          </w:p>
        </w:tc>
        <w:tc>
          <w:tcPr>
            <w:tcW w:w="1300" w:type="dxa"/>
            <w:tcBorders>
              <w:top w:val="nil"/>
              <w:left w:val="nil"/>
              <w:bottom w:val="single" w:sz="4" w:space="0" w:color="auto"/>
              <w:right w:val="single" w:sz="4" w:space="0" w:color="auto"/>
            </w:tcBorders>
            <w:shd w:val="clear" w:color="auto" w:fill="auto"/>
            <w:noWrap/>
            <w:vAlign w:val="bottom"/>
          </w:tcPr>
          <w:p w14:paraId="3BB0F68F" w14:textId="77777777" w:rsidR="00536F6A" w:rsidRPr="00BC081A" w:rsidRDefault="00536F6A" w:rsidP="00E24EF0">
            <w:pPr>
              <w:pStyle w:val="TableContext"/>
              <w:rPr>
                <w:lang w:val="en-CA"/>
              </w:rPr>
            </w:pPr>
            <w:r w:rsidRPr="00BC081A">
              <w:rPr>
                <w:lang w:val="en-CA"/>
              </w:rPr>
              <w:t>209.47</w:t>
            </w:r>
          </w:p>
        </w:tc>
        <w:tc>
          <w:tcPr>
            <w:tcW w:w="1300" w:type="dxa"/>
            <w:tcBorders>
              <w:top w:val="nil"/>
              <w:left w:val="nil"/>
              <w:bottom w:val="single" w:sz="4" w:space="0" w:color="auto"/>
              <w:right w:val="single" w:sz="4" w:space="0" w:color="auto"/>
            </w:tcBorders>
            <w:shd w:val="clear" w:color="auto" w:fill="auto"/>
            <w:noWrap/>
            <w:vAlign w:val="bottom"/>
          </w:tcPr>
          <w:p w14:paraId="0EEF9F46" w14:textId="77777777" w:rsidR="00536F6A" w:rsidRPr="00BC081A" w:rsidRDefault="00536F6A" w:rsidP="00E24EF0">
            <w:pPr>
              <w:pStyle w:val="TableContext"/>
              <w:rPr>
                <w:lang w:val="en-CA"/>
              </w:rPr>
            </w:pPr>
            <w:r w:rsidRPr="00BC081A">
              <w:rPr>
                <w:lang w:val="en-CA"/>
              </w:rPr>
              <w:t>168.66</w:t>
            </w:r>
          </w:p>
        </w:tc>
      </w:tr>
      <w:tr w:rsidR="00536F6A" w:rsidRPr="00BC081A" w14:paraId="050DBAF4"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72BDDFD" w14:textId="77777777" w:rsidR="00536F6A" w:rsidRPr="00BC081A" w:rsidRDefault="00536F6A" w:rsidP="00E24EF0">
            <w:pPr>
              <w:pStyle w:val="TableContext"/>
              <w:rPr>
                <w:lang w:val="en-CA"/>
              </w:rPr>
            </w:pPr>
            <w:r w:rsidRPr="00BC081A">
              <w:rPr>
                <w:lang w:val="en-CA"/>
              </w:rPr>
              <w:t>37</w:t>
            </w:r>
          </w:p>
        </w:tc>
        <w:tc>
          <w:tcPr>
            <w:tcW w:w="1300" w:type="dxa"/>
            <w:tcBorders>
              <w:top w:val="nil"/>
              <w:left w:val="nil"/>
              <w:bottom w:val="single" w:sz="4" w:space="0" w:color="auto"/>
              <w:right w:val="single" w:sz="4" w:space="0" w:color="auto"/>
            </w:tcBorders>
            <w:shd w:val="clear" w:color="auto" w:fill="auto"/>
            <w:noWrap/>
            <w:vAlign w:val="bottom"/>
          </w:tcPr>
          <w:p w14:paraId="58F006E7" w14:textId="77777777" w:rsidR="00536F6A" w:rsidRPr="00BC081A" w:rsidRDefault="00536F6A" w:rsidP="00E24EF0">
            <w:pPr>
              <w:pStyle w:val="TableContext"/>
              <w:rPr>
                <w:lang w:val="en-CA"/>
              </w:rPr>
            </w:pPr>
            <w:r w:rsidRPr="00BC081A">
              <w:rPr>
                <w:lang w:val="en-CA"/>
              </w:rPr>
              <w:t>0.92</w:t>
            </w:r>
          </w:p>
        </w:tc>
        <w:tc>
          <w:tcPr>
            <w:tcW w:w="1300" w:type="dxa"/>
            <w:tcBorders>
              <w:top w:val="nil"/>
              <w:left w:val="nil"/>
              <w:bottom w:val="single" w:sz="4" w:space="0" w:color="auto"/>
              <w:right w:val="single" w:sz="4" w:space="0" w:color="auto"/>
            </w:tcBorders>
            <w:shd w:val="clear" w:color="auto" w:fill="auto"/>
            <w:noWrap/>
            <w:vAlign w:val="bottom"/>
          </w:tcPr>
          <w:p w14:paraId="0B45BD83" w14:textId="77777777" w:rsidR="00536F6A" w:rsidRPr="00BC081A" w:rsidRDefault="00536F6A" w:rsidP="00E24EF0">
            <w:pPr>
              <w:pStyle w:val="TableContext"/>
              <w:rPr>
                <w:lang w:val="en-CA"/>
              </w:rPr>
            </w:pPr>
            <w:r w:rsidRPr="00BC081A">
              <w:rPr>
                <w:lang w:val="en-CA"/>
              </w:rPr>
              <w:t>1.05</w:t>
            </w:r>
          </w:p>
        </w:tc>
        <w:tc>
          <w:tcPr>
            <w:tcW w:w="1300" w:type="dxa"/>
            <w:tcBorders>
              <w:top w:val="nil"/>
              <w:left w:val="nil"/>
              <w:bottom w:val="single" w:sz="4" w:space="0" w:color="auto"/>
              <w:right w:val="single" w:sz="4" w:space="0" w:color="auto"/>
            </w:tcBorders>
            <w:shd w:val="clear" w:color="auto" w:fill="auto"/>
            <w:noWrap/>
            <w:vAlign w:val="bottom"/>
          </w:tcPr>
          <w:p w14:paraId="0D840C28" w14:textId="77777777" w:rsidR="00536F6A" w:rsidRPr="00BC081A" w:rsidRDefault="00536F6A" w:rsidP="00E24EF0">
            <w:pPr>
              <w:pStyle w:val="TableContext"/>
              <w:rPr>
                <w:lang w:val="en-CA"/>
              </w:rPr>
            </w:pPr>
            <w:r w:rsidRPr="00BC081A">
              <w:rPr>
                <w:lang w:val="en-CA"/>
              </w:rPr>
              <w:t>222.00</w:t>
            </w:r>
          </w:p>
        </w:tc>
        <w:tc>
          <w:tcPr>
            <w:tcW w:w="1300" w:type="dxa"/>
            <w:tcBorders>
              <w:top w:val="nil"/>
              <w:left w:val="nil"/>
              <w:bottom w:val="single" w:sz="4" w:space="0" w:color="auto"/>
              <w:right w:val="single" w:sz="4" w:space="0" w:color="auto"/>
            </w:tcBorders>
            <w:shd w:val="clear" w:color="auto" w:fill="auto"/>
            <w:noWrap/>
            <w:vAlign w:val="bottom"/>
          </w:tcPr>
          <w:p w14:paraId="1DD30B89" w14:textId="77777777" w:rsidR="00536F6A" w:rsidRPr="00BC081A" w:rsidRDefault="00536F6A" w:rsidP="00E24EF0">
            <w:pPr>
              <w:pStyle w:val="TableContext"/>
              <w:rPr>
                <w:lang w:val="en-CA"/>
              </w:rPr>
            </w:pPr>
            <w:r w:rsidRPr="00BC081A">
              <w:rPr>
                <w:lang w:val="en-CA"/>
              </w:rPr>
              <w:t>157.41</w:t>
            </w:r>
          </w:p>
        </w:tc>
        <w:tc>
          <w:tcPr>
            <w:tcW w:w="1300" w:type="dxa"/>
            <w:tcBorders>
              <w:top w:val="nil"/>
              <w:left w:val="nil"/>
              <w:bottom w:val="single" w:sz="4" w:space="0" w:color="auto"/>
              <w:right w:val="single" w:sz="4" w:space="0" w:color="auto"/>
            </w:tcBorders>
            <w:shd w:val="clear" w:color="auto" w:fill="auto"/>
            <w:noWrap/>
            <w:vAlign w:val="bottom"/>
          </w:tcPr>
          <w:p w14:paraId="446E58AB" w14:textId="77777777" w:rsidR="00536F6A" w:rsidRPr="00BC081A" w:rsidRDefault="00536F6A" w:rsidP="00E24EF0">
            <w:pPr>
              <w:pStyle w:val="TableContext"/>
              <w:rPr>
                <w:lang w:val="en-CA"/>
              </w:rPr>
            </w:pPr>
            <w:r w:rsidRPr="00BC081A">
              <w:rPr>
                <w:lang w:val="en-CA"/>
              </w:rPr>
              <w:t>165.61</w:t>
            </w:r>
          </w:p>
        </w:tc>
        <w:tc>
          <w:tcPr>
            <w:tcW w:w="1300" w:type="dxa"/>
            <w:tcBorders>
              <w:top w:val="nil"/>
              <w:left w:val="nil"/>
              <w:bottom w:val="single" w:sz="4" w:space="0" w:color="auto"/>
              <w:right w:val="single" w:sz="4" w:space="0" w:color="auto"/>
            </w:tcBorders>
            <w:shd w:val="clear" w:color="auto" w:fill="auto"/>
            <w:noWrap/>
            <w:vAlign w:val="bottom"/>
          </w:tcPr>
          <w:p w14:paraId="584C600D" w14:textId="77777777" w:rsidR="00536F6A" w:rsidRPr="00BC081A" w:rsidRDefault="00536F6A" w:rsidP="00E24EF0">
            <w:pPr>
              <w:pStyle w:val="TableContext"/>
              <w:rPr>
                <w:lang w:val="en-CA"/>
              </w:rPr>
            </w:pPr>
            <w:r w:rsidRPr="00BC081A">
              <w:rPr>
                <w:lang w:val="en-CA"/>
              </w:rPr>
              <w:t>174.24</w:t>
            </w:r>
          </w:p>
        </w:tc>
      </w:tr>
    </w:tbl>
    <w:p w14:paraId="7AC9C927" w14:textId="77777777" w:rsidR="00536F6A" w:rsidRPr="00BC081A" w:rsidRDefault="00536F6A" w:rsidP="00536F6A">
      <w:pPr>
        <w:pStyle w:val="TableContext"/>
        <w:rPr>
          <w:lang w:val="en-CA"/>
        </w:rPr>
      </w:pPr>
    </w:p>
    <w:p w14:paraId="303884DE" w14:textId="2B6D2A3C" w:rsidR="002847AF" w:rsidRPr="00BC081A" w:rsidRDefault="002847AF" w:rsidP="00C92D78">
      <w:pPr>
        <w:pStyle w:val="Caption"/>
      </w:pPr>
      <w:bookmarkStart w:id="138" w:name="_Toc275209777"/>
      <w:r>
        <w:t xml:space="preserve">Table </w:t>
      </w:r>
      <w:r w:rsidR="007804FF">
        <w:fldChar w:fldCharType="begin"/>
      </w:r>
      <w:r w:rsidR="007804FF">
        <w:instrText xml:space="preserve"> SEQ Table \* ARABIC </w:instrText>
      </w:r>
      <w:r w:rsidR="007804FF">
        <w:fldChar w:fldCharType="separate"/>
      </w:r>
      <w:r w:rsidR="008C71FB">
        <w:rPr>
          <w:noProof/>
        </w:rPr>
        <w:t>19</w:t>
      </w:r>
      <w:r w:rsidR="007804FF">
        <w:rPr>
          <w:noProof/>
        </w:rPr>
        <w:fldChar w:fldCharType="end"/>
      </w:r>
      <w:r>
        <w:t xml:space="preserve"> – </w:t>
      </w:r>
      <w:r w:rsidRPr="00BC081A">
        <w:t>Calculations for the studies that had correlation between flow and attitude</w:t>
      </w:r>
      <w:bookmarkEnd w:id="138"/>
    </w:p>
    <w:tbl>
      <w:tblPr>
        <w:tblW w:w="9100" w:type="dxa"/>
        <w:jc w:val="center"/>
        <w:tblInd w:w="93" w:type="dxa"/>
        <w:tblLook w:val="04A0" w:firstRow="1" w:lastRow="0" w:firstColumn="1" w:lastColumn="0" w:noHBand="0" w:noVBand="1"/>
      </w:tblPr>
      <w:tblGrid>
        <w:gridCol w:w="1300"/>
        <w:gridCol w:w="1300"/>
        <w:gridCol w:w="1300"/>
        <w:gridCol w:w="1300"/>
        <w:gridCol w:w="1300"/>
        <w:gridCol w:w="1300"/>
        <w:gridCol w:w="1300"/>
      </w:tblGrid>
      <w:tr w:rsidR="00536F6A" w:rsidRPr="00BC081A" w14:paraId="64339EFA" w14:textId="77777777" w:rsidTr="00E24EF0">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139086FB" w14:textId="77777777" w:rsidR="00536F6A" w:rsidRPr="00BC081A" w:rsidRDefault="00536F6A" w:rsidP="00E24EF0">
            <w:pPr>
              <w:pStyle w:val="TableContext"/>
              <w:rPr>
                <w:lang w:val="en-CA"/>
              </w:rPr>
            </w:pPr>
            <w:proofErr w:type="gramStart"/>
            <w:r w:rsidRPr="00BC081A">
              <w:rPr>
                <w:lang w:val="en-CA"/>
              </w:rPr>
              <w:t>k</w:t>
            </w:r>
            <w:proofErr w:type="gramEnd"/>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2A970E3F" w14:textId="77777777" w:rsidR="00536F6A" w:rsidRPr="00BC081A" w:rsidRDefault="00536F6A" w:rsidP="00E24EF0">
            <w:pPr>
              <w:pStyle w:val="TableContext"/>
              <w:rPr>
                <w:lang w:val="en-CA"/>
              </w:rPr>
            </w:pPr>
            <w:r w:rsidRPr="00BC081A">
              <w:rPr>
                <w:lang w:val="en-CA"/>
              </w:rPr>
              <w:t>ES' (ATT)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000A502C" w14:textId="77777777" w:rsidR="00536F6A" w:rsidRPr="00BC081A" w:rsidRDefault="00536F6A" w:rsidP="00E24EF0">
            <w:pPr>
              <w:pStyle w:val="TableContext"/>
              <w:rPr>
                <w:lang w:val="en-CA"/>
              </w:rPr>
            </w:pPr>
            <w:proofErr w:type="spellStart"/>
            <w:r w:rsidRPr="00BC081A">
              <w:rPr>
                <w:lang w:val="en-CA"/>
              </w:rPr>
              <w:t>ESz</w:t>
            </w:r>
            <w:proofErr w:type="spellEnd"/>
            <w:r w:rsidRPr="00BC081A">
              <w:rPr>
                <w:lang w:val="en-CA"/>
              </w:rPr>
              <w:t xml:space="preserve"> (ATT)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26B24DD3" w14:textId="77777777" w:rsidR="00536F6A" w:rsidRPr="00BC081A" w:rsidRDefault="00536F6A" w:rsidP="00E24EF0">
            <w:pPr>
              <w:pStyle w:val="TableContext"/>
              <w:rPr>
                <w:lang w:val="en-CA"/>
              </w:rPr>
            </w:pPr>
            <w:proofErr w:type="gramStart"/>
            <w:r w:rsidRPr="00BC081A">
              <w:rPr>
                <w:lang w:val="en-CA"/>
              </w:rPr>
              <w:t>w</w:t>
            </w:r>
            <w:proofErr w:type="gramEnd"/>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21606714" w14:textId="77777777" w:rsidR="00536F6A" w:rsidRPr="00BC081A" w:rsidRDefault="00536F6A" w:rsidP="00E24EF0">
            <w:pPr>
              <w:pStyle w:val="TableContext"/>
              <w:rPr>
                <w:lang w:val="en-CA"/>
              </w:rPr>
            </w:pPr>
            <w:proofErr w:type="gramStart"/>
            <w:r w:rsidRPr="00BC081A">
              <w:rPr>
                <w:lang w:val="en-CA"/>
              </w:rPr>
              <w:t>w</w:t>
            </w:r>
            <w:proofErr w:type="gramEnd"/>
            <w:r w:rsidRPr="00BC081A">
              <w:rPr>
                <w:lang w:val="en-CA"/>
              </w:rPr>
              <w:t>' (ATT)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0A5F4010" w14:textId="77777777" w:rsidR="00536F6A" w:rsidRPr="00BC081A" w:rsidRDefault="00536F6A" w:rsidP="00E24EF0">
            <w:pPr>
              <w:pStyle w:val="TableContext"/>
              <w:rPr>
                <w:lang w:val="en-CA"/>
              </w:rPr>
            </w:pPr>
            <w:proofErr w:type="gramStart"/>
            <w:r w:rsidRPr="00BC081A">
              <w:rPr>
                <w:lang w:val="en-CA"/>
              </w:rPr>
              <w:t>w</w:t>
            </w:r>
            <w:proofErr w:type="gramEnd"/>
            <w:r w:rsidRPr="00BC081A">
              <w:rPr>
                <w:lang w:val="en-CA"/>
              </w:rPr>
              <w:t>' *</w:t>
            </w:r>
            <w:proofErr w:type="spellStart"/>
            <w:r w:rsidRPr="00BC081A">
              <w:rPr>
                <w:lang w:val="en-CA"/>
              </w:rPr>
              <w:t>Esz</w:t>
            </w:r>
            <w:proofErr w:type="spellEnd"/>
            <w:r w:rsidRPr="00BC081A">
              <w:rPr>
                <w:lang w:val="en-CA"/>
              </w:rPr>
              <w:t xml:space="preserve"> (ATT)</w:t>
            </w:r>
          </w:p>
        </w:tc>
        <w:tc>
          <w:tcPr>
            <w:tcW w:w="1300" w:type="dxa"/>
            <w:tcBorders>
              <w:top w:val="single" w:sz="4" w:space="0" w:color="auto"/>
              <w:left w:val="nil"/>
              <w:bottom w:val="single" w:sz="4" w:space="0" w:color="auto"/>
              <w:right w:val="single" w:sz="4" w:space="0" w:color="auto"/>
            </w:tcBorders>
            <w:shd w:val="clear" w:color="000000" w:fill="DDD9C3" w:themeFill="background2" w:themeFillShade="E6"/>
            <w:noWrap/>
            <w:vAlign w:val="bottom"/>
            <w:hideMark/>
          </w:tcPr>
          <w:p w14:paraId="03295878" w14:textId="77777777" w:rsidR="00536F6A" w:rsidRPr="00BC081A" w:rsidRDefault="00536F6A" w:rsidP="00E24EF0">
            <w:pPr>
              <w:pStyle w:val="TableContext"/>
              <w:rPr>
                <w:lang w:val="en-CA"/>
              </w:rPr>
            </w:pPr>
            <w:proofErr w:type="gramStart"/>
            <w:r w:rsidRPr="00BC081A">
              <w:rPr>
                <w:lang w:val="en-CA"/>
              </w:rPr>
              <w:t>w</w:t>
            </w:r>
            <w:proofErr w:type="gramEnd"/>
            <w:r w:rsidRPr="00BC081A">
              <w:rPr>
                <w:lang w:val="en-CA"/>
              </w:rPr>
              <w:t>' * Esz^2 (ATT)</w:t>
            </w:r>
          </w:p>
        </w:tc>
      </w:tr>
      <w:tr w:rsidR="00536F6A" w:rsidRPr="00BC081A" w14:paraId="1D718400"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2B66BD2F" w14:textId="77777777" w:rsidR="00536F6A" w:rsidRPr="00BC081A" w:rsidRDefault="00536F6A" w:rsidP="00E24EF0">
            <w:pPr>
              <w:pStyle w:val="TableContext"/>
              <w:rPr>
                <w:lang w:val="en-CA"/>
              </w:rPr>
            </w:pPr>
            <w:r w:rsidRPr="00BC081A">
              <w:rPr>
                <w:lang w:val="en-CA"/>
              </w:rPr>
              <w:t>1</w:t>
            </w:r>
          </w:p>
        </w:tc>
        <w:tc>
          <w:tcPr>
            <w:tcW w:w="1300" w:type="dxa"/>
            <w:tcBorders>
              <w:top w:val="nil"/>
              <w:left w:val="nil"/>
              <w:bottom w:val="single" w:sz="4" w:space="0" w:color="auto"/>
              <w:right w:val="single" w:sz="4" w:space="0" w:color="auto"/>
            </w:tcBorders>
            <w:shd w:val="clear" w:color="auto" w:fill="auto"/>
            <w:noWrap/>
            <w:vAlign w:val="bottom"/>
            <w:hideMark/>
          </w:tcPr>
          <w:p w14:paraId="1F746ED2" w14:textId="77777777" w:rsidR="00536F6A" w:rsidRPr="00BC081A" w:rsidRDefault="00536F6A" w:rsidP="00E24EF0">
            <w:pPr>
              <w:pStyle w:val="TableContext"/>
              <w:rPr>
                <w:lang w:val="en-CA"/>
              </w:rPr>
            </w:pPr>
            <w:r w:rsidRPr="00BC081A">
              <w:rPr>
                <w:lang w:val="en-CA"/>
              </w:rPr>
              <w:t>0.23</w:t>
            </w:r>
          </w:p>
        </w:tc>
        <w:tc>
          <w:tcPr>
            <w:tcW w:w="1300" w:type="dxa"/>
            <w:tcBorders>
              <w:top w:val="nil"/>
              <w:left w:val="nil"/>
              <w:bottom w:val="single" w:sz="4" w:space="0" w:color="auto"/>
              <w:right w:val="single" w:sz="4" w:space="0" w:color="auto"/>
            </w:tcBorders>
            <w:shd w:val="clear" w:color="auto" w:fill="auto"/>
            <w:noWrap/>
            <w:vAlign w:val="bottom"/>
            <w:hideMark/>
          </w:tcPr>
          <w:p w14:paraId="50CC3159" w14:textId="77777777" w:rsidR="00536F6A" w:rsidRPr="00BC081A" w:rsidRDefault="00536F6A" w:rsidP="00E24EF0">
            <w:pPr>
              <w:pStyle w:val="TableContext"/>
              <w:rPr>
                <w:lang w:val="en-CA"/>
              </w:rPr>
            </w:pPr>
            <w:r w:rsidRPr="00BC081A">
              <w:rPr>
                <w:lang w:val="en-CA"/>
              </w:rPr>
              <w:t>0.21</w:t>
            </w:r>
          </w:p>
        </w:tc>
        <w:tc>
          <w:tcPr>
            <w:tcW w:w="1300" w:type="dxa"/>
            <w:tcBorders>
              <w:top w:val="nil"/>
              <w:left w:val="nil"/>
              <w:bottom w:val="single" w:sz="4" w:space="0" w:color="auto"/>
              <w:right w:val="single" w:sz="4" w:space="0" w:color="auto"/>
            </w:tcBorders>
            <w:shd w:val="clear" w:color="auto" w:fill="auto"/>
            <w:noWrap/>
            <w:vAlign w:val="bottom"/>
            <w:hideMark/>
          </w:tcPr>
          <w:p w14:paraId="448E12FA" w14:textId="77777777" w:rsidR="00536F6A" w:rsidRPr="00BC081A" w:rsidRDefault="00536F6A" w:rsidP="00E24EF0">
            <w:pPr>
              <w:pStyle w:val="TableContext"/>
              <w:rPr>
                <w:lang w:val="en-CA"/>
              </w:rPr>
            </w:pPr>
            <w:r w:rsidRPr="00BC081A">
              <w:rPr>
                <w:lang w:val="en-CA"/>
              </w:rPr>
              <w:t>230.00</w:t>
            </w:r>
          </w:p>
        </w:tc>
        <w:tc>
          <w:tcPr>
            <w:tcW w:w="1300" w:type="dxa"/>
            <w:tcBorders>
              <w:top w:val="nil"/>
              <w:left w:val="nil"/>
              <w:bottom w:val="single" w:sz="4" w:space="0" w:color="auto"/>
              <w:right w:val="single" w:sz="4" w:space="0" w:color="auto"/>
            </w:tcBorders>
            <w:shd w:val="clear" w:color="auto" w:fill="auto"/>
            <w:noWrap/>
            <w:vAlign w:val="bottom"/>
            <w:hideMark/>
          </w:tcPr>
          <w:p w14:paraId="197ACD06" w14:textId="77777777" w:rsidR="00536F6A" w:rsidRPr="00BC081A" w:rsidRDefault="00536F6A" w:rsidP="00E24EF0">
            <w:pPr>
              <w:pStyle w:val="TableContext"/>
              <w:rPr>
                <w:lang w:val="en-CA"/>
              </w:rPr>
            </w:pPr>
            <w:r w:rsidRPr="00BC081A">
              <w:rPr>
                <w:lang w:val="en-CA"/>
              </w:rPr>
              <w:t>171.06</w:t>
            </w:r>
          </w:p>
        </w:tc>
        <w:tc>
          <w:tcPr>
            <w:tcW w:w="1300" w:type="dxa"/>
            <w:tcBorders>
              <w:top w:val="nil"/>
              <w:left w:val="nil"/>
              <w:bottom w:val="single" w:sz="4" w:space="0" w:color="auto"/>
              <w:right w:val="single" w:sz="4" w:space="0" w:color="auto"/>
            </w:tcBorders>
            <w:shd w:val="clear" w:color="auto" w:fill="auto"/>
            <w:noWrap/>
            <w:vAlign w:val="bottom"/>
            <w:hideMark/>
          </w:tcPr>
          <w:p w14:paraId="17182E9B" w14:textId="77777777" w:rsidR="00536F6A" w:rsidRPr="00BC081A" w:rsidRDefault="00536F6A" w:rsidP="00E24EF0">
            <w:pPr>
              <w:pStyle w:val="TableContext"/>
              <w:rPr>
                <w:lang w:val="en-CA"/>
              </w:rPr>
            </w:pPr>
            <w:r w:rsidRPr="00BC081A">
              <w:rPr>
                <w:lang w:val="en-CA"/>
              </w:rPr>
              <w:t>35.37</w:t>
            </w:r>
          </w:p>
        </w:tc>
        <w:tc>
          <w:tcPr>
            <w:tcW w:w="1300" w:type="dxa"/>
            <w:tcBorders>
              <w:top w:val="nil"/>
              <w:left w:val="nil"/>
              <w:bottom w:val="single" w:sz="4" w:space="0" w:color="auto"/>
              <w:right w:val="single" w:sz="4" w:space="0" w:color="auto"/>
            </w:tcBorders>
            <w:shd w:val="clear" w:color="auto" w:fill="auto"/>
            <w:noWrap/>
            <w:vAlign w:val="bottom"/>
            <w:hideMark/>
          </w:tcPr>
          <w:p w14:paraId="15C0B878" w14:textId="77777777" w:rsidR="00536F6A" w:rsidRPr="00BC081A" w:rsidRDefault="00536F6A" w:rsidP="00E24EF0">
            <w:pPr>
              <w:pStyle w:val="TableContext"/>
              <w:rPr>
                <w:lang w:val="en-CA"/>
              </w:rPr>
            </w:pPr>
            <w:r w:rsidRPr="00BC081A">
              <w:rPr>
                <w:lang w:val="en-CA"/>
              </w:rPr>
              <w:t>7.31</w:t>
            </w:r>
          </w:p>
        </w:tc>
      </w:tr>
      <w:tr w:rsidR="00536F6A" w:rsidRPr="00BC081A" w14:paraId="78C91908"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26E1B484" w14:textId="77777777" w:rsidR="00536F6A" w:rsidRPr="00BC081A" w:rsidRDefault="00536F6A" w:rsidP="00E24EF0">
            <w:pPr>
              <w:pStyle w:val="TableContext"/>
              <w:rPr>
                <w:lang w:val="en-CA"/>
              </w:rPr>
            </w:pPr>
            <w:r w:rsidRPr="00BC081A">
              <w:rPr>
                <w:lang w:val="en-CA"/>
              </w:rPr>
              <w:t>2</w:t>
            </w:r>
          </w:p>
        </w:tc>
        <w:tc>
          <w:tcPr>
            <w:tcW w:w="1300" w:type="dxa"/>
            <w:tcBorders>
              <w:top w:val="nil"/>
              <w:left w:val="nil"/>
              <w:bottom w:val="single" w:sz="4" w:space="0" w:color="auto"/>
              <w:right w:val="single" w:sz="4" w:space="0" w:color="auto"/>
            </w:tcBorders>
            <w:shd w:val="clear" w:color="auto" w:fill="auto"/>
            <w:noWrap/>
            <w:vAlign w:val="bottom"/>
            <w:hideMark/>
          </w:tcPr>
          <w:p w14:paraId="3BD6EE7D" w14:textId="77777777" w:rsidR="00536F6A" w:rsidRPr="00BC081A" w:rsidRDefault="00536F6A" w:rsidP="00E24EF0">
            <w:pPr>
              <w:pStyle w:val="TableContext"/>
              <w:rPr>
                <w:lang w:val="en-CA"/>
              </w:rPr>
            </w:pPr>
            <w:r w:rsidRPr="00BC081A">
              <w:rPr>
                <w:lang w:val="en-CA"/>
              </w:rPr>
              <w:t>0.27</w:t>
            </w:r>
          </w:p>
        </w:tc>
        <w:tc>
          <w:tcPr>
            <w:tcW w:w="1300" w:type="dxa"/>
            <w:tcBorders>
              <w:top w:val="nil"/>
              <w:left w:val="nil"/>
              <w:bottom w:val="single" w:sz="4" w:space="0" w:color="auto"/>
              <w:right w:val="single" w:sz="4" w:space="0" w:color="auto"/>
            </w:tcBorders>
            <w:shd w:val="clear" w:color="auto" w:fill="auto"/>
            <w:noWrap/>
            <w:vAlign w:val="bottom"/>
            <w:hideMark/>
          </w:tcPr>
          <w:p w14:paraId="3F8816A3" w14:textId="77777777" w:rsidR="00536F6A" w:rsidRPr="00BC081A" w:rsidRDefault="00536F6A" w:rsidP="00E24EF0">
            <w:pPr>
              <w:pStyle w:val="TableContext"/>
              <w:rPr>
                <w:lang w:val="en-CA"/>
              </w:rPr>
            </w:pPr>
            <w:r w:rsidRPr="00BC081A">
              <w:rPr>
                <w:lang w:val="en-CA"/>
              </w:rPr>
              <w:t>0.25</w:t>
            </w:r>
          </w:p>
        </w:tc>
        <w:tc>
          <w:tcPr>
            <w:tcW w:w="1300" w:type="dxa"/>
            <w:tcBorders>
              <w:top w:val="nil"/>
              <w:left w:val="nil"/>
              <w:bottom w:val="single" w:sz="4" w:space="0" w:color="auto"/>
              <w:right w:val="single" w:sz="4" w:space="0" w:color="auto"/>
            </w:tcBorders>
            <w:shd w:val="clear" w:color="auto" w:fill="auto"/>
            <w:noWrap/>
            <w:vAlign w:val="bottom"/>
            <w:hideMark/>
          </w:tcPr>
          <w:p w14:paraId="62D95443" w14:textId="77777777" w:rsidR="00536F6A" w:rsidRPr="00BC081A" w:rsidRDefault="00536F6A" w:rsidP="00E24EF0">
            <w:pPr>
              <w:pStyle w:val="TableContext"/>
              <w:rPr>
                <w:lang w:val="en-CA"/>
              </w:rPr>
            </w:pPr>
            <w:r w:rsidRPr="00BC081A">
              <w:rPr>
                <w:lang w:val="en-CA"/>
              </w:rPr>
              <w:t>339.00</w:t>
            </w:r>
          </w:p>
        </w:tc>
        <w:tc>
          <w:tcPr>
            <w:tcW w:w="1300" w:type="dxa"/>
            <w:tcBorders>
              <w:top w:val="nil"/>
              <w:left w:val="nil"/>
              <w:bottom w:val="single" w:sz="4" w:space="0" w:color="auto"/>
              <w:right w:val="single" w:sz="4" w:space="0" w:color="auto"/>
            </w:tcBorders>
            <w:shd w:val="clear" w:color="auto" w:fill="auto"/>
            <w:noWrap/>
            <w:vAlign w:val="bottom"/>
            <w:hideMark/>
          </w:tcPr>
          <w:p w14:paraId="46828181" w14:textId="77777777" w:rsidR="00536F6A" w:rsidRPr="00BC081A" w:rsidRDefault="00536F6A" w:rsidP="00E24EF0">
            <w:pPr>
              <w:pStyle w:val="TableContext"/>
              <w:rPr>
                <w:lang w:val="en-CA"/>
              </w:rPr>
            </w:pPr>
            <w:r w:rsidRPr="00BC081A">
              <w:rPr>
                <w:lang w:val="en-CA"/>
              </w:rPr>
              <w:t>277.57</w:t>
            </w:r>
          </w:p>
        </w:tc>
        <w:tc>
          <w:tcPr>
            <w:tcW w:w="1300" w:type="dxa"/>
            <w:tcBorders>
              <w:top w:val="nil"/>
              <w:left w:val="nil"/>
              <w:bottom w:val="single" w:sz="4" w:space="0" w:color="auto"/>
              <w:right w:val="single" w:sz="4" w:space="0" w:color="auto"/>
            </w:tcBorders>
            <w:shd w:val="clear" w:color="auto" w:fill="auto"/>
            <w:noWrap/>
            <w:vAlign w:val="bottom"/>
            <w:hideMark/>
          </w:tcPr>
          <w:p w14:paraId="17AF12AC" w14:textId="77777777" w:rsidR="00536F6A" w:rsidRPr="00BC081A" w:rsidRDefault="00536F6A" w:rsidP="00E24EF0">
            <w:pPr>
              <w:pStyle w:val="TableContext"/>
              <w:rPr>
                <w:lang w:val="en-CA"/>
              </w:rPr>
            </w:pPr>
            <w:r w:rsidRPr="00BC081A">
              <w:rPr>
                <w:lang w:val="en-CA"/>
              </w:rPr>
              <w:t>69.30</w:t>
            </w:r>
          </w:p>
        </w:tc>
        <w:tc>
          <w:tcPr>
            <w:tcW w:w="1300" w:type="dxa"/>
            <w:tcBorders>
              <w:top w:val="nil"/>
              <w:left w:val="nil"/>
              <w:bottom w:val="single" w:sz="4" w:space="0" w:color="auto"/>
              <w:right w:val="single" w:sz="4" w:space="0" w:color="auto"/>
            </w:tcBorders>
            <w:shd w:val="clear" w:color="auto" w:fill="auto"/>
            <w:noWrap/>
            <w:vAlign w:val="bottom"/>
            <w:hideMark/>
          </w:tcPr>
          <w:p w14:paraId="326C1E09" w14:textId="77777777" w:rsidR="00536F6A" w:rsidRPr="00BC081A" w:rsidRDefault="00536F6A" w:rsidP="00E24EF0">
            <w:pPr>
              <w:pStyle w:val="TableContext"/>
              <w:rPr>
                <w:lang w:val="en-CA"/>
              </w:rPr>
            </w:pPr>
            <w:r w:rsidRPr="00BC081A">
              <w:rPr>
                <w:lang w:val="en-CA"/>
              </w:rPr>
              <w:t>17.30</w:t>
            </w:r>
          </w:p>
        </w:tc>
      </w:tr>
      <w:tr w:rsidR="00536F6A" w:rsidRPr="00BC081A" w14:paraId="13270965"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55D238F9" w14:textId="77777777" w:rsidR="00536F6A" w:rsidRPr="00BC081A" w:rsidRDefault="00536F6A" w:rsidP="00E24EF0">
            <w:pPr>
              <w:pStyle w:val="TableContext"/>
              <w:rPr>
                <w:lang w:val="en-CA"/>
              </w:rPr>
            </w:pPr>
            <w:r w:rsidRPr="00BC081A">
              <w:rPr>
                <w:lang w:val="en-CA"/>
              </w:rPr>
              <w:t>32</w:t>
            </w:r>
          </w:p>
        </w:tc>
        <w:tc>
          <w:tcPr>
            <w:tcW w:w="1300" w:type="dxa"/>
            <w:tcBorders>
              <w:top w:val="nil"/>
              <w:left w:val="nil"/>
              <w:bottom w:val="single" w:sz="4" w:space="0" w:color="auto"/>
              <w:right w:val="single" w:sz="4" w:space="0" w:color="auto"/>
            </w:tcBorders>
            <w:shd w:val="clear" w:color="auto" w:fill="auto"/>
            <w:noWrap/>
            <w:vAlign w:val="bottom"/>
          </w:tcPr>
          <w:p w14:paraId="7CE0860A" w14:textId="77777777" w:rsidR="00536F6A" w:rsidRPr="00BC081A" w:rsidRDefault="00536F6A" w:rsidP="00E24EF0">
            <w:pPr>
              <w:pStyle w:val="TableContext"/>
              <w:rPr>
                <w:lang w:val="en-CA"/>
              </w:rPr>
            </w:pPr>
            <w:r w:rsidRPr="00BC081A">
              <w:rPr>
                <w:lang w:val="en-CA"/>
              </w:rPr>
              <w:t>0.34</w:t>
            </w:r>
          </w:p>
        </w:tc>
        <w:tc>
          <w:tcPr>
            <w:tcW w:w="1300" w:type="dxa"/>
            <w:tcBorders>
              <w:top w:val="nil"/>
              <w:left w:val="nil"/>
              <w:bottom w:val="single" w:sz="4" w:space="0" w:color="auto"/>
              <w:right w:val="single" w:sz="4" w:space="0" w:color="auto"/>
            </w:tcBorders>
            <w:shd w:val="clear" w:color="auto" w:fill="auto"/>
            <w:noWrap/>
            <w:vAlign w:val="bottom"/>
          </w:tcPr>
          <w:p w14:paraId="4C8328D1" w14:textId="77777777" w:rsidR="00536F6A" w:rsidRPr="00BC081A" w:rsidRDefault="00536F6A" w:rsidP="00E24EF0">
            <w:pPr>
              <w:pStyle w:val="TableContext"/>
              <w:rPr>
                <w:lang w:val="en-CA"/>
              </w:rPr>
            </w:pPr>
            <w:r w:rsidRPr="00BC081A">
              <w:rPr>
                <w:lang w:val="en-CA"/>
              </w:rPr>
              <w:t>0.32</w:t>
            </w:r>
          </w:p>
        </w:tc>
        <w:tc>
          <w:tcPr>
            <w:tcW w:w="1300" w:type="dxa"/>
            <w:tcBorders>
              <w:top w:val="nil"/>
              <w:left w:val="nil"/>
              <w:bottom w:val="single" w:sz="4" w:space="0" w:color="auto"/>
              <w:right w:val="single" w:sz="4" w:space="0" w:color="auto"/>
            </w:tcBorders>
            <w:shd w:val="clear" w:color="auto" w:fill="auto"/>
            <w:noWrap/>
            <w:vAlign w:val="bottom"/>
          </w:tcPr>
          <w:p w14:paraId="5EC1A514" w14:textId="77777777" w:rsidR="00536F6A" w:rsidRPr="00BC081A" w:rsidRDefault="00536F6A" w:rsidP="00E24EF0">
            <w:pPr>
              <w:pStyle w:val="TableContext"/>
              <w:rPr>
                <w:lang w:val="en-CA"/>
              </w:rPr>
            </w:pPr>
            <w:r w:rsidRPr="00BC081A">
              <w:rPr>
                <w:lang w:val="en-CA"/>
              </w:rPr>
              <w:t>237.00</w:t>
            </w:r>
          </w:p>
        </w:tc>
        <w:tc>
          <w:tcPr>
            <w:tcW w:w="1300" w:type="dxa"/>
            <w:tcBorders>
              <w:top w:val="nil"/>
              <w:left w:val="nil"/>
              <w:bottom w:val="single" w:sz="4" w:space="0" w:color="auto"/>
              <w:right w:val="single" w:sz="4" w:space="0" w:color="auto"/>
            </w:tcBorders>
            <w:shd w:val="clear" w:color="auto" w:fill="auto"/>
            <w:noWrap/>
            <w:vAlign w:val="bottom"/>
          </w:tcPr>
          <w:p w14:paraId="45E6D139" w14:textId="77777777" w:rsidR="00536F6A" w:rsidRPr="00BC081A" w:rsidRDefault="00536F6A" w:rsidP="00E24EF0">
            <w:pPr>
              <w:pStyle w:val="TableContext"/>
              <w:rPr>
                <w:lang w:val="en-CA"/>
              </w:rPr>
            </w:pPr>
            <w:r w:rsidRPr="00BC081A">
              <w:rPr>
                <w:lang w:val="en-CA"/>
              </w:rPr>
              <w:t>189.84</w:t>
            </w:r>
          </w:p>
        </w:tc>
        <w:tc>
          <w:tcPr>
            <w:tcW w:w="1300" w:type="dxa"/>
            <w:tcBorders>
              <w:top w:val="nil"/>
              <w:left w:val="nil"/>
              <w:bottom w:val="single" w:sz="4" w:space="0" w:color="auto"/>
              <w:right w:val="single" w:sz="4" w:space="0" w:color="auto"/>
            </w:tcBorders>
            <w:shd w:val="clear" w:color="auto" w:fill="auto"/>
            <w:noWrap/>
            <w:vAlign w:val="bottom"/>
          </w:tcPr>
          <w:p w14:paraId="42F55332" w14:textId="77777777" w:rsidR="00536F6A" w:rsidRPr="00BC081A" w:rsidRDefault="00536F6A" w:rsidP="00E24EF0">
            <w:pPr>
              <w:pStyle w:val="TableContext"/>
              <w:rPr>
                <w:lang w:val="en-CA"/>
              </w:rPr>
            </w:pPr>
            <w:r w:rsidRPr="00BC081A">
              <w:rPr>
                <w:lang w:val="en-CA"/>
              </w:rPr>
              <w:t>59.93</w:t>
            </w:r>
          </w:p>
        </w:tc>
        <w:tc>
          <w:tcPr>
            <w:tcW w:w="1300" w:type="dxa"/>
            <w:tcBorders>
              <w:top w:val="nil"/>
              <w:left w:val="nil"/>
              <w:bottom w:val="single" w:sz="4" w:space="0" w:color="auto"/>
              <w:right w:val="single" w:sz="4" w:space="0" w:color="auto"/>
            </w:tcBorders>
            <w:shd w:val="clear" w:color="auto" w:fill="auto"/>
            <w:noWrap/>
            <w:vAlign w:val="bottom"/>
          </w:tcPr>
          <w:p w14:paraId="588576AF" w14:textId="77777777" w:rsidR="00536F6A" w:rsidRPr="00BC081A" w:rsidRDefault="00536F6A" w:rsidP="00E24EF0">
            <w:pPr>
              <w:pStyle w:val="TableContext"/>
              <w:rPr>
                <w:lang w:val="en-CA"/>
              </w:rPr>
            </w:pPr>
            <w:r w:rsidRPr="00BC081A">
              <w:rPr>
                <w:lang w:val="en-CA"/>
              </w:rPr>
              <w:t>18.92</w:t>
            </w:r>
          </w:p>
        </w:tc>
      </w:tr>
      <w:tr w:rsidR="00536F6A" w:rsidRPr="00BC081A" w14:paraId="0D334766"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5BA017CB" w14:textId="77777777" w:rsidR="00536F6A" w:rsidRPr="00BC081A" w:rsidRDefault="00536F6A" w:rsidP="00E24EF0">
            <w:pPr>
              <w:pStyle w:val="TableContext"/>
              <w:rPr>
                <w:lang w:val="en-CA"/>
              </w:rPr>
            </w:pPr>
            <w:r w:rsidRPr="00BC081A">
              <w:rPr>
                <w:lang w:val="en-CA"/>
              </w:rPr>
              <w:t>29</w:t>
            </w:r>
          </w:p>
        </w:tc>
        <w:tc>
          <w:tcPr>
            <w:tcW w:w="1300" w:type="dxa"/>
            <w:tcBorders>
              <w:top w:val="nil"/>
              <w:left w:val="nil"/>
              <w:bottom w:val="single" w:sz="4" w:space="0" w:color="auto"/>
              <w:right w:val="single" w:sz="4" w:space="0" w:color="auto"/>
            </w:tcBorders>
            <w:shd w:val="clear" w:color="auto" w:fill="auto"/>
            <w:noWrap/>
            <w:vAlign w:val="bottom"/>
            <w:hideMark/>
          </w:tcPr>
          <w:p w14:paraId="27BDB81D" w14:textId="77777777" w:rsidR="00536F6A" w:rsidRPr="00BC081A" w:rsidRDefault="00536F6A" w:rsidP="00E24EF0">
            <w:pPr>
              <w:pStyle w:val="TableContext"/>
              <w:rPr>
                <w:lang w:val="en-CA"/>
              </w:rPr>
            </w:pPr>
            <w:r w:rsidRPr="00BC081A">
              <w:rPr>
                <w:lang w:val="en-CA"/>
              </w:rPr>
              <w:t>0.61</w:t>
            </w:r>
          </w:p>
        </w:tc>
        <w:tc>
          <w:tcPr>
            <w:tcW w:w="1300" w:type="dxa"/>
            <w:tcBorders>
              <w:top w:val="nil"/>
              <w:left w:val="nil"/>
              <w:bottom w:val="single" w:sz="4" w:space="0" w:color="auto"/>
              <w:right w:val="single" w:sz="4" w:space="0" w:color="auto"/>
            </w:tcBorders>
            <w:shd w:val="clear" w:color="auto" w:fill="auto"/>
            <w:noWrap/>
            <w:vAlign w:val="bottom"/>
            <w:hideMark/>
          </w:tcPr>
          <w:p w14:paraId="344D038F" w14:textId="77777777" w:rsidR="00536F6A" w:rsidRPr="00BC081A" w:rsidRDefault="00536F6A" w:rsidP="00E24EF0">
            <w:pPr>
              <w:pStyle w:val="TableContext"/>
              <w:rPr>
                <w:lang w:val="en-CA"/>
              </w:rPr>
            </w:pPr>
            <w:r w:rsidRPr="00BC081A">
              <w:rPr>
                <w:lang w:val="en-CA"/>
              </w:rPr>
              <w:t>0.57</w:t>
            </w:r>
          </w:p>
        </w:tc>
        <w:tc>
          <w:tcPr>
            <w:tcW w:w="1300" w:type="dxa"/>
            <w:tcBorders>
              <w:top w:val="nil"/>
              <w:left w:val="nil"/>
              <w:bottom w:val="single" w:sz="4" w:space="0" w:color="auto"/>
              <w:right w:val="single" w:sz="4" w:space="0" w:color="auto"/>
            </w:tcBorders>
            <w:shd w:val="clear" w:color="auto" w:fill="auto"/>
            <w:noWrap/>
            <w:vAlign w:val="bottom"/>
            <w:hideMark/>
          </w:tcPr>
          <w:p w14:paraId="098E4252" w14:textId="77777777" w:rsidR="00536F6A" w:rsidRPr="00BC081A" w:rsidRDefault="00536F6A" w:rsidP="00E24EF0">
            <w:pPr>
              <w:pStyle w:val="TableContext"/>
              <w:rPr>
                <w:lang w:val="en-CA"/>
              </w:rPr>
            </w:pPr>
            <w:r w:rsidRPr="00BC081A">
              <w:rPr>
                <w:lang w:val="en-CA"/>
              </w:rPr>
              <w:t>625.00</w:t>
            </w:r>
          </w:p>
        </w:tc>
        <w:tc>
          <w:tcPr>
            <w:tcW w:w="1300" w:type="dxa"/>
            <w:tcBorders>
              <w:top w:val="nil"/>
              <w:left w:val="nil"/>
              <w:bottom w:val="single" w:sz="4" w:space="0" w:color="auto"/>
              <w:right w:val="single" w:sz="4" w:space="0" w:color="auto"/>
            </w:tcBorders>
            <w:shd w:val="clear" w:color="auto" w:fill="auto"/>
            <w:noWrap/>
            <w:vAlign w:val="bottom"/>
            <w:hideMark/>
          </w:tcPr>
          <w:p w14:paraId="3192EE33" w14:textId="77777777" w:rsidR="00536F6A" w:rsidRPr="00BC081A" w:rsidRDefault="00536F6A" w:rsidP="00E24EF0">
            <w:pPr>
              <w:pStyle w:val="TableContext"/>
              <w:rPr>
                <w:lang w:val="en-CA"/>
              </w:rPr>
            </w:pPr>
            <w:r w:rsidRPr="00BC081A">
              <w:rPr>
                <w:lang w:val="en-CA"/>
              </w:rPr>
              <w:t>440.94</w:t>
            </w:r>
          </w:p>
        </w:tc>
        <w:tc>
          <w:tcPr>
            <w:tcW w:w="1300" w:type="dxa"/>
            <w:tcBorders>
              <w:top w:val="nil"/>
              <w:left w:val="nil"/>
              <w:bottom w:val="single" w:sz="4" w:space="0" w:color="auto"/>
              <w:right w:val="single" w:sz="4" w:space="0" w:color="auto"/>
            </w:tcBorders>
            <w:shd w:val="clear" w:color="auto" w:fill="auto"/>
            <w:noWrap/>
            <w:vAlign w:val="bottom"/>
            <w:hideMark/>
          </w:tcPr>
          <w:p w14:paraId="6CC8ED05" w14:textId="77777777" w:rsidR="00536F6A" w:rsidRPr="00BC081A" w:rsidRDefault="00536F6A" w:rsidP="00E24EF0">
            <w:pPr>
              <w:pStyle w:val="TableContext"/>
              <w:rPr>
                <w:lang w:val="en-CA"/>
              </w:rPr>
            </w:pPr>
            <w:r w:rsidRPr="00BC081A">
              <w:rPr>
                <w:lang w:val="en-CA"/>
              </w:rPr>
              <w:t>253.09</w:t>
            </w:r>
          </w:p>
        </w:tc>
        <w:tc>
          <w:tcPr>
            <w:tcW w:w="1300" w:type="dxa"/>
            <w:tcBorders>
              <w:top w:val="nil"/>
              <w:left w:val="nil"/>
              <w:bottom w:val="single" w:sz="4" w:space="0" w:color="auto"/>
              <w:right w:val="single" w:sz="4" w:space="0" w:color="auto"/>
            </w:tcBorders>
            <w:shd w:val="clear" w:color="auto" w:fill="auto"/>
            <w:noWrap/>
            <w:vAlign w:val="bottom"/>
            <w:hideMark/>
          </w:tcPr>
          <w:p w14:paraId="7339D87E" w14:textId="77777777" w:rsidR="00536F6A" w:rsidRPr="00BC081A" w:rsidRDefault="00536F6A" w:rsidP="00E24EF0">
            <w:pPr>
              <w:pStyle w:val="TableContext"/>
              <w:rPr>
                <w:lang w:val="en-CA"/>
              </w:rPr>
            </w:pPr>
            <w:r w:rsidRPr="00BC081A">
              <w:rPr>
                <w:lang w:val="en-CA"/>
              </w:rPr>
              <w:t>145.27</w:t>
            </w:r>
          </w:p>
        </w:tc>
      </w:tr>
      <w:tr w:rsidR="00536F6A" w:rsidRPr="00BC081A" w14:paraId="411E9FFF"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0346BDA5" w14:textId="77777777" w:rsidR="00536F6A" w:rsidRPr="00BC081A" w:rsidRDefault="00536F6A" w:rsidP="00E24EF0">
            <w:pPr>
              <w:pStyle w:val="TableContext"/>
              <w:rPr>
                <w:lang w:val="en-CA"/>
              </w:rPr>
            </w:pPr>
            <w:r w:rsidRPr="00BC081A">
              <w:rPr>
                <w:lang w:val="en-CA"/>
              </w:rPr>
              <w:t>21</w:t>
            </w:r>
          </w:p>
        </w:tc>
        <w:tc>
          <w:tcPr>
            <w:tcW w:w="1300" w:type="dxa"/>
            <w:tcBorders>
              <w:top w:val="nil"/>
              <w:left w:val="nil"/>
              <w:bottom w:val="single" w:sz="4" w:space="0" w:color="auto"/>
              <w:right w:val="single" w:sz="4" w:space="0" w:color="auto"/>
            </w:tcBorders>
            <w:shd w:val="clear" w:color="auto" w:fill="auto"/>
            <w:noWrap/>
            <w:vAlign w:val="bottom"/>
            <w:hideMark/>
          </w:tcPr>
          <w:p w14:paraId="4BE60F26" w14:textId="77777777" w:rsidR="00536F6A" w:rsidRPr="00BC081A" w:rsidRDefault="00536F6A" w:rsidP="00E24EF0">
            <w:pPr>
              <w:pStyle w:val="TableContext"/>
              <w:rPr>
                <w:lang w:val="en-CA"/>
              </w:rPr>
            </w:pPr>
            <w:r w:rsidRPr="00BC081A">
              <w:rPr>
                <w:lang w:val="en-CA"/>
              </w:rPr>
              <w:t>0.68</w:t>
            </w:r>
          </w:p>
        </w:tc>
        <w:tc>
          <w:tcPr>
            <w:tcW w:w="1300" w:type="dxa"/>
            <w:tcBorders>
              <w:top w:val="nil"/>
              <w:left w:val="nil"/>
              <w:bottom w:val="single" w:sz="4" w:space="0" w:color="auto"/>
              <w:right w:val="single" w:sz="4" w:space="0" w:color="auto"/>
            </w:tcBorders>
            <w:shd w:val="clear" w:color="auto" w:fill="auto"/>
            <w:noWrap/>
            <w:vAlign w:val="bottom"/>
            <w:hideMark/>
          </w:tcPr>
          <w:p w14:paraId="53E00517" w14:textId="77777777" w:rsidR="00536F6A" w:rsidRPr="00BC081A" w:rsidRDefault="00536F6A" w:rsidP="00E24EF0">
            <w:pPr>
              <w:pStyle w:val="TableContext"/>
              <w:rPr>
                <w:lang w:val="en-CA"/>
              </w:rPr>
            </w:pPr>
            <w:r w:rsidRPr="00BC081A">
              <w:rPr>
                <w:lang w:val="en-CA"/>
              </w:rPr>
              <w:t>0.65</w:t>
            </w:r>
          </w:p>
        </w:tc>
        <w:tc>
          <w:tcPr>
            <w:tcW w:w="1300" w:type="dxa"/>
            <w:tcBorders>
              <w:top w:val="nil"/>
              <w:left w:val="nil"/>
              <w:bottom w:val="single" w:sz="4" w:space="0" w:color="auto"/>
              <w:right w:val="single" w:sz="4" w:space="0" w:color="auto"/>
            </w:tcBorders>
            <w:shd w:val="clear" w:color="auto" w:fill="auto"/>
            <w:noWrap/>
            <w:vAlign w:val="bottom"/>
            <w:hideMark/>
          </w:tcPr>
          <w:p w14:paraId="54301D7E" w14:textId="77777777" w:rsidR="00536F6A" w:rsidRPr="00BC081A" w:rsidRDefault="00536F6A" w:rsidP="00E24EF0">
            <w:pPr>
              <w:pStyle w:val="TableContext"/>
              <w:rPr>
                <w:lang w:val="en-CA"/>
              </w:rPr>
            </w:pPr>
            <w:r w:rsidRPr="00BC081A">
              <w:rPr>
                <w:lang w:val="en-CA"/>
              </w:rPr>
              <w:t>307.00</w:t>
            </w:r>
          </w:p>
        </w:tc>
        <w:tc>
          <w:tcPr>
            <w:tcW w:w="1300" w:type="dxa"/>
            <w:tcBorders>
              <w:top w:val="nil"/>
              <w:left w:val="nil"/>
              <w:bottom w:val="single" w:sz="4" w:space="0" w:color="auto"/>
              <w:right w:val="single" w:sz="4" w:space="0" w:color="auto"/>
            </w:tcBorders>
            <w:shd w:val="clear" w:color="auto" w:fill="auto"/>
            <w:noWrap/>
            <w:vAlign w:val="bottom"/>
            <w:hideMark/>
          </w:tcPr>
          <w:p w14:paraId="54E85851" w14:textId="77777777" w:rsidR="00536F6A" w:rsidRPr="00BC081A" w:rsidRDefault="00536F6A" w:rsidP="00E24EF0">
            <w:pPr>
              <w:pStyle w:val="TableContext"/>
              <w:rPr>
                <w:lang w:val="en-CA"/>
              </w:rPr>
            </w:pPr>
            <w:r w:rsidRPr="00BC081A">
              <w:rPr>
                <w:lang w:val="en-CA"/>
              </w:rPr>
              <w:t>208.02</w:t>
            </w:r>
          </w:p>
        </w:tc>
        <w:tc>
          <w:tcPr>
            <w:tcW w:w="1300" w:type="dxa"/>
            <w:tcBorders>
              <w:top w:val="nil"/>
              <w:left w:val="nil"/>
              <w:bottom w:val="single" w:sz="4" w:space="0" w:color="auto"/>
              <w:right w:val="single" w:sz="4" w:space="0" w:color="auto"/>
            </w:tcBorders>
            <w:shd w:val="clear" w:color="auto" w:fill="auto"/>
            <w:noWrap/>
            <w:vAlign w:val="bottom"/>
            <w:hideMark/>
          </w:tcPr>
          <w:p w14:paraId="70910AB1" w14:textId="77777777" w:rsidR="00536F6A" w:rsidRPr="00BC081A" w:rsidRDefault="00536F6A" w:rsidP="00E24EF0">
            <w:pPr>
              <w:pStyle w:val="TableContext"/>
              <w:rPr>
                <w:lang w:val="en-CA"/>
              </w:rPr>
            </w:pPr>
            <w:r w:rsidRPr="00BC081A">
              <w:rPr>
                <w:lang w:val="en-CA"/>
              </w:rPr>
              <w:t>134.28</w:t>
            </w:r>
          </w:p>
        </w:tc>
        <w:tc>
          <w:tcPr>
            <w:tcW w:w="1300" w:type="dxa"/>
            <w:tcBorders>
              <w:top w:val="nil"/>
              <w:left w:val="nil"/>
              <w:bottom w:val="single" w:sz="4" w:space="0" w:color="auto"/>
              <w:right w:val="single" w:sz="4" w:space="0" w:color="auto"/>
            </w:tcBorders>
            <w:shd w:val="clear" w:color="auto" w:fill="auto"/>
            <w:noWrap/>
            <w:vAlign w:val="bottom"/>
            <w:hideMark/>
          </w:tcPr>
          <w:p w14:paraId="07541E64" w14:textId="77777777" w:rsidR="00536F6A" w:rsidRPr="00BC081A" w:rsidRDefault="00536F6A" w:rsidP="00E24EF0">
            <w:pPr>
              <w:pStyle w:val="TableContext"/>
              <w:rPr>
                <w:lang w:val="en-CA"/>
              </w:rPr>
            </w:pPr>
            <w:r w:rsidRPr="00BC081A">
              <w:rPr>
                <w:lang w:val="en-CA"/>
              </w:rPr>
              <w:t>86.67</w:t>
            </w:r>
          </w:p>
        </w:tc>
      </w:tr>
      <w:tr w:rsidR="00536F6A" w:rsidRPr="00BC081A" w14:paraId="28A4DF7C"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4EECBFEB" w14:textId="77777777" w:rsidR="00536F6A" w:rsidRPr="00BC081A" w:rsidRDefault="00536F6A" w:rsidP="00E24EF0">
            <w:pPr>
              <w:pStyle w:val="TableContext"/>
              <w:rPr>
                <w:lang w:val="en-CA"/>
              </w:rPr>
            </w:pPr>
            <w:r w:rsidRPr="00BC081A">
              <w:rPr>
                <w:lang w:val="en-CA"/>
              </w:rPr>
              <w:t>22</w:t>
            </w:r>
          </w:p>
        </w:tc>
        <w:tc>
          <w:tcPr>
            <w:tcW w:w="1300" w:type="dxa"/>
            <w:tcBorders>
              <w:top w:val="nil"/>
              <w:left w:val="nil"/>
              <w:bottom w:val="single" w:sz="4" w:space="0" w:color="auto"/>
              <w:right w:val="single" w:sz="4" w:space="0" w:color="auto"/>
            </w:tcBorders>
            <w:shd w:val="clear" w:color="auto" w:fill="auto"/>
            <w:noWrap/>
            <w:vAlign w:val="bottom"/>
            <w:hideMark/>
          </w:tcPr>
          <w:p w14:paraId="6B8B82BE" w14:textId="77777777" w:rsidR="00536F6A" w:rsidRPr="00BC081A" w:rsidRDefault="00536F6A" w:rsidP="00E24EF0">
            <w:pPr>
              <w:pStyle w:val="TableContext"/>
              <w:rPr>
                <w:lang w:val="en-CA"/>
              </w:rPr>
            </w:pPr>
            <w:r w:rsidRPr="00BC081A">
              <w:rPr>
                <w:lang w:val="en-CA"/>
              </w:rPr>
              <w:t>0.48</w:t>
            </w:r>
          </w:p>
        </w:tc>
        <w:tc>
          <w:tcPr>
            <w:tcW w:w="1300" w:type="dxa"/>
            <w:tcBorders>
              <w:top w:val="nil"/>
              <w:left w:val="nil"/>
              <w:bottom w:val="single" w:sz="4" w:space="0" w:color="auto"/>
              <w:right w:val="single" w:sz="4" w:space="0" w:color="auto"/>
            </w:tcBorders>
            <w:shd w:val="clear" w:color="auto" w:fill="auto"/>
            <w:noWrap/>
            <w:vAlign w:val="bottom"/>
            <w:hideMark/>
          </w:tcPr>
          <w:p w14:paraId="6223B433" w14:textId="77777777" w:rsidR="00536F6A" w:rsidRPr="00BC081A" w:rsidRDefault="00536F6A" w:rsidP="00E24EF0">
            <w:pPr>
              <w:pStyle w:val="TableContext"/>
              <w:rPr>
                <w:lang w:val="en-CA"/>
              </w:rPr>
            </w:pPr>
            <w:r w:rsidRPr="00BC081A">
              <w:rPr>
                <w:lang w:val="en-CA"/>
              </w:rPr>
              <w:t>0.46</w:t>
            </w:r>
          </w:p>
        </w:tc>
        <w:tc>
          <w:tcPr>
            <w:tcW w:w="1300" w:type="dxa"/>
            <w:tcBorders>
              <w:top w:val="nil"/>
              <w:left w:val="nil"/>
              <w:bottom w:val="single" w:sz="4" w:space="0" w:color="auto"/>
              <w:right w:val="single" w:sz="4" w:space="0" w:color="auto"/>
            </w:tcBorders>
            <w:shd w:val="clear" w:color="auto" w:fill="auto"/>
            <w:noWrap/>
            <w:vAlign w:val="bottom"/>
            <w:hideMark/>
          </w:tcPr>
          <w:p w14:paraId="0EC4E810" w14:textId="77777777" w:rsidR="00536F6A" w:rsidRPr="00BC081A" w:rsidRDefault="00536F6A" w:rsidP="00E24EF0">
            <w:pPr>
              <w:pStyle w:val="TableContext"/>
              <w:rPr>
                <w:lang w:val="en-CA"/>
              </w:rPr>
            </w:pPr>
            <w:r w:rsidRPr="00BC081A">
              <w:rPr>
                <w:lang w:val="en-CA"/>
              </w:rPr>
              <w:t>221.00</w:t>
            </w:r>
          </w:p>
        </w:tc>
        <w:tc>
          <w:tcPr>
            <w:tcW w:w="1300" w:type="dxa"/>
            <w:tcBorders>
              <w:top w:val="nil"/>
              <w:left w:val="nil"/>
              <w:bottom w:val="single" w:sz="4" w:space="0" w:color="auto"/>
              <w:right w:val="single" w:sz="4" w:space="0" w:color="auto"/>
            </w:tcBorders>
            <w:shd w:val="clear" w:color="auto" w:fill="auto"/>
            <w:noWrap/>
            <w:vAlign w:val="bottom"/>
            <w:hideMark/>
          </w:tcPr>
          <w:p w14:paraId="330777FE" w14:textId="77777777" w:rsidR="00536F6A" w:rsidRPr="00BC081A" w:rsidRDefault="00536F6A" w:rsidP="00E24EF0">
            <w:pPr>
              <w:pStyle w:val="TableContext"/>
              <w:rPr>
                <w:lang w:val="en-CA"/>
              </w:rPr>
            </w:pPr>
            <w:r w:rsidRPr="00BC081A">
              <w:rPr>
                <w:lang w:val="en-CA"/>
              </w:rPr>
              <w:t>166.92</w:t>
            </w:r>
          </w:p>
        </w:tc>
        <w:tc>
          <w:tcPr>
            <w:tcW w:w="1300" w:type="dxa"/>
            <w:tcBorders>
              <w:top w:val="nil"/>
              <w:left w:val="nil"/>
              <w:bottom w:val="single" w:sz="4" w:space="0" w:color="auto"/>
              <w:right w:val="single" w:sz="4" w:space="0" w:color="auto"/>
            </w:tcBorders>
            <w:shd w:val="clear" w:color="auto" w:fill="auto"/>
            <w:noWrap/>
            <w:vAlign w:val="bottom"/>
            <w:hideMark/>
          </w:tcPr>
          <w:p w14:paraId="40931E5F" w14:textId="77777777" w:rsidR="00536F6A" w:rsidRPr="00BC081A" w:rsidRDefault="00536F6A" w:rsidP="00E24EF0">
            <w:pPr>
              <w:pStyle w:val="TableContext"/>
              <w:rPr>
                <w:lang w:val="en-CA"/>
              </w:rPr>
            </w:pPr>
            <w:r w:rsidRPr="00BC081A">
              <w:rPr>
                <w:lang w:val="en-CA"/>
              </w:rPr>
              <w:t>76.22</w:t>
            </w:r>
          </w:p>
        </w:tc>
        <w:tc>
          <w:tcPr>
            <w:tcW w:w="1300" w:type="dxa"/>
            <w:tcBorders>
              <w:top w:val="nil"/>
              <w:left w:val="nil"/>
              <w:bottom w:val="single" w:sz="4" w:space="0" w:color="auto"/>
              <w:right w:val="single" w:sz="4" w:space="0" w:color="auto"/>
            </w:tcBorders>
            <w:shd w:val="clear" w:color="auto" w:fill="auto"/>
            <w:noWrap/>
            <w:vAlign w:val="bottom"/>
            <w:hideMark/>
          </w:tcPr>
          <w:p w14:paraId="6700E6D8" w14:textId="77777777" w:rsidR="00536F6A" w:rsidRPr="00BC081A" w:rsidRDefault="00536F6A" w:rsidP="00E24EF0">
            <w:pPr>
              <w:pStyle w:val="TableContext"/>
              <w:rPr>
                <w:lang w:val="en-CA"/>
              </w:rPr>
            </w:pPr>
            <w:r w:rsidRPr="00BC081A">
              <w:rPr>
                <w:lang w:val="en-CA"/>
              </w:rPr>
              <w:t>34.81</w:t>
            </w:r>
          </w:p>
        </w:tc>
      </w:tr>
      <w:tr w:rsidR="00536F6A" w:rsidRPr="00BC081A" w14:paraId="0162C02F"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581E6AEB" w14:textId="77777777" w:rsidR="00536F6A" w:rsidRPr="00BC081A" w:rsidRDefault="00536F6A" w:rsidP="00E24EF0">
            <w:pPr>
              <w:pStyle w:val="TableContext"/>
              <w:rPr>
                <w:lang w:val="en-CA"/>
              </w:rPr>
            </w:pPr>
            <w:r w:rsidRPr="00BC081A">
              <w:rPr>
                <w:lang w:val="en-CA"/>
              </w:rPr>
              <w:t>23</w:t>
            </w:r>
          </w:p>
        </w:tc>
        <w:tc>
          <w:tcPr>
            <w:tcW w:w="1300" w:type="dxa"/>
            <w:tcBorders>
              <w:top w:val="nil"/>
              <w:left w:val="nil"/>
              <w:bottom w:val="single" w:sz="4" w:space="0" w:color="auto"/>
              <w:right w:val="single" w:sz="4" w:space="0" w:color="auto"/>
            </w:tcBorders>
            <w:shd w:val="clear" w:color="auto" w:fill="auto"/>
            <w:noWrap/>
            <w:vAlign w:val="bottom"/>
          </w:tcPr>
          <w:p w14:paraId="21F88F2B" w14:textId="77777777" w:rsidR="00536F6A" w:rsidRPr="00BC081A" w:rsidRDefault="00536F6A" w:rsidP="00E24EF0">
            <w:pPr>
              <w:pStyle w:val="TableContext"/>
              <w:rPr>
                <w:lang w:val="en-CA"/>
              </w:rPr>
            </w:pPr>
            <w:r w:rsidRPr="00BC081A">
              <w:rPr>
                <w:lang w:val="en-CA"/>
              </w:rPr>
              <w:t>0.78</w:t>
            </w:r>
          </w:p>
        </w:tc>
        <w:tc>
          <w:tcPr>
            <w:tcW w:w="1300" w:type="dxa"/>
            <w:tcBorders>
              <w:top w:val="nil"/>
              <w:left w:val="nil"/>
              <w:bottom w:val="single" w:sz="4" w:space="0" w:color="auto"/>
              <w:right w:val="single" w:sz="4" w:space="0" w:color="auto"/>
            </w:tcBorders>
            <w:shd w:val="clear" w:color="auto" w:fill="auto"/>
            <w:noWrap/>
            <w:vAlign w:val="bottom"/>
          </w:tcPr>
          <w:p w14:paraId="57991746" w14:textId="77777777" w:rsidR="00536F6A" w:rsidRPr="00BC081A" w:rsidRDefault="00536F6A" w:rsidP="00E24EF0">
            <w:pPr>
              <w:pStyle w:val="TableContext"/>
              <w:rPr>
                <w:lang w:val="en-CA"/>
              </w:rPr>
            </w:pPr>
            <w:r w:rsidRPr="00BC081A">
              <w:rPr>
                <w:lang w:val="en-CA"/>
              </w:rPr>
              <w:t>0.90</w:t>
            </w:r>
          </w:p>
        </w:tc>
        <w:tc>
          <w:tcPr>
            <w:tcW w:w="1300" w:type="dxa"/>
            <w:tcBorders>
              <w:top w:val="nil"/>
              <w:left w:val="nil"/>
              <w:bottom w:val="single" w:sz="4" w:space="0" w:color="auto"/>
              <w:right w:val="single" w:sz="4" w:space="0" w:color="auto"/>
            </w:tcBorders>
            <w:shd w:val="clear" w:color="auto" w:fill="auto"/>
            <w:noWrap/>
            <w:vAlign w:val="bottom"/>
          </w:tcPr>
          <w:p w14:paraId="271EAA2E" w14:textId="77777777" w:rsidR="00536F6A" w:rsidRPr="00BC081A" w:rsidRDefault="00536F6A" w:rsidP="00E24EF0">
            <w:pPr>
              <w:pStyle w:val="TableContext"/>
              <w:rPr>
                <w:lang w:val="en-CA"/>
              </w:rPr>
            </w:pPr>
            <w:r w:rsidRPr="00BC081A">
              <w:rPr>
                <w:lang w:val="en-CA"/>
              </w:rPr>
              <w:t>277.00</w:t>
            </w:r>
          </w:p>
        </w:tc>
        <w:tc>
          <w:tcPr>
            <w:tcW w:w="1300" w:type="dxa"/>
            <w:tcBorders>
              <w:top w:val="nil"/>
              <w:left w:val="nil"/>
              <w:bottom w:val="single" w:sz="4" w:space="0" w:color="auto"/>
              <w:right w:val="single" w:sz="4" w:space="0" w:color="auto"/>
            </w:tcBorders>
            <w:shd w:val="clear" w:color="auto" w:fill="auto"/>
            <w:noWrap/>
            <w:vAlign w:val="bottom"/>
          </w:tcPr>
          <w:p w14:paraId="5E7360B4" w14:textId="77777777" w:rsidR="00536F6A" w:rsidRPr="00BC081A" w:rsidRDefault="00536F6A" w:rsidP="00E24EF0">
            <w:pPr>
              <w:pStyle w:val="TableContext"/>
              <w:rPr>
                <w:lang w:val="en-CA"/>
              </w:rPr>
            </w:pPr>
            <w:r w:rsidRPr="00BC081A">
              <w:rPr>
                <w:lang w:val="en-CA"/>
              </w:rPr>
              <w:t>231.85</w:t>
            </w:r>
          </w:p>
        </w:tc>
        <w:tc>
          <w:tcPr>
            <w:tcW w:w="1300" w:type="dxa"/>
            <w:tcBorders>
              <w:top w:val="nil"/>
              <w:left w:val="nil"/>
              <w:bottom w:val="single" w:sz="4" w:space="0" w:color="auto"/>
              <w:right w:val="single" w:sz="4" w:space="0" w:color="auto"/>
            </w:tcBorders>
            <w:shd w:val="clear" w:color="auto" w:fill="auto"/>
            <w:noWrap/>
            <w:vAlign w:val="bottom"/>
          </w:tcPr>
          <w:p w14:paraId="0B51C9DD" w14:textId="77777777" w:rsidR="00536F6A" w:rsidRPr="00BC081A" w:rsidRDefault="00536F6A" w:rsidP="00E24EF0">
            <w:pPr>
              <w:pStyle w:val="TableContext"/>
              <w:rPr>
                <w:lang w:val="en-CA"/>
              </w:rPr>
            </w:pPr>
            <w:r w:rsidRPr="00BC081A">
              <w:rPr>
                <w:lang w:val="en-CA"/>
              </w:rPr>
              <w:t>209.81</w:t>
            </w:r>
          </w:p>
        </w:tc>
        <w:tc>
          <w:tcPr>
            <w:tcW w:w="1300" w:type="dxa"/>
            <w:tcBorders>
              <w:top w:val="nil"/>
              <w:left w:val="nil"/>
              <w:bottom w:val="single" w:sz="4" w:space="0" w:color="auto"/>
              <w:right w:val="single" w:sz="4" w:space="0" w:color="auto"/>
            </w:tcBorders>
            <w:shd w:val="clear" w:color="auto" w:fill="auto"/>
            <w:noWrap/>
            <w:vAlign w:val="bottom"/>
          </w:tcPr>
          <w:p w14:paraId="5BB9C90C" w14:textId="77777777" w:rsidR="00536F6A" w:rsidRPr="00BC081A" w:rsidRDefault="00536F6A" w:rsidP="00E24EF0">
            <w:pPr>
              <w:pStyle w:val="TableContext"/>
              <w:rPr>
                <w:lang w:val="en-CA"/>
              </w:rPr>
            </w:pPr>
            <w:r w:rsidRPr="00BC081A">
              <w:rPr>
                <w:lang w:val="en-CA"/>
              </w:rPr>
              <w:t>189.86</w:t>
            </w:r>
          </w:p>
        </w:tc>
      </w:tr>
      <w:tr w:rsidR="00536F6A" w:rsidRPr="00BC081A" w14:paraId="18464C79"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447370FD" w14:textId="77777777" w:rsidR="00536F6A" w:rsidRPr="00BC081A" w:rsidRDefault="00536F6A" w:rsidP="00E24EF0">
            <w:pPr>
              <w:pStyle w:val="TableContext"/>
              <w:rPr>
                <w:lang w:val="en-CA"/>
              </w:rPr>
            </w:pPr>
            <w:r w:rsidRPr="00BC081A">
              <w:rPr>
                <w:lang w:val="en-CA"/>
              </w:rPr>
              <w:t>28</w:t>
            </w:r>
          </w:p>
        </w:tc>
        <w:tc>
          <w:tcPr>
            <w:tcW w:w="1300" w:type="dxa"/>
            <w:tcBorders>
              <w:top w:val="nil"/>
              <w:left w:val="nil"/>
              <w:bottom w:val="single" w:sz="4" w:space="0" w:color="auto"/>
              <w:right w:val="single" w:sz="4" w:space="0" w:color="auto"/>
            </w:tcBorders>
            <w:shd w:val="clear" w:color="auto" w:fill="auto"/>
            <w:noWrap/>
            <w:vAlign w:val="bottom"/>
          </w:tcPr>
          <w:p w14:paraId="1BC2704E" w14:textId="77777777" w:rsidR="00536F6A" w:rsidRPr="00BC081A" w:rsidRDefault="00536F6A" w:rsidP="00E24EF0">
            <w:pPr>
              <w:pStyle w:val="TableContext"/>
              <w:rPr>
                <w:lang w:val="en-CA"/>
              </w:rPr>
            </w:pPr>
            <w:r w:rsidRPr="00BC081A">
              <w:rPr>
                <w:lang w:val="en-CA"/>
              </w:rPr>
              <w:t>0.94</w:t>
            </w:r>
          </w:p>
        </w:tc>
        <w:tc>
          <w:tcPr>
            <w:tcW w:w="1300" w:type="dxa"/>
            <w:tcBorders>
              <w:top w:val="nil"/>
              <w:left w:val="nil"/>
              <w:bottom w:val="single" w:sz="4" w:space="0" w:color="auto"/>
              <w:right w:val="single" w:sz="4" w:space="0" w:color="auto"/>
            </w:tcBorders>
            <w:shd w:val="clear" w:color="auto" w:fill="auto"/>
            <w:noWrap/>
            <w:vAlign w:val="bottom"/>
          </w:tcPr>
          <w:p w14:paraId="0D5B2FD7" w14:textId="77777777" w:rsidR="00536F6A" w:rsidRPr="00BC081A" w:rsidRDefault="00536F6A" w:rsidP="00E24EF0">
            <w:pPr>
              <w:pStyle w:val="TableContext"/>
              <w:rPr>
                <w:lang w:val="en-CA"/>
              </w:rPr>
            </w:pPr>
            <w:r w:rsidRPr="00BC081A">
              <w:rPr>
                <w:lang w:val="en-CA"/>
              </w:rPr>
              <w:t>0.97</w:t>
            </w:r>
          </w:p>
        </w:tc>
        <w:tc>
          <w:tcPr>
            <w:tcW w:w="1300" w:type="dxa"/>
            <w:tcBorders>
              <w:top w:val="nil"/>
              <w:left w:val="nil"/>
              <w:bottom w:val="single" w:sz="4" w:space="0" w:color="auto"/>
              <w:right w:val="single" w:sz="4" w:space="0" w:color="auto"/>
            </w:tcBorders>
            <w:shd w:val="clear" w:color="auto" w:fill="auto"/>
            <w:noWrap/>
            <w:vAlign w:val="bottom"/>
          </w:tcPr>
          <w:p w14:paraId="7E46F3DD" w14:textId="77777777" w:rsidR="00536F6A" w:rsidRPr="00BC081A" w:rsidRDefault="00536F6A" w:rsidP="00E24EF0">
            <w:pPr>
              <w:pStyle w:val="TableContext"/>
              <w:rPr>
                <w:lang w:val="en-CA"/>
              </w:rPr>
            </w:pPr>
            <w:r w:rsidRPr="00BC081A">
              <w:rPr>
                <w:lang w:val="en-CA"/>
              </w:rPr>
              <w:t>1701.00</w:t>
            </w:r>
          </w:p>
        </w:tc>
        <w:tc>
          <w:tcPr>
            <w:tcW w:w="1300" w:type="dxa"/>
            <w:tcBorders>
              <w:top w:val="nil"/>
              <w:left w:val="nil"/>
              <w:bottom w:val="single" w:sz="4" w:space="0" w:color="auto"/>
              <w:right w:val="single" w:sz="4" w:space="0" w:color="auto"/>
            </w:tcBorders>
            <w:shd w:val="clear" w:color="auto" w:fill="auto"/>
            <w:noWrap/>
            <w:vAlign w:val="bottom"/>
          </w:tcPr>
          <w:p w14:paraId="03065E4C" w14:textId="77777777" w:rsidR="00536F6A" w:rsidRPr="00BC081A" w:rsidRDefault="00536F6A" w:rsidP="00E24EF0">
            <w:pPr>
              <w:pStyle w:val="TableContext"/>
              <w:rPr>
                <w:lang w:val="en-CA"/>
              </w:rPr>
            </w:pPr>
            <w:r w:rsidRPr="00BC081A">
              <w:rPr>
                <w:lang w:val="en-CA"/>
              </w:rPr>
              <w:t>1062.78</w:t>
            </w:r>
          </w:p>
        </w:tc>
        <w:tc>
          <w:tcPr>
            <w:tcW w:w="1300" w:type="dxa"/>
            <w:tcBorders>
              <w:top w:val="nil"/>
              <w:left w:val="nil"/>
              <w:bottom w:val="single" w:sz="4" w:space="0" w:color="auto"/>
              <w:right w:val="single" w:sz="4" w:space="0" w:color="auto"/>
            </w:tcBorders>
            <w:shd w:val="clear" w:color="auto" w:fill="auto"/>
            <w:noWrap/>
            <w:vAlign w:val="bottom"/>
          </w:tcPr>
          <w:p w14:paraId="265C4A93" w14:textId="77777777" w:rsidR="00536F6A" w:rsidRPr="00BC081A" w:rsidRDefault="00536F6A" w:rsidP="00E24EF0">
            <w:pPr>
              <w:pStyle w:val="TableContext"/>
              <w:rPr>
                <w:lang w:val="en-CA"/>
              </w:rPr>
            </w:pPr>
            <w:r w:rsidRPr="00BC081A">
              <w:rPr>
                <w:lang w:val="en-CA"/>
              </w:rPr>
              <w:t>1030.36</w:t>
            </w:r>
          </w:p>
        </w:tc>
        <w:tc>
          <w:tcPr>
            <w:tcW w:w="1300" w:type="dxa"/>
            <w:tcBorders>
              <w:top w:val="nil"/>
              <w:left w:val="nil"/>
              <w:bottom w:val="single" w:sz="4" w:space="0" w:color="auto"/>
              <w:right w:val="single" w:sz="4" w:space="0" w:color="auto"/>
            </w:tcBorders>
            <w:shd w:val="clear" w:color="auto" w:fill="auto"/>
            <w:noWrap/>
            <w:vAlign w:val="bottom"/>
          </w:tcPr>
          <w:p w14:paraId="3DA5AF63" w14:textId="77777777" w:rsidR="00536F6A" w:rsidRPr="00BC081A" w:rsidRDefault="00536F6A" w:rsidP="00E24EF0">
            <w:pPr>
              <w:pStyle w:val="TableContext"/>
              <w:rPr>
                <w:lang w:val="en-CA"/>
              </w:rPr>
            </w:pPr>
            <w:r w:rsidRPr="00BC081A">
              <w:rPr>
                <w:lang w:val="en-CA"/>
              </w:rPr>
              <w:t>998.92</w:t>
            </w:r>
          </w:p>
        </w:tc>
      </w:tr>
      <w:tr w:rsidR="00536F6A" w:rsidRPr="00BC081A" w14:paraId="6D0663E5"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5BF079D3" w14:textId="77777777" w:rsidR="00536F6A" w:rsidRPr="00BC081A" w:rsidRDefault="00536F6A" w:rsidP="00E24EF0">
            <w:pPr>
              <w:pStyle w:val="TableContext"/>
              <w:rPr>
                <w:lang w:val="en-CA"/>
              </w:rPr>
            </w:pPr>
            <w:r w:rsidRPr="00BC081A">
              <w:rPr>
                <w:lang w:val="en-CA"/>
              </w:rPr>
              <w:t>4</w:t>
            </w:r>
          </w:p>
        </w:tc>
        <w:tc>
          <w:tcPr>
            <w:tcW w:w="1300" w:type="dxa"/>
            <w:tcBorders>
              <w:top w:val="nil"/>
              <w:left w:val="nil"/>
              <w:bottom w:val="single" w:sz="4" w:space="0" w:color="auto"/>
              <w:right w:val="single" w:sz="4" w:space="0" w:color="auto"/>
            </w:tcBorders>
            <w:shd w:val="clear" w:color="auto" w:fill="auto"/>
            <w:noWrap/>
            <w:vAlign w:val="bottom"/>
          </w:tcPr>
          <w:p w14:paraId="337E7283" w14:textId="77777777" w:rsidR="00536F6A" w:rsidRPr="00BC081A" w:rsidRDefault="00536F6A" w:rsidP="00E24EF0">
            <w:pPr>
              <w:pStyle w:val="TableContext"/>
              <w:rPr>
                <w:lang w:val="en-CA"/>
              </w:rPr>
            </w:pPr>
            <w:r w:rsidRPr="00BC081A">
              <w:rPr>
                <w:lang w:val="en-CA"/>
              </w:rPr>
              <w:t>0.46</w:t>
            </w:r>
          </w:p>
        </w:tc>
        <w:tc>
          <w:tcPr>
            <w:tcW w:w="1300" w:type="dxa"/>
            <w:tcBorders>
              <w:top w:val="nil"/>
              <w:left w:val="nil"/>
              <w:bottom w:val="single" w:sz="4" w:space="0" w:color="auto"/>
              <w:right w:val="single" w:sz="4" w:space="0" w:color="auto"/>
            </w:tcBorders>
            <w:shd w:val="clear" w:color="auto" w:fill="auto"/>
            <w:noWrap/>
            <w:vAlign w:val="bottom"/>
          </w:tcPr>
          <w:p w14:paraId="14FBE3C9" w14:textId="77777777" w:rsidR="00536F6A" w:rsidRPr="00BC081A" w:rsidRDefault="00536F6A" w:rsidP="00E24EF0">
            <w:pPr>
              <w:pStyle w:val="TableContext"/>
              <w:rPr>
                <w:lang w:val="en-CA"/>
              </w:rPr>
            </w:pPr>
            <w:r w:rsidRPr="00BC081A">
              <w:rPr>
                <w:lang w:val="en-CA"/>
              </w:rPr>
              <w:t>0.42</w:t>
            </w:r>
          </w:p>
        </w:tc>
        <w:tc>
          <w:tcPr>
            <w:tcW w:w="1300" w:type="dxa"/>
            <w:tcBorders>
              <w:top w:val="nil"/>
              <w:left w:val="nil"/>
              <w:bottom w:val="single" w:sz="4" w:space="0" w:color="auto"/>
              <w:right w:val="single" w:sz="4" w:space="0" w:color="auto"/>
            </w:tcBorders>
            <w:shd w:val="clear" w:color="auto" w:fill="auto"/>
            <w:noWrap/>
            <w:vAlign w:val="bottom"/>
          </w:tcPr>
          <w:p w14:paraId="1E5E417B" w14:textId="77777777" w:rsidR="00536F6A" w:rsidRPr="00BC081A" w:rsidRDefault="00536F6A" w:rsidP="00E24EF0">
            <w:pPr>
              <w:pStyle w:val="TableContext"/>
              <w:rPr>
                <w:lang w:val="en-CA"/>
              </w:rPr>
            </w:pPr>
            <w:r w:rsidRPr="00BC081A">
              <w:rPr>
                <w:lang w:val="en-CA"/>
              </w:rPr>
              <w:t>99.00</w:t>
            </w:r>
          </w:p>
        </w:tc>
        <w:tc>
          <w:tcPr>
            <w:tcW w:w="1300" w:type="dxa"/>
            <w:tcBorders>
              <w:top w:val="nil"/>
              <w:left w:val="nil"/>
              <w:bottom w:val="single" w:sz="4" w:space="0" w:color="auto"/>
              <w:right w:val="single" w:sz="4" w:space="0" w:color="auto"/>
            </w:tcBorders>
            <w:shd w:val="clear" w:color="auto" w:fill="auto"/>
            <w:noWrap/>
            <w:vAlign w:val="bottom"/>
          </w:tcPr>
          <w:p w14:paraId="2102CCA6" w14:textId="77777777" w:rsidR="00536F6A" w:rsidRPr="00BC081A" w:rsidRDefault="00536F6A" w:rsidP="00E24EF0">
            <w:pPr>
              <w:pStyle w:val="TableContext"/>
              <w:rPr>
                <w:lang w:val="en-CA"/>
              </w:rPr>
            </w:pPr>
            <w:r w:rsidRPr="00BC081A">
              <w:rPr>
                <w:lang w:val="en-CA"/>
              </w:rPr>
              <w:t>72.31</w:t>
            </w:r>
          </w:p>
        </w:tc>
        <w:tc>
          <w:tcPr>
            <w:tcW w:w="1300" w:type="dxa"/>
            <w:tcBorders>
              <w:top w:val="nil"/>
              <w:left w:val="nil"/>
              <w:bottom w:val="single" w:sz="4" w:space="0" w:color="auto"/>
              <w:right w:val="single" w:sz="4" w:space="0" w:color="auto"/>
            </w:tcBorders>
            <w:shd w:val="clear" w:color="auto" w:fill="auto"/>
            <w:noWrap/>
            <w:vAlign w:val="bottom"/>
          </w:tcPr>
          <w:p w14:paraId="0371C24B" w14:textId="77777777" w:rsidR="00536F6A" w:rsidRPr="00BC081A" w:rsidRDefault="00536F6A" w:rsidP="00E24EF0">
            <w:pPr>
              <w:pStyle w:val="TableContext"/>
              <w:rPr>
                <w:lang w:val="en-CA"/>
              </w:rPr>
            </w:pPr>
            <w:r w:rsidRPr="00BC081A">
              <w:rPr>
                <w:lang w:val="en-CA"/>
              </w:rPr>
              <w:t>30.37</w:t>
            </w:r>
          </w:p>
        </w:tc>
        <w:tc>
          <w:tcPr>
            <w:tcW w:w="1300" w:type="dxa"/>
            <w:tcBorders>
              <w:top w:val="nil"/>
              <w:left w:val="nil"/>
              <w:bottom w:val="single" w:sz="4" w:space="0" w:color="auto"/>
              <w:right w:val="single" w:sz="4" w:space="0" w:color="auto"/>
            </w:tcBorders>
            <w:shd w:val="clear" w:color="auto" w:fill="auto"/>
            <w:noWrap/>
            <w:vAlign w:val="bottom"/>
          </w:tcPr>
          <w:p w14:paraId="3E375D63" w14:textId="77777777" w:rsidR="00536F6A" w:rsidRPr="00BC081A" w:rsidRDefault="00536F6A" w:rsidP="00E24EF0">
            <w:pPr>
              <w:pStyle w:val="TableContext"/>
              <w:rPr>
                <w:lang w:val="en-CA"/>
              </w:rPr>
            </w:pPr>
            <w:r w:rsidRPr="00BC081A">
              <w:rPr>
                <w:lang w:val="en-CA"/>
              </w:rPr>
              <w:t>12.76</w:t>
            </w:r>
          </w:p>
        </w:tc>
      </w:tr>
      <w:tr w:rsidR="00536F6A" w:rsidRPr="00BC081A" w14:paraId="547EDC8A"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9334C97" w14:textId="77777777" w:rsidR="00536F6A" w:rsidRPr="00BC081A" w:rsidRDefault="00536F6A" w:rsidP="00E24EF0">
            <w:pPr>
              <w:pStyle w:val="TableContext"/>
              <w:rPr>
                <w:lang w:val="en-CA"/>
              </w:rPr>
            </w:pPr>
            <w:r w:rsidRPr="00BC081A">
              <w:rPr>
                <w:lang w:val="en-CA"/>
              </w:rPr>
              <w:t>6</w:t>
            </w:r>
          </w:p>
        </w:tc>
        <w:tc>
          <w:tcPr>
            <w:tcW w:w="1300" w:type="dxa"/>
            <w:tcBorders>
              <w:top w:val="nil"/>
              <w:left w:val="nil"/>
              <w:bottom w:val="single" w:sz="4" w:space="0" w:color="auto"/>
              <w:right w:val="single" w:sz="4" w:space="0" w:color="auto"/>
            </w:tcBorders>
            <w:shd w:val="clear" w:color="auto" w:fill="auto"/>
            <w:noWrap/>
            <w:vAlign w:val="bottom"/>
          </w:tcPr>
          <w:p w14:paraId="300E1532" w14:textId="77777777" w:rsidR="00536F6A" w:rsidRPr="00BC081A" w:rsidRDefault="00536F6A" w:rsidP="00E24EF0">
            <w:pPr>
              <w:pStyle w:val="TableContext"/>
              <w:rPr>
                <w:lang w:val="en-CA"/>
              </w:rPr>
            </w:pPr>
            <w:r w:rsidRPr="00BC081A">
              <w:rPr>
                <w:lang w:val="en-CA"/>
              </w:rPr>
              <w:t>0.49</w:t>
            </w:r>
          </w:p>
        </w:tc>
        <w:tc>
          <w:tcPr>
            <w:tcW w:w="1300" w:type="dxa"/>
            <w:tcBorders>
              <w:top w:val="nil"/>
              <w:left w:val="nil"/>
              <w:bottom w:val="single" w:sz="4" w:space="0" w:color="auto"/>
              <w:right w:val="single" w:sz="4" w:space="0" w:color="auto"/>
            </w:tcBorders>
            <w:shd w:val="clear" w:color="auto" w:fill="auto"/>
            <w:noWrap/>
            <w:vAlign w:val="bottom"/>
          </w:tcPr>
          <w:p w14:paraId="274FFEED" w14:textId="77777777" w:rsidR="00536F6A" w:rsidRPr="00BC081A" w:rsidRDefault="00536F6A" w:rsidP="00E24EF0">
            <w:pPr>
              <w:pStyle w:val="TableContext"/>
              <w:rPr>
                <w:lang w:val="en-CA"/>
              </w:rPr>
            </w:pPr>
            <w:r w:rsidRPr="00BC081A">
              <w:rPr>
                <w:lang w:val="en-CA"/>
              </w:rPr>
              <w:t>0.46</w:t>
            </w:r>
          </w:p>
        </w:tc>
        <w:tc>
          <w:tcPr>
            <w:tcW w:w="1300" w:type="dxa"/>
            <w:tcBorders>
              <w:top w:val="nil"/>
              <w:left w:val="nil"/>
              <w:bottom w:val="single" w:sz="4" w:space="0" w:color="auto"/>
              <w:right w:val="single" w:sz="4" w:space="0" w:color="auto"/>
            </w:tcBorders>
            <w:shd w:val="clear" w:color="auto" w:fill="auto"/>
            <w:noWrap/>
            <w:vAlign w:val="bottom"/>
          </w:tcPr>
          <w:p w14:paraId="42F382D2" w14:textId="77777777" w:rsidR="00536F6A" w:rsidRPr="00BC081A" w:rsidRDefault="00536F6A" w:rsidP="00E24EF0">
            <w:pPr>
              <w:pStyle w:val="TableContext"/>
              <w:rPr>
                <w:lang w:val="en-CA"/>
              </w:rPr>
            </w:pPr>
            <w:r w:rsidRPr="00BC081A">
              <w:rPr>
                <w:lang w:val="en-CA"/>
              </w:rPr>
              <w:t>277.00</w:t>
            </w:r>
          </w:p>
        </w:tc>
        <w:tc>
          <w:tcPr>
            <w:tcW w:w="1300" w:type="dxa"/>
            <w:tcBorders>
              <w:top w:val="nil"/>
              <w:left w:val="nil"/>
              <w:bottom w:val="single" w:sz="4" w:space="0" w:color="auto"/>
              <w:right w:val="single" w:sz="4" w:space="0" w:color="auto"/>
            </w:tcBorders>
            <w:shd w:val="clear" w:color="auto" w:fill="auto"/>
            <w:noWrap/>
            <w:vAlign w:val="bottom"/>
          </w:tcPr>
          <w:p w14:paraId="12EE7906" w14:textId="77777777" w:rsidR="00536F6A" w:rsidRPr="00BC081A" w:rsidRDefault="00536F6A" w:rsidP="00E24EF0">
            <w:pPr>
              <w:pStyle w:val="TableContext"/>
              <w:rPr>
                <w:lang w:val="en-CA"/>
              </w:rPr>
            </w:pPr>
            <w:r w:rsidRPr="00BC081A">
              <w:rPr>
                <w:lang w:val="en-CA"/>
              </w:rPr>
              <w:t>199.88</w:t>
            </w:r>
          </w:p>
        </w:tc>
        <w:tc>
          <w:tcPr>
            <w:tcW w:w="1300" w:type="dxa"/>
            <w:tcBorders>
              <w:top w:val="nil"/>
              <w:left w:val="nil"/>
              <w:bottom w:val="single" w:sz="4" w:space="0" w:color="auto"/>
              <w:right w:val="single" w:sz="4" w:space="0" w:color="auto"/>
            </w:tcBorders>
            <w:shd w:val="clear" w:color="auto" w:fill="auto"/>
            <w:noWrap/>
            <w:vAlign w:val="bottom"/>
          </w:tcPr>
          <w:p w14:paraId="61A5A0A3" w14:textId="77777777" w:rsidR="00536F6A" w:rsidRPr="00BC081A" w:rsidRDefault="00536F6A" w:rsidP="00E24EF0">
            <w:pPr>
              <w:pStyle w:val="TableContext"/>
              <w:rPr>
                <w:lang w:val="en-CA"/>
              </w:rPr>
            </w:pPr>
            <w:r w:rsidRPr="00BC081A">
              <w:rPr>
                <w:lang w:val="en-CA"/>
              </w:rPr>
              <w:t>91.28</w:t>
            </w:r>
          </w:p>
        </w:tc>
        <w:tc>
          <w:tcPr>
            <w:tcW w:w="1300" w:type="dxa"/>
            <w:tcBorders>
              <w:top w:val="nil"/>
              <w:left w:val="nil"/>
              <w:bottom w:val="single" w:sz="4" w:space="0" w:color="auto"/>
              <w:right w:val="single" w:sz="4" w:space="0" w:color="auto"/>
            </w:tcBorders>
            <w:shd w:val="clear" w:color="auto" w:fill="auto"/>
            <w:noWrap/>
            <w:vAlign w:val="bottom"/>
          </w:tcPr>
          <w:p w14:paraId="2A1075AB" w14:textId="77777777" w:rsidR="00536F6A" w:rsidRPr="00BC081A" w:rsidRDefault="00536F6A" w:rsidP="00E24EF0">
            <w:pPr>
              <w:pStyle w:val="TableContext"/>
              <w:rPr>
                <w:lang w:val="en-CA"/>
              </w:rPr>
            </w:pPr>
            <w:r w:rsidRPr="00BC081A">
              <w:rPr>
                <w:lang w:val="en-CA"/>
              </w:rPr>
              <w:t>41.68</w:t>
            </w:r>
          </w:p>
        </w:tc>
      </w:tr>
      <w:tr w:rsidR="00536F6A" w:rsidRPr="00BC081A" w14:paraId="1BD7B738"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1DF758C" w14:textId="77777777" w:rsidR="00536F6A" w:rsidRPr="00BC081A" w:rsidRDefault="00536F6A" w:rsidP="00E24EF0">
            <w:pPr>
              <w:pStyle w:val="TableContext"/>
              <w:rPr>
                <w:lang w:val="en-CA"/>
              </w:rPr>
            </w:pPr>
            <w:r w:rsidRPr="00BC081A">
              <w:rPr>
                <w:lang w:val="en-CA"/>
              </w:rPr>
              <w:lastRenderedPageBreak/>
              <w:t>27</w:t>
            </w:r>
          </w:p>
        </w:tc>
        <w:tc>
          <w:tcPr>
            <w:tcW w:w="1300" w:type="dxa"/>
            <w:tcBorders>
              <w:top w:val="nil"/>
              <w:left w:val="nil"/>
              <w:bottom w:val="single" w:sz="4" w:space="0" w:color="auto"/>
              <w:right w:val="single" w:sz="4" w:space="0" w:color="auto"/>
            </w:tcBorders>
            <w:shd w:val="clear" w:color="auto" w:fill="auto"/>
            <w:noWrap/>
            <w:vAlign w:val="bottom"/>
          </w:tcPr>
          <w:p w14:paraId="14AD466A" w14:textId="77777777" w:rsidR="00536F6A" w:rsidRPr="00BC081A" w:rsidRDefault="00536F6A" w:rsidP="00E24EF0">
            <w:pPr>
              <w:pStyle w:val="TableContext"/>
              <w:rPr>
                <w:lang w:val="en-CA"/>
              </w:rPr>
            </w:pPr>
            <w:r w:rsidRPr="00BC081A">
              <w:rPr>
                <w:lang w:val="en-CA"/>
              </w:rPr>
              <w:t>0.77</w:t>
            </w:r>
          </w:p>
        </w:tc>
        <w:tc>
          <w:tcPr>
            <w:tcW w:w="1300" w:type="dxa"/>
            <w:tcBorders>
              <w:top w:val="nil"/>
              <w:left w:val="nil"/>
              <w:bottom w:val="single" w:sz="4" w:space="0" w:color="auto"/>
              <w:right w:val="single" w:sz="4" w:space="0" w:color="auto"/>
            </w:tcBorders>
            <w:shd w:val="clear" w:color="auto" w:fill="auto"/>
            <w:noWrap/>
            <w:vAlign w:val="bottom"/>
          </w:tcPr>
          <w:p w14:paraId="56732015" w14:textId="77777777" w:rsidR="00536F6A" w:rsidRPr="00BC081A" w:rsidRDefault="00536F6A" w:rsidP="00E24EF0">
            <w:pPr>
              <w:pStyle w:val="TableContext"/>
              <w:rPr>
                <w:lang w:val="en-CA"/>
              </w:rPr>
            </w:pPr>
            <w:r w:rsidRPr="00BC081A">
              <w:rPr>
                <w:lang w:val="en-CA"/>
              </w:rPr>
              <w:t>0.88</w:t>
            </w:r>
          </w:p>
        </w:tc>
        <w:tc>
          <w:tcPr>
            <w:tcW w:w="1300" w:type="dxa"/>
            <w:tcBorders>
              <w:top w:val="nil"/>
              <w:left w:val="nil"/>
              <w:bottom w:val="single" w:sz="4" w:space="0" w:color="auto"/>
              <w:right w:val="single" w:sz="4" w:space="0" w:color="auto"/>
            </w:tcBorders>
            <w:shd w:val="clear" w:color="auto" w:fill="auto"/>
            <w:noWrap/>
            <w:vAlign w:val="bottom"/>
          </w:tcPr>
          <w:p w14:paraId="19A29BB9" w14:textId="77777777" w:rsidR="00536F6A" w:rsidRPr="00BC081A" w:rsidRDefault="00536F6A" w:rsidP="00E24EF0">
            <w:pPr>
              <w:pStyle w:val="TableContext"/>
              <w:rPr>
                <w:lang w:val="en-CA"/>
              </w:rPr>
            </w:pPr>
            <w:r w:rsidRPr="00BC081A">
              <w:rPr>
                <w:lang w:val="en-CA"/>
              </w:rPr>
              <w:t>304.00</w:t>
            </w:r>
          </w:p>
        </w:tc>
        <w:tc>
          <w:tcPr>
            <w:tcW w:w="1300" w:type="dxa"/>
            <w:tcBorders>
              <w:top w:val="nil"/>
              <w:left w:val="nil"/>
              <w:bottom w:val="single" w:sz="4" w:space="0" w:color="auto"/>
              <w:right w:val="single" w:sz="4" w:space="0" w:color="auto"/>
            </w:tcBorders>
            <w:shd w:val="clear" w:color="auto" w:fill="auto"/>
            <w:noWrap/>
            <w:vAlign w:val="bottom"/>
          </w:tcPr>
          <w:p w14:paraId="0E3CD6BC" w14:textId="77777777" w:rsidR="00536F6A" w:rsidRPr="00BC081A" w:rsidRDefault="00536F6A" w:rsidP="00E24EF0">
            <w:pPr>
              <w:pStyle w:val="TableContext"/>
              <w:rPr>
                <w:lang w:val="en-CA"/>
              </w:rPr>
            </w:pPr>
            <w:r w:rsidRPr="00BC081A">
              <w:rPr>
                <w:lang w:val="en-CA"/>
              </w:rPr>
              <w:t>248.79</w:t>
            </w:r>
          </w:p>
        </w:tc>
        <w:tc>
          <w:tcPr>
            <w:tcW w:w="1300" w:type="dxa"/>
            <w:tcBorders>
              <w:top w:val="nil"/>
              <w:left w:val="nil"/>
              <w:bottom w:val="single" w:sz="4" w:space="0" w:color="auto"/>
              <w:right w:val="single" w:sz="4" w:space="0" w:color="auto"/>
            </w:tcBorders>
            <w:shd w:val="clear" w:color="auto" w:fill="auto"/>
            <w:noWrap/>
            <w:vAlign w:val="bottom"/>
          </w:tcPr>
          <w:p w14:paraId="4F06AB8F" w14:textId="77777777" w:rsidR="00536F6A" w:rsidRPr="00BC081A" w:rsidRDefault="00536F6A" w:rsidP="00E24EF0">
            <w:pPr>
              <w:pStyle w:val="TableContext"/>
              <w:rPr>
                <w:lang w:val="en-CA"/>
              </w:rPr>
            </w:pPr>
            <w:r w:rsidRPr="00BC081A">
              <w:rPr>
                <w:lang w:val="en-CA"/>
              </w:rPr>
              <w:t>220.09</w:t>
            </w:r>
          </w:p>
        </w:tc>
        <w:tc>
          <w:tcPr>
            <w:tcW w:w="1300" w:type="dxa"/>
            <w:tcBorders>
              <w:top w:val="nil"/>
              <w:left w:val="nil"/>
              <w:bottom w:val="single" w:sz="4" w:space="0" w:color="auto"/>
              <w:right w:val="single" w:sz="4" w:space="0" w:color="auto"/>
            </w:tcBorders>
            <w:shd w:val="clear" w:color="auto" w:fill="auto"/>
            <w:noWrap/>
            <w:vAlign w:val="bottom"/>
          </w:tcPr>
          <w:p w14:paraId="4DF06ECE" w14:textId="77777777" w:rsidR="00536F6A" w:rsidRPr="00BC081A" w:rsidRDefault="00536F6A" w:rsidP="00E24EF0">
            <w:pPr>
              <w:pStyle w:val="TableContext"/>
              <w:rPr>
                <w:lang w:val="en-CA"/>
              </w:rPr>
            </w:pPr>
            <w:r w:rsidRPr="00BC081A">
              <w:rPr>
                <w:lang w:val="en-CA"/>
              </w:rPr>
              <w:t>194.71</w:t>
            </w:r>
          </w:p>
        </w:tc>
      </w:tr>
      <w:tr w:rsidR="00536F6A" w:rsidRPr="00BC081A" w14:paraId="642A8624"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3D9CA5C7" w14:textId="77777777" w:rsidR="00536F6A" w:rsidRPr="00BC081A" w:rsidRDefault="00536F6A" w:rsidP="00E24EF0">
            <w:pPr>
              <w:pStyle w:val="TableContext"/>
              <w:rPr>
                <w:lang w:val="en-CA"/>
              </w:rPr>
            </w:pPr>
            <w:r w:rsidRPr="00BC081A">
              <w:rPr>
                <w:lang w:val="en-CA"/>
              </w:rPr>
              <w:t>30</w:t>
            </w:r>
          </w:p>
        </w:tc>
        <w:tc>
          <w:tcPr>
            <w:tcW w:w="1300" w:type="dxa"/>
            <w:tcBorders>
              <w:top w:val="nil"/>
              <w:left w:val="nil"/>
              <w:bottom w:val="single" w:sz="4" w:space="0" w:color="auto"/>
              <w:right w:val="single" w:sz="4" w:space="0" w:color="auto"/>
            </w:tcBorders>
            <w:shd w:val="clear" w:color="auto" w:fill="auto"/>
            <w:noWrap/>
            <w:vAlign w:val="bottom"/>
          </w:tcPr>
          <w:p w14:paraId="3D90933E" w14:textId="77777777" w:rsidR="00536F6A" w:rsidRPr="00BC081A" w:rsidRDefault="00536F6A" w:rsidP="00E24EF0">
            <w:pPr>
              <w:pStyle w:val="TableContext"/>
              <w:rPr>
                <w:lang w:val="en-CA"/>
              </w:rPr>
            </w:pPr>
            <w:r w:rsidRPr="00BC081A">
              <w:rPr>
                <w:lang w:val="en-CA"/>
              </w:rPr>
              <w:t>0.77</w:t>
            </w:r>
          </w:p>
        </w:tc>
        <w:tc>
          <w:tcPr>
            <w:tcW w:w="1300" w:type="dxa"/>
            <w:tcBorders>
              <w:top w:val="nil"/>
              <w:left w:val="nil"/>
              <w:bottom w:val="single" w:sz="4" w:space="0" w:color="auto"/>
              <w:right w:val="single" w:sz="4" w:space="0" w:color="auto"/>
            </w:tcBorders>
            <w:shd w:val="clear" w:color="auto" w:fill="auto"/>
            <w:noWrap/>
            <w:vAlign w:val="bottom"/>
          </w:tcPr>
          <w:p w14:paraId="6E6D8418" w14:textId="77777777" w:rsidR="00536F6A" w:rsidRPr="00BC081A" w:rsidRDefault="00536F6A" w:rsidP="00E24EF0">
            <w:pPr>
              <w:pStyle w:val="TableContext"/>
              <w:rPr>
                <w:lang w:val="en-CA"/>
              </w:rPr>
            </w:pPr>
            <w:r w:rsidRPr="00BC081A">
              <w:rPr>
                <w:lang w:val="en-CA"/>
              </w:rPr>
              <w:t>0.83</w:t>
            </w:r>
          </w:p>
        </w:tc>
        <w:tc>
          <w:tcPr>
            <w:tcW w:w="1300" w:type="dxa"/>
            <w:tcBorders>
              <w:top w:val="nil"/>
              <w:left w:val="nil"/>
              <w:bottom w:val="single" w:sz="4" w:space="0" w:color="auto"/>
              <w:right w:val="single" w:sz="4" w:space="0" w:color="auto"/>
            </w:tcBorders>
            <w:shd w:val="clear" w:color="auto" w:fill="auto"/>
            <w:noWrap/>
            <w:vAlign w:val="bottom"/>
          </w:tcPr>
          <w:p w14:paraId="7A716D00" w14:textId="77777777" w:rsidR="00536F6A" w:rsidRPr="00BC081A" w:rsidRDefault="00536F6A" w:rsidP="00E24EF0">
            <w:pPr>
              <w:pStyle w:val="TableContext"/>
              <w:rPr>
                <w:lang w:val="en-CA"/>
              </w:rPr>
            </w:pPr>
            <w:r w:rsidRPr="00BC081A">
              <w:rPr>
                <w:lang w:val="en-CA"/>
              </w:rPr>
              <w:t>247.00</w:t>
            </w:r>
          </w:p>
        </w:tc>
        <w:tc>
          <w:tcPr>
            <w:tcW w:w="1300" w:type="dxa"/>
            <w:tcBorders>
              <w:top w:val="nil"/>
              <w:left w:val="nil"/>
              <w:bottom w:val="single" w:sz="4" w:space="0" w:color="auto"/>
              <w:right w:val="single" w:sz="4" w:space="0" w:color="auto"/>
            </w:tcBorders>
            <w:shd w:val="clear" w:color="auto" w:fill="auto"/>
            <w:noWrap/>
            <w:vAlign w:val="bottom"/>
          </w:tcPr>
          <w:p w14:paraId="6C6F8292" w14:textId="77777777" w:rsidR="00536F6A" w:rsidRPr="00BC081A" w:rsidRDefault="00536F6A" w:rsidP="00E24EF0">
            <w:pPr>
              <w:pStyle w:val="TableContext"/>
              <w:rPr>
                <w:lang w:val="en-CA"/>
              </w:rPr>
            </w:pPr>
            <w:r w:rsidRPr="00BC081A">
              <w:rPr>
                <w:lang w:val="en-CA"/>
              </w:rPr>
              <w:t>187.68</w:t>
            </w:r>
          </w:p>
        </w:tc>
        <w:tc>
          <w:tcPr>
            <w:tcW w:w="1300" w:type="dxa"/>
            <w:tcBorders>
              <w:top w:val="nil"/>
              <w:left w:val="nil"/>
              <w:bottom w:val="single" w:sz="4" w:space="0" w:color="auto"/>
              <w:right w:val="single" w:sz="4" w:space="0" w:color="auto"/>
            </w:tcBorders>
            <w:shd w:val="clear" w:color="auto" w:fill="auto"/>
            <w:noWrap/>
            <w:vAlign w:val="bottom"/>
          </w:tcPr>
          <w:p w14:paraId="0CF118B2" w14:textId="77777777" w:rsidR="00536F6A" w:rsidRPr="00BC081A" w:rsidRDefault="00536F6A" w:rsidP="00E24EF0">
            <w:pPr>
              <w:pStyle w:val="TableContext"/>
              <w:rPr>
                <w:lang w:val="en-CA"/>
              </w:rPr>
            </w:pPr>
            <w:r w:rsidRPr="00BC081A">
              <w:rPr>
                <w:lang w:val="en-CA"/>
              </w:rPr>
              <w:t>155.04</w:t>
            </w:r>
          </w:p>
        </w:tc>
        <w:tc>
          <w:tcPr>
            <w:tcW w:w="1300" w:type="dxa"/>
            <w:tcBorders>
              <w:top w:val="nil"/>
              <w:left w:val="nil"/>
              <w:bottom w:val="single" w:sz="4" w:space="0" w:color="auto"/>
              <w:right w:val="single" w:sz="4" w:space="0" w:color="auto"/>
            </w:tcBorders>
            <w:shd w:val="clear" w:color="auto" w:fill="auto"/>
            <w:noWrap/>
            <w:vAlign w:val="bottom"/>
          </w:tcPr>
          <w:p w14:paraId="184D2FAC" w14:textId="77777777" w:rsidR="00536F6A" w:rsidRPr="00BC081A" w:rsidRDefault="00536F6A" w:rsidP="00E24EF0">
            <w:pPr>
              <w:pStyle w:val="TableContext"/>
              <w:rPr>
                <w:lang w:val="en-CA"/>
              </w:rPr>
            </w:pPr>
            <w:r w:rsidRPr="00BC081A">
              <w:rPr>
                <w:lang w:val="en-CA"/>
              </w:rPr>
              <w:t>128.08</w:t>
            </w:r>
          </w:p>
        </w:tc>
      </w:tr>
      <w:tr w:rsidR="00536F6A" w:rsidRPr="00BC081A" w14:paraId="763D4B88" w14:textId="77777777" w:rsidTr="00E24EF0">
        <w:trPr>
          <w:trHeight w:val="300"/>
          <w:jc w:val="center"/>
        </w:trPr>
        <w:tc>
          <w:tcPr>
            <w:tcW w:w="130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4E68F6CF" w14:textId="77777777" w:rsidR="00536F6A" w:rsidRPr="00BC081A" w:rsidRDefault="00536F6A" w:rsidP="00E24EF0">
            <w:pPr>
              <w:pStyle w:val="TableContext"/>
              <w:rPr>
                <w:lang w:val="en-CA"/>
              </w:rPr>
            </w:pPr>
            <w:r w:rsidRPr="00BC081A">
              <w:rPr>
                <w:lang w:val="en-CA"/>
              </w:rPr>
              <w:t>35</w:t>
            </w:r>
          </w:p>
        </w:tc>
        <w:tc>
          <w:tcPr>
            <w:tcW w:w="1300" w:type="dxa"/>
            <w:tcBorders>
              <w:top w:val="nil"/>
              <w:left w:val="nil"/>
              <w:bottom w:val="single" w:sz="4" w:space="0" w:color="auto"/>
              <w:right w:val="single" w:sz="4" w:space="0" w:color="auto"/>
            </w:tcBorders>
            <w:shd w:val="clear" w:color="auto" w:fill="auto"/>
            <w:noWrap/>
            <w:vAlign w:val="bottom"/>
            <w:hideMark/>
          </w:tcPr>
          <w:p w14:paraId="2BD133F9" w14:textId="77777777" w:rsidR="00536F6A" w:rsidRPr="00BC081A" w:rsidRDefault="00536F6A" w:rsidP="00E24EF0">
            <w:pPr>
              <w:pStyle w:val="TableContext"/>
              <w:rPr>
                <w:lang w:val="en-CA"/>
              </w:rPr>
            </w:pPr>
            <w:r w:rsidRPr="00BC081A">
              <w:rPr>
                <w:lang w:val="en-CA"/>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C3A9F5" w14:textId="77777777" w:rsidR="00536F6A" w:rsidRPr="00BC081A" w:rsidRDefault="00536F6A" w:rsidP="00E24EF0">
            <w:pPr>
              <w:pStyle w:val="TableContext"/>
              <w:rPr>
                <w:lang w:val="en-CA"/>
              </w:rPr>
            </w:pPr>
            <w:r w:rsidRPr="00BC081A">
              <w:rPr>
                <w:lang w:val="en-CA"/>
              </w:rPr>
              <w:t>0.43</w:t>
            </w:r>
          </w:p>
        </w:tc>
        <w:tc>
          <w:tcPr>
            <w:tcW w:w="1300" w:type="dxa"/>
            <w:tcBorders>
              <w:top w:val="nil"/>
              <w:left w:val="nil"/>
              <w:bottom w:val="single" w:sz="4" w:space="0" w:color="auto"/>
              <w:right w:val="single" w:sz="4" w:space="0" w:color="auto"/>
            </w:tcBorders>
            <w:shd w:val="clear" w:color="auto" w:fill="auto"/>
            <w:noWrap/>
            <w:vAlign w:val="bottom"/>
            <w:hideMark/>
          </w:tcPr>
          <w:p w14:paraId="545BCEF4" w14:textId="77777777" w:rsidR="00536F6A" w:rsidRPr="00BC081A" w:rsidRDefault="00536F6A" w:rsidP="00E24EF0">
            <w:pPr>
              <w:pStyle w:val="TableContext"/>
              <w:rPr>
                <w:lang w:val="en-CA"/>
              </w:rPr>
            </w:pPr>
            <w:r w:rsidRPr="00BC081A">
              <w:rPr>
                <w:lang w:val="en-CA"/>
              </w:rPr>
              <w:t>84.00</w:t>
            </w:r>
          </w:p>
        </w:tc>
        <w:tc>
          <w:tcPr>
            <w:tcW w:w="1300" w:type="dxa"/>
            <w:tcBorders>
              <w:top w:val="nil"/>
              <w:left w:val="nil"/>
              <w:bottom w:val="single" w:sz="4" w:space="0" w:color="auto"/>
              <w:right w:val="single" w:sz="4" w:space="0" w:color="auto"/>
            </w:tcBorders>
            <w:shd w:val="clear" w:color="auto" w:fill="auto"/>
            <w:noWrap/>
            <w:vAlign w:val="bottom"/>
            <w:hideMark/>
          </w:tcPr>
          <w:p w14:paraId="611F5442" w14:textId="77777777" w:rsidR="00536F6A" w:rsidRPr="00BC081A" w:rsidRDefault="00536F6A" w:rsidP="00E24EF0">
            <w:pPr>
              <w:pStyle w:val="TableContext"/>
              <w:rPr>
                <w:lang w:val="en-CA"/>
              </w:rPr>
            </w:pPr>
            <w:r w:rsidRPr="00BC081A">
              <w:rPr>
                <w:lang w:val="en-CA"/>
              </w:rPr>
              <w:t>53.73</w:t>
            </w:r>
          </w:p>
        </w:tc>
        <w:tc>
          <w:tcPr>
            <w:tcW w:w="1300" w:type="dxa"/>
            <w:tcBorders>
              <w:top w:val="nil"/>
              <w:left w:val="nil"/>
              <w:bottom w:val="single" w:sz="4" w:space="0" w:color="auto"/>
              <w:right w:val="single" w:sz="4" w:space="0" w:color="auto"/>
            </w:tcBorders>
            <w:shd w:val="clear" w:color="auto" w:fill="auto"/>
            <w:noWrap/>
            <w:vAlign w:val="bottom"/>
            <w:hideMark/>
          </w:tcPr>
          <w:p w14:paraId="09F05E38" w14:textId="77777777" w:rsidR="00536F6A" w:rsidRPr="00BC081A" w:rsidRDefault="00536F6A" w:rsidP="00E24EF0">
            <w:pPr>
              <w:pStyle w:val="TableContext"/>
              <w:rPr>
                <w:lang w:val="en-CA"/>
              </w:rPr>
            </w:pPr>
            <w:r w:rsidRPr="00BC081A">
              <w:rPr>
                <w:lang w:val="en-CA"/>
              </w:rPr>
              <w:t>23.22</w:t>
            </w:r>
          </w:p>
        </w:tc>
        <w:tc>
          <w:tcPr>
            <w:tcW w:w="1300" w:type="dxa"/>
            <w:tcBorders>
              <w:top w:val="nil"/>
              <w:left w:val="nil"/>
              <w:bottom w:val="single" w:sz="4" w:space="0" w:color="auto"/>
              <w:right w:val="single" w:sz="4" w:space="0" w:color="auto"/>
            </w:tcBorders>
            <w:shd w:val="clear" w:color="auto" w:fill="auto"/>
            <w:noWrap/>
            <w:vAlign w:val="bottom"/>
            <w:hideMark/>
          </w:tcPr>
          <w:p w14:paraId="655B2F95" w14:textId="77777777" w:rsidR="00536F6A" w:rsidRPr="00BC081A" w:rsidRDefault="00536F6A" w:rsidP="00E24EF0">
            <w:pPr>
              <w:pStyle w:val="TableContext"/>
              <w:rPr>
                <w:lang w:val="en-CA"/>
              </w:rPr>
            </w:pPr>
            <w:r w:rsidRPr="00BC081A">
              <w:rPr>
                <w:lang w:val="en-CA"/>
              </w:rPr>
              <w:t>10.03</w:t>
            </w:r>
          </w:p>
        </w:tc>
      </w:tr>
    </w:tbl>
    <w:p w14:paraId="47D15CF6" w14:textId="45E825D4" w:rsidR="00C34671" w:rsidRDefault="00C34671" w:rsidP="00C34671">
      <w:pPr>
        <w:pStyle w:val="Heading2"/>
        <w:numPr>
          <w:ilvl w:val="0"/>
          <w:numId w:val="0"/>
        </w:numPr>
        <w:ind w:left="576"/>
      </w:pPr>
      <w:bookmarkStart w:id="139" w:name="_Toc275209862"/>
      <w:r>
        <w:t>Conclusion</w:t>
      </w:r>
      <w:bookmarkEnd w:id="139"/>
    </w:p>
    <w:p w14:paraId="76001565" w14:textId="3DA5820E" w:rsidR="00C34671" w:rsidRPr="00C34671" w:rsidRDefault="00763EF1" w:rsidP="00763EF1">
      <w:r>
        <w:t xml:space="preserve">The meta-analysis that was conducted in this study supported the hypotheses that the construct of Flow can be used in various contexts to predict the intention and attitude towards use of IT products. The meta-analysis showed that the correlation between Flow and TAM’s endogenous constructs is moderate to high in all the previous studies. This supports the reliability and validity of the theory of Flow in IS contexts and its suitability for use in predicting IT use, in particular for hedonic systems. Moreover, it was shown that the method of operationalization of Flow constructs </w:t>
      </w:r>
      <w:proofErr w:type="gramStart"/>
      <w:r>
        <w:t>can</w:t>
      </w:r>
      <w:proofErr w:type="gramEnd"/>
      <w:r>
        <w:t xml:space="preserve"> be a determining factor of the constructs relationship with relevant TAM constructs of attitude and intention. Multidimensional measurements of Flow are better determinants of intention and attitude towards use of IT systems based on this meta-analysis, despite their complexity in conducting the study and data analysis. Therefore, researchers need to consider these implementation issues when deciding to choose Flow as a construct to measure the holistic experience of IT use. The main goal of this study was to shed some light on the ambiguity on different constructs used to measure the concept of Flow. </w:t>
      </w:r>
    </w:p>
    <w:p w14:paraId="7D944CE7" w14:textId="097CEDE0" w:rsidR="00536F6A" w:rsidRPr="00BC081A" w:rsidRDefault="00536F6A" w:rsidP="00536F6A">
      <w:pPr>
        <w:pStyle w:val="Heading2"/>
        <w:numPr>
          <w:ilvl w:val="0"/>
          <w:numId w:val="0"/>
        </w:numPr>
        <w:ind w:left="576"/>
      </w:pPr>
      <w:bookmarkStart w:id="140" w:name="_Toc275209863"/>
      <w:r w:rsidRPr="00BC081A">
        <w:t xml:space="preserve">References </w:t>
      </w:r>
      <w:r w:rsidR="005469B2">
        <w:t>for the</w:t>
      </w:r>
      <w:r w:rsidRPr="00BC081A">
        <w:t xml:space="preserve"> Meta-Analysis</w:t>
      </w:r>
      <w:r w:rsidRPr="00BC081A">
        <w:rPr>
          <w:rStyle w:val="FootnoteReference"/>
        </w:rPr>
        <w:footnoteReference w:id="24"/>
      </w:r>
      <w:bookmarkEnd w:id="140"/>
    </w:p>
    <w:p w14:paraId="3D572A3C" w14:textId="77777777" w:rsidR="00536F6A" w:rsidRPr="00BC081A" w:rsidRDefault="00536F6A" w:rsidP="00536F6A">
      <w:pPr>
        <w:pStyle w:val="NormalWeb"/>
        <w:ind w:left="480" w:hanging="480"/>
        <w:rPr>
          <w:lang w:val="en-CA"/>
        </w:rPr>
      </w:pPr>
      <w:r w:rsidRPr="00BC081A">
        <w:rPr>
          <w:lang w:val="en-CA"/>
        </w:rPr>
        <w:t xml:space="preserve">* </w:t>
      </w:r>
      <w:proofErr w:type="spellStart"/>
      <w:r w:rsidRPr="00BC081A">
        <w:rPr>
          <w:lang w:val="en-CA"/>
        </w:rPr>
        <w:t>Agarwal</w:t>
      </w:r>
      <w:proofErr w:type="spellEnd"/>
      <w:r w:rsidRPr="00BC081A">
        <w:rPr>
          <w:lang w:val="en-CA"/>
        </w:rPr>
        <w:t xml:space="preserve">, R., &amp; </w:t>
      </w:r>
      <w:proofErr w:type="spellStart"/>
      <w:r w:rsidRPr="00BC081A">
        <w:rPr>
          <w:lang w:val="en-CA"/>
        </w:rPr>
        <w:t>Karahanna</w:t>
      </w:r>
      <w:proofErr w:type="spellEnd"/>
      <w:r w:rsidRPr="00BC081A">
        <w:rPr>
          <w:lang w:val="en-CA"/>
        </w:rPr>
        <w:t xml:space="preserve">, E. (2000). Time Flies When You’re Having Fun: Cognitive Absorption and Beliefs about Information Technology Usage. </w:t>
      </w:r>
      <w:r w:rsidRPr="00BC081A">
        <w:rPr>
          <w:i/>
          <w:iCs/>
          <w:lang w:val="en-CA"/>
        </w:rPr>
        <w:t>MIS Quarterly</w:t>
      </w:r>
      <w:r w:rsidRPr="00BC081A">
        <w:rPr>
          <w:lang w:val="en-CA"/>
        </w:rPr>
        <w:t xml:space="preserve">, </w:t>
      </w:r>
      <w:r w:rsidRPr="00BC081A">
        <w:rPr>
          <w:i/>
          <w:iCs/>
          <w:lang w:val="en-CA"/>
        </w:rPr>
        <w:t>24</w:t>
      </w:r>
      <w:r w:rsidRPr="00BC081A">
        <w:rPr>
          <w:lang w:val="en-CA"/>
        </w:rPr>
        <w:t xml:space="preserve">(4), 665. </w:t>
      </w:r>
      <w:proofErr w:type="gramStart"/>
      <w:r w:rsidRPr="00BC081A">
        <w:rPr>
          <w:lang w:val="en-CA"/>
        </w:rPr>
        <w:t>doi:10.2307</w:t>
      </w:r>
      <w:proofErr w:type="gramEnd"/>
      <w:r w:rsidRPr="00BC081A">
        <w:rPr>
          <w:lang w:val="en-CA"/>
        </w:rPr>
        <w:t>/3250951</w:t>
      </w:r>
    </w:p>
    <w:p w14:paraId="53FC246D" w14:textId="77777777" w:rsidR="00536F6A" w:rsidRPr="00BC081A" w:rsidRDefault="00536F6A" w:rsidP="00536F6A">
      <w:pPr>
        <w:pStyle w:val="NormalWeb"/>
        <w:ind w:left="480" w:hanging="480"/>
        <w:rPr>
          <w:lang w:val="en-CA"/>
        </w:rPr>
      </w:pPr>
      <w:proofErr w:type="spellStart"/>
      <w:r w:rsidRPr="00BC081A">
        <w:rPr>
          <w:lang w:val="en-CA"/>
        </w:rPr>
        <w:t>Ajzen</w:t>
      </w:r>
      <w:proofErr w:type="spellEnd"/>
      <w:r w:rsidRPr="00BC081A">
        <w:rPr>
          <w:lang w:val="en-CA"/>
        </w:rPr>
        <w:t xml:space="preserve">, I. (1991). The theory of planned </w:t>
      </w:r>
      <w:proofErr w:type="spellStart"/>
      <w:r w:rsidRPr="00BC081A">
        <w:rPr>
          <w:lang w:val="en-CA"/>
        </w:rPr>
        <w:t>behavior</w:t>
      </w:r>
      <w:proofErr w:type="spellEnd"/>
      <w:r w:rsidRPr="00BC081A">
        <w:rPr>
          <w:lang w:val="en-CA"/>
        </w:rPr>
        <w:t xml:space="preserve">. </w:t>
      </w:r>
      <w:r w:rsidRPr="00BC081A">
        <w:rPr>
          <w:i/>
          <w:iCs/>
          <w:lang w:val="en-CA"/>
        </w:rPr>
        <w:t xml:space="preserve">Organizational </w:t>
      </w:r>
      <w:proofErr w:type="spellStart"/>
      <w:r w:rsidRPr="00BC081A">
        <w:rPr>
          <w:i/>
          <w:iCs/>
          <w:lang w:val="en-CA"/>
        </w:rPr>
        <w:t>behavior</w:t>
      </w:r>
      <w:proofErr w:type="spellEnd"/>
      <w:r w:rsidRPr="00BC081A">
        <w:rPr>
          <w:i/>
          <w:iCs/>
          <w:lang w:val="en-CA"/>
        </w:rPr>
        <w:t xml:space="preserve"> and human decision processes</w:t>
      </w:r>
      <w:r w:rsidRPr="00BC081A">
        <w:rPr>
          <w:lang w:val="en-CA"/>
        </w:rPr>
        <w:t xml:space="preserve">, </w:t>
      </w:r>
      <w:r w:rsidRPr="00BC081A">
        <w:rPr>
          <w:i/>
          <w:iCs/>
          <w:lang w:val="en-CA"/>
        </w:rPr>
        <w:t>50</w:t>
      </w:r>
      <w:r w:rsidRPr="00BC081A">
        <w:rPr>
          <w:lang w:val="en-CA"/>
        </w:rPr>
        <w:t>(2), 179-211. Elsevier.</w:t>
      </w:r>
    </w:p>
    <w:p w14:paraId="0B0E4144" w14:textId="77777777" w:rsidR="00536F6A" w:rsidRPr="00BC081A" w:rsidRDefault="00536F6A" w:rsidP="00536F6A">
      <w:pPr>
        <w:pStyle w:val="NormalWeb"/>
        <w:ind w:left="480" w:hanging="480"/>
        <w:rPr>
          <w:lang w:val="en-CA"/>
        </w:rPr>
      </w:pPr>
      <w:r w:rsidRPr="00BC081A">
        <w:rPr>
          <w:lang w:val="en-CA"/>
        </w:rPr>
        <w:lastRenderedPageBreak/>
        <w:t xml:space="preserve">* Chandra, S., </w:t>
      </w:r>
      <w:proofErr w:type="spellStart"/>
      <w:r w:rsidRPr="00BC081A">
        <w:rPr>
          <w:lang w:val="en-CA"/>
        </w:rPr>
        <w:t>Srivastava</w:t>
      </w:r>
      <w:proofErr w:type="spellEnd"/>
      <w:r w:rsidRPr="00BC081A">
        <w:rPr>
          <w:lang w:val="en-CA"/>
        </w:rPr>
        <w:t xml:space="preserve">, S., &amp; </w:t>
      </w:r>
      <w:proofErr w:type="spellStart"/>
      <w:r w:rsidRPr="00BC081A">
        <w:rPr>
          <w:lang w:val="en-CA"/>
        </w:rPr>
        <w:t>Theng</w:t>
      </w:r>
      <w:proofErr w:type="spellEnd"/>
      <w:r w:rsidRPr="00BC081A">
        <w:rPr>
          <w:lang w:val="en-CA"/>
        </w:rPr>
        <w:t>, Y</w:t>
      </w:r>
      <w:proofErr w:type="gramStart"/>
      <w:r w:rsidRPr="00BC081A">
        <w:rPr>
          <w:lang w:val="en-CA"/>
        </w:rPr>
        <w:t>.-</w:t>
      </w:r>
      <w:proofErr w:type="gramEnd"/>
      <w:r w:rsidRPr="00BC081A">
        <w:rPr>
          <w:lang w:val="en-CA"/>
        </w:rPr>
        <w:t xml:space="preserve">L. (2009). </w:t>
      </w:r>
      <w:proofErr w:type="gramStart"/>
      <w:r w:rsidRPr="00BC081A">
        <w:rPr>
          <w:lang w:val="en-CA"/>
        </w:rPr>
        <w:t>Role of Cognitive Absorption and Trust for Collaboration in Virtual World.</w:t>
      </w:r>
      <w:proofErr w:type="gramEnd"/>
      <w:r w:rsidRPr="00BC081A">
        <w:rPr>
          <w:lang w:val="en-CA"/>
        </w:rPr>
        <w:t xml:space="preserve"> </w:t>
      </w:r>
      <w:proofErr w:type="gramStart"/>
      <w:r w:rsidRPr="00BC081A">
        <w:rPr>
          <w:i/>
          <w:iCs/>
          <w:lang w:val="en-CA"/>
        </w:rPr>
        <w:t>Proceedings of the Pacific Asia Conference on Information Systems (PACIS)</w:t>
      </w:r>
      <w:r w:rsidRPr="00BC081A">
        <w:rPr>
          <w:lang w:val="en-CA"/>
        </w:rPr>
        <w:t>.</w:t>
      </w:r>
      <w:proofErr w:type="gramEnd"/>
    </w:p>
    <w:p w14:paraId="3CEA951C" w14:textId="77777777" w:rsidR="00536F6A" w:rsidRPr="00BC081A" w:rsidRDefault="00536F6A" w:rsidP="00536F6A">
      <w:pPr>
        <w:pStyle w:val="NormalWeb"/>
        <w:ind w:left="480" w:hanging="480"/>
        <w:rPr>
          <w:lang w:val="en-CA"/>
        </w:rPr>
      </w:pPr>
      <w:r w:rsidRPr="00BC081A">
        <w:rPr>
          <w:lang w:val="en-CA"/>
        </w:rPr>
        <w:t xml:space="preserve">* Choi, D., Kim, J., &amp; Kim, S. (2007). ERP training with a web-based electronic learning system: The flow theory perspective. </w:t>
      </w:r>
      <w:proofErr w:type="gramStart"/>
      <w:r w:rsidRPr="00BC081A">
        <w:rPr>
          <w:i/>
          <w:iCs/>
          <w:lang w:val="en-CA"/>
        </w:rPr>
        <w:t>International Journal of Human-Computer Studies</w:t>
      </w:r>
      <w:r w:rsidRPr="00BC081A">
        <w:rPr>
          <w:lang w:val="en-CA"/>
        </w:rPr>
        <w:t xml:space="preserve">, </w:t>
      </w:r>
      <w:r w:rsidRPr="00BC081A">
        <w:rPr>
          <w:i/>
          <w:iCs/>
          <w:lang w:val="en-CA"/>
        </w:rPr>
        <w:t>65</w:t>
      </w:r>
      <w:r w:rsidRPr="00BC081A">
        <w:rPr>
          <w:lang w:val="en-CA"/>
        </w:rPr>
        <w:t>(3), 223-243.</w:t>
      </w:r>
      <w:proofErr w:type="gramEnd"/>
      <w:r w:rsidRPr="00BC081A">
        <w:rPr>
          <w:lang w:val="en-CA"/>
        </w:rPr>
        <w:t xml:space="preserve"> </w:t>
      </w:r>
      <w:proofErr w:type="gramStart"/>
      <w:r w:rsidRPr="00BC081A">
        <w:rPr>
          <w:lang w:val="en-CA"/>
        </w:rPr>
        <w:t>doi:10.1016</w:t>
      </w:r>
      <w:proofErr w:type="gramEnd"/>
      <w:r w:rsidRPr="00BC081A">
        <w:rPr>
          <w:lang w:val="en-CA"/>
        </w:rPr>
        <w:t>/j.ijhcs.2006.10.002</w:t>
      </w:r>
    </w:p>
    <w:p w14:paraId="0E6730FC" w14:textId="77777777" w:rsidR="00536F6A" w:rsidRPr="00BC081A" w:rsidRDefault="00536F6A" w:rsidP="00536F6A">
      <w:pPr>
        <w:pStyle w:val="NormalWeb"/>
        <w:ind w:left="480" w:hanging="480"/>
        <w:rPr>
          <w:lang w:val="en-CA"/>
        </w:rPr>
      </w:pPr>
      <w:r w:rsidRPr="00BC081A">
        <w:rPr>
          <w:lang w:val="en-CA"/>
        </w:rPr>
        <w:t>Chou, T</w:t>
      </w:r>
      <w:proofErr w:type="gramStart"/>
      <w:r w:rsidRPr="00BC081A">
        <w:rPr>
          <w:lang w:val="en-CA"/>
        </w:rPr>
        <w:t>.-</w:t>
      </w:r>
      <w:proofErr w:type="gramEnd"/>
      <w:r w:rsidRPr="00BC081A">
        <w:rPr>
          <w:lang w:val="en-CA"/>
        </w:rPr>
        <w:t xml:space="preserve">J., &amp; Ting, C.-C. (2003). </w:t>
      </w:r>
      <w:proofErr w:type="gramStart"/>
      <w:r w:rsidRPr="00BC081A">
        <w:rPr>
          <w:lang w:val="en-CA"/>
        </w:rPr>
        <w:t>The role of flow experience in cyber-game addiction.</w:t>
      </w:r>
      <w:proofErr w:type="gramEnd"/>
      <w:r w:rsidRPr="00BC081A">
        <w:rPr>
          <w:lang w:val="en-CA"/>
        </w:rPr>
        <w:t xml:space="preserve"> </w:t>
      </w:r>
      <w:proofErr w:type="spellStart"/>
      <w:r w:rsidRPr="00BC081A">
        <w:rPr>
          <w:i/>
          <w:iCs/>
          <w:lang w:val="en-CA"/>
        </w:rPr>
        <w:t>Cyberpsychology</w:t>
      </w:r>
      <w:proofErr w:type="spellEnd"/>
      <w:r w:rsidRPr="00BC081A">
        <w:rPr>
          <w:i/>
          <w:iCs/>
          <w:lang w:val="en-CA"/>
        </w:rPr>
        <w:t xml:space="preserve"> &amp; </w:t>
      </w:r>
      <w:proofErr w:type="spellStart"/>
      <w:r w:rsidRPr="00BC081A">
        <w:rPr>
          <w:i/>
          <w:iCs/>
          <w:lang w:val="en-CA"/>
        </w:rPr>
        <w:t>behavior</w:t>
      </w:r>
      <w:proofErr w:type="spellEnd"/>
      <w:r w:rsidRPr="00BC081A">
        <w:rPr>
          <w:rFonts w:ascii="Times New Roman" w:hAnsi="Times New Roman"/>
          <w:i/>
          <w:iCs/>
          <w:lang w:val="en-CA"/>
        </w:rPr>
        <w:t> </w:t>
      </w:r>
      <w:r w:rsidRPr="00BC081A">
        <w:rPr>
          <w:i/>
          <w:iCs/>
          <w:lang w:val="en-CA"/>
        </w:rPr>
        <w:t xml:space="preserve">: the impact of the Internet, multimedia and virtual reality on </w:t>
      </w:r>
      <w:proofErr w:type="spellStart"/>
      <w:r w:rsidRPr="00BC081A">
        <w:rPr>
          <w:i/>
          <w:iCs/>
          <w:lang w:val="en-CA"/>
        </w:rPr>
        <w:t>behavior</w:t>
      </w:r>
      <w:proofErr w:type="spellEnd"/>
      <w:r w:rsidRPr="00BC081A">
        <w:rPr>
          <w:i/>
          <w:iCs/>
          <w:lang w:val="en-CA"/>
        </w:rPr>
        <w:t xml:space="preserve"> and society</w:t>
      </w:r>
      <w:r w:rsidRPr="00BC081A">
        <w:rPr>
          <w:lang w:val="en-CA"/>
        </w:rPr>
        <w:t xml:space="preserve">, </w:t>
      </w:r>
      <w:r w:rsidRPr="00BC081A">
        <w:rPr>
          <w:i/>
          <w:iCs/>
          <w:lang w:val="en-CA"/>
        </w:rPr>
        <w:t>6</w:t>
      </w:r>
      <w:r w:rsidRPr="00BC081A">
        <w:rPr>
          <w:lang w:val="en-CA"/>
        </w:rPr>
        <w:t xml:space="preserve">(6), 663-75. </w:t>
      </w:r>
      <w:proofErr w:type="gramStart"/>
      <w:r w:rsidRPr="00BC081A">
        <w:rPr>
          <w:lang w:val="en-CA"/>
        </w:rPr>
        <w:t>doi:10.1089</w:t>
      </w:r>
      <w:proofErr w:type="gramEnd"/>
      <w:r w:rsidRPr="00BC081A">
        <w:rPr>
          <w:lang w:val="en-CA"/>
        </w:rPr>
        <w:t>/109493103322725469</w:t>
      </w:r>
    </w:p>
    <w:p w14:paraId="27CEF6E9" w14:textId="77777777" w:rsidR="00536F6A" w:rsidRPr="00BC081A" w:rsidRDefault="00536F6A" w:rsidP="00536F6A">
      <w:pPr>
        <w:pStyle w:val="NormalWeb"/>
        <w:ind w:left="480" w:hanging="480"/>
        <w:rPr>
          <w:lang w:val="en-CA"/>
        </w:rPr>
      </w:pPr>
      <w:proofErr w:type="spellStart"/>
      <w:r w:rsidRPr="00BC081A">
        <w:rPr>
          <w:lang w:val="en-CA"/>
        </w:rPr>
        <w:t>Csikszentmihalyi</w:t>
      </w:r>
      <w:proofErr w:type="spellEnd"/>
      <w:r w:rsidRPr="00BC081A">
        <w:rPr>
          <w:lang w:val="en-CA"/>
        </w:rPr>
        <w:t xml:space="preserve">, M. (1991). </w:t>
      </w:r>
      <w:r w:rsidRPr="00BC081A">
        <w:rPr>
          <w:i/>
          <w:iCs/>
          <w:lang w:val="en-CA"/>
        </w:rPr>
        <w:t>Flow: The psychology of optimal experience: Steps toward enhancing the quality of life</w:t>
      </w:r>
      <w:r w:rsidRPr="00BC081A">
        <w:rPr>
          <w:lang w:val="en-CA"/>
        </w:rPr>
        <w:t xml:space="preserve">. </w:t>
      </w:r>
      <w:proofErr w:type="gramStart"/>
      <w:r w:rsidRPr="00BC081A">
        <w:rPr>
          <w:lang w:val="en-CA"/>
        </w:rPr>
        <w:t>Harper Collins Publishers.</w:t>
      </w:r>
      <w:proofErr w:type="gramEnd"/>
    </w:p>
    <w:p w14:paraId="49E3076F" w14:textId="77777777" w:rsidR="00536F6A" w:rsidRPr="00BC081A" w:rsidRDefault="00536F6A" w:rsidP="00536F6A">
      <w:pPr>
        <w:pStyle w:val="NormalWeb"/>
        <w:ind w:left="480" w:hanging="480"/>
        <w:rPr>
          <w:lang w:val="en-CA"/>
        </w:rPr>
      </w:pPr>
      <w:proofErr w:type="spellStart"/>
      <w:r w:rsidRPr="00BC081A">
        <w:rPr>
          <w:lang w:val="en-CA"/>
        </w:rPr>
        <w:t>Csikszentmihalyi</w:t>
      </w:r>
      <w:proofErr w:type="spellEnd"/>
      <w:r w:rsidRPr="00BC081A">
        <w:rPr>
          <w:lang w:val="en-CA"/>
        </w:rPr>
        <w:t xml:space="preserve">, M. (1997). </w:t>
      </w:r>
      <w:r w:rsidRPr="00BC081A">
        <w:rPr>
          <w:i/>
          <w:iCs/>
          <w:lang w:val="en-CA"/>
        </w:rPr>
        <w:t>Finding flow: The psychology of engagement with everyday life</w:t>
      </w:r>
      <w:r w:rsidRPr="00BC081A">
        <w:rPr>
          <w:lang w:val="en-CA"/>
        </w:rPr>
        <w:t>. Basic Books.</w:t>
      </w:r>
    </w:p>
    <w:p w14:paraId="25A10F68" w14:textId="77777777" w:rsidR="00536F6A" w:rsidRPr="00BC081A" w:rsidRDefault="00536F6A" w:rsidP="00536F6A">
      <w:pPr>
        <w:pStyle w:val="NormalWeb"/>
        <w:ind w:left="480" w:hanging="480"/>
        <w:rPr>
          <w:lang w:val="en-CA"/>
        </w:rPr>
      </w:pPr>
      <w:proofErr w:type="spellStart"/>
      <w:proofErr w:type="gramStart"/>
      <w:r w:rsidRPr="00BC081A">
        <w:rPr>
          <w:lang w:val="en-CA"/>
        </w:rPr>
        <w:t>Csikszentmihalyi</w:t>
      </w:r>
      <w:proofErr w:type="spellEnd"/>
      <w:r w:rsidRPr="00BC081A">
        <w:rPr>
          <w:lang w:val="en-CA"/>
        </w:rPr>
        <w:t xml:space="preserve">, M., &amp; </w:t>
      </w:r>
      <w:proofErr w:type="spellStart"/>
      <w:r w:rsidRPr="00BC081A">
        <w:rPr>
          <w:lang w:val="en-CA"/>
        </w:rPr>
        <w:t>Csikszentmihalyi</w:t>
      </w:r>
      <w:proofErr w:type="spellEnd"/>
      <w:r w:rsidRPr="00BC081A">
        <w:rPr>
          <w:lang w:val="en-CA"/>
        </w:rPr>
        <w:t>, I. S. (1988).</w:t>
      </w:r>
      <w:proofErr w:type="gramEnd"/>
      <w:r w:rsidRPr="00BC081A">
        <w:rPr>
          <w:lang w:val="en-CA"/>
        </w:rPr>
        <w:t xml:space="preserve"> </w:t>
      </w:r>
      <w:r w:rsidRPr="00BC081A">
        <w:rPr>
          <w:i/>
          <w:iCs/>
          <w:lang w:val="en-CA"/>
        </w:rPr>
        <w:t>Optimal experience</w:t>
      </w:r>
      <w:r w:rsidRPr="00BC081A">
        <w:rPr>
          <w:lang w:val="en-CA"/>
        </w:rPr>
        <w:t xml:space="preserve">. </w:t>
      </w:r>
      <w:proofErr w:type="gramStart"/>
      <w:r w:rsidRPr="00BC081A">
        <w:rPr>
          <w:lang w:val="en-CA"/>
        </w:rPr>
        <w:t>Cambridge University Press.</w:t>
      </w:r>
      <w:proofErr w:type="gramEnd"/>
    </w:p>
    <w:p w14:paraId="2ED8D9B5" w14:textId="77777777" w:rsidR="00536F6A" w:rsidRPr="00BC081A" w:rsidRDefault="00536F6A" w:rsidP="00536F6A">
      <w:pPr>
        <w:pStyle w:val="NormalWeb"/>
        <w:ind w:left="480" w:hanging="480"/>
        <w:rPr>
          <w:lang w:val="en-CA"/>
        </w:rPr>
      </w:pPr>
      <w:proofErr w:type="spellStart"/>
      <w:proofErr w:type="gramStart"/>
      <w:r w:rsidRPr="00BC081A">
        <w:rPr>
          <w:lang w:val="en-CA"/>
        </w:rPr>
        <w:t>Csikszentmihalyi</w:t>
      </w:r>
      <w:proofErr w:type="spellEnd"/>
      <w:r w:rsidRPr="00BC081A">
        <w:rPr>
          <w:lang w:val="en-CA"/>
        </w:rPr>
        <w:t xml:space="preserve">, M., &amp; </w:t>
      </w:r>
      <w:proofErr w:type="spellStart"/>
      <w:r w:rsidRPr="00BC081A">
        <w:rPr>
          <w:lang w:val="en-CA"/>
        </w:rPr>
        <w:t>LeFevre</w:t>
      </w:r>
      <w:proofErr w:type="spellEnd"/>
      <w:r w:rsidRPr="00BC081A">
        <w:rPr>
          <w:lang w:val="en-CA"/>
        </w:rPr>
        <w:t>, J. (1989).</w:t>
      </w:r>
      <w:proofErr w:type="gramEnd"/>
      <w:r w:rsidRPr="00BC081A">
        <w:rPr>
          <w:lang w:val="en-CA"/>
        </w:rPr>
        <w:t xml:space="preserve"> </w:t>
      </w:r>
      <w:proofErr w:type="gramStart"/>
      <w:r w:rsidRPr="00BC081A">
        <w:rPr>
          <w:lang w:val="en-CA"/>
        </w:rPr>
        <w:t>Optimal experience in work and leisure.</w:t>
      </w:r>
      <w:proofErr w:type="gramEnd"/>
      <w:r w:rsidRPr="00BC081A">
        <w:rPr>
          <w:lang w:val="en-CA"/>
        </w:rPr>
        <w:t xml:space="preserve"> </w:t>
      </w:r>
      <w:r w:rsidRPr="00BC081A">
        <w:rPr>
          <w:i/>
          <w:iCs/>
          <w:lang w:val="en-CA"/>
        </w:rPr>
        <w:t>Journal of personality and social psychology</w:t>
      </w:r>
      <w:r w:rsidRPr="00BC081A">
        <w:rPr>
          <w:lang w:val="en-CA"/>
        </w:rPr>
        <w:t xml:space="preserve">, </w:t>
      </w:r>
      <w:r w:rsidRPr="00BC081A">
        <w:rPr>
          <w:i/>
          <w:iCs/>
          <w:lang w:val="en-CA"/>
        </w:rPr>
        <w:t>56</w:t>
      </w:r>
      <w:r w:rsidRPr="00BC081A">
        <w:rPr>
          <w:lang w:val="en-CA"/>
        </w:rPr>
        <w:t>(5), 815-22.</w:t>
      </w:r>
    </w:p>
    <w:p w14:paraId="5024AED3" w14:textId="77777777" w:rsidR="00536F6A" w:rsidRPr="00BC081A" w:rsidRDefault="00536F6A" w:rsidP="00536F6A">
      <w:pPr>
        <w:pStyle w:val="NormalWeb"/>
        <w:ind w:left="480" w:hanging="480"/>
        <w:rPr>
          <w:lang w:val="en-CA"/>
        </w:rPr>
      </w:pPr>
      <w:r w:rsidRPr="00BC081A">
        <w:rPr>
          <w:lang w:val="en-CA"/>
        </w:rPr>
        <w:t xml:space="preserve">Davis, F. D., </w:t>
      </w:r>
      <w:proofErr w:type="spellStart"/>
      <w:r w:rsidRPr="00BC081A">
        <w:rPr>
          <w:lang w:val="en-CA"/>
        </w:rPr>
        <w:t>Bagozzi</w:t>
      </w:r>
      <w:proofErr w:type="spellEnd"/>
      <w:r w:rsidRPr="00BC081A">
        <w:rPr>
          <w:lang w:val="en-CA"/>
        </w:rPr>
        <w:t xml:space="preserve">, R. P., &amp; </w:t>
      </w:r>
      <w:proofErr w:type="spellStart"/>
      <w:r w:rsidRPr="00BC081A">
        <w:rPr>
          <w:lang w:val="en-CA"/>
        </w:rPr>
        <w:t>Warshaw</w:t>
      </w:r>
      <w:proofErr w:type="spellEnd"/>
      <w:r w:rsidRPr="00BC081A">
        <w:rPr>
          <w:lang w:val="en-CA"/>
        </w:rPr>
        <w:t xml:space="preserve">, P. R. (1989). User Acceptance of Computer Technology: A Comparison of Two Theoretical Models. </w:t>
      </w:r>
      <w:r w:rsidRPr="00BC081A">
        <w:rPr>
          <w:i/>
          <w:iCs/>
          <w:lang w:val="en-CA"/>
        </w:rPr>
        <w:t>Management Science</w:t>
      </w:r>
      <w:r w:rsidRPr="00BC081A">
        <w:rPr>
          <w:lang w:val="en-CA"/>
        </w:rPr>
        <w:t xml:space="preserve">, </w:t>
      </w:r>
      <w:r w:rsidRPr="00BC081A">
        <w:rPr>
          <w:i/>
          <w:iCs/>
          <w:lang w:val="en-CA"/>
        </w:rPr>
        <w:t>35</w:t>
      </w:r>
      <w:r w:rsidRPr="00BC081A">
        <w:rPr>
          <w:lang w:val="en-CA"/>
        </w:rPr>
        <w:t>(8), 982-1003. doi</w:t>
      </w:r>
      <w:proofErr w:type="gramStart"/>
      <w:r w:rsidRPr="00BC081A">
        <w:rPr>
          <w:lang w:val="en-CA"/>
        </w:rPr>
        <w:t>:10.1287</w:t>
      </w:r>
      <w:proofErr w:type="gramEnd"/>
      <w:r w:rsidRPr="00BC081A">
        <w:rPr>
          <w:lang w:val="en-CA"/>
        </w:rPr>
        <w:t>/mnsc.35.8.982</w:t>
      </w:r>
    </w:p>
    <w:p w14:paraId="2A53A5BA" w14:textId="77777777" w:rsidR="00536F6A" w:rsidRPr="00BC081A" w:rsidRDefault="00536F6A" w:rsidP="00536F6A">
      <w:pPr>
        <w:pStyle w:val="NormalWeb"/>
        <w:ind w:left="480" w:hanging="480"/>
        <w:rPr>
          <w:lang w:val="en-CA"/>
        </w:rPr>
      </w:pPr>
      <w:r w:rsidRPr="00BC081A">
        <w:rPr>
          <w:lang w:val="en-CA"/>
        </w:rPr>
        <w:t xml:space="preserve">* Deng, L., Turner, D. E., </w:t>
      </w:r>
      <w:proofErr w:type="spellStart"/>
      <w:r w:rsidRPr="00BC081A">
        <w:rPr>
          <w:lang w:val="en-CA"/>
        </w:rPr>
        <w:t>Gehling</w:t>
      </w:r>
      <w:proofErr w:type="spellEnd"/>
      <w:r w:rsidRPr="00BC081A">
        <w:rPr>
          <w:lang w:val="en-CA"/>
        </w:rPr>
        <w:t xml:space="preserve">, R., &amp; Prince, B. (2010). </w:t>
      </w:r>
      <w:proofErr w:type="gramStart"/>
      <w:r w:rsidRPr="00BC081A">
        <w:rPr>
          <w:lang w:val="en-CA"/>
        </w:rPr>
        <w:t>User experience, satisfaction, and continual usage intention of IT.</w:t>
      </w:r>
      <w:proofErr w:type="gramEnd"/>
      <w:r w:rsidRPr="00BC081A">
        <w:rPr>
          <w:lang w:val="en-CA"/>
        </w:rPr>
        <w:t xml:space="preserve"> </w:t>
      </w:r>
      <w:proofErr w:type="gramStart"/>
      <w:r w:rsidRPr="00BC081A">
        <w:rPr>
          <w:i/>
          <w:iCs/>
          <w:lang w:val="en-CA"/>
        </w:rPr>
        <w:t>European Journal of Information Systems</w:t>
      </w:r>
      <w:r w:rsidRPr="00BC081A">
        <w:rPr>
          <w:lang w:val="en-CA"/>
        </w:rPr>
        <w:t xml:space="preserve">, </w:t>
      </w:r>
      <w:r w:rsidRPr="00BC081A">
        <w:rPr>
          <w:i/>
          <w:iCs/>
          <w:lang w:val="en-CA"/>
        </w:rPr>
        <w:t>19</w:t>
      </w:r>
      <w:r w:rsidRPr="00BC081A">
        <w:rPr>
          <w:lang w:val="en-CA"/>
        </w:rPr>
        <w:t>(1), 60-75.</w:t>
      </w:r>
      <w:proofErr w:type="gramEnd"/>
      <w:r w:rsidRPr="00BC081A">
        <w:rPr>
          <w:lang w:val="en-CA"/>
        </w:rPr>
        <w:t xml:space="preserve"> Palgrave Macmillan. </w:t>
      </w:r>
      <w:proofErr w:type="gramStart"/>
      <w:r w:rsidRPr="00BC081A">
        <w:rPr>
          <w:lang w:val="en-CA"/>
        </w:rPr>
        <w:t>doi:10.1057</w:t>
      </w:r>
      <w:proofErr w:type="gramEnd"/>
      <w:r w:rsidRPr="00BC081A">
        <w:rPr>
          <w:lang w:val="en-CA"/>
        </w:rPr>
        <w:t>/ejis.2009.50</w:t>
      </w:r>
    </w:p>
    <w:p w14:paraId="66099893" w14:textId="77777777" w:rsidR="00536F6A" w:rsidRPr="00BC081A" w:rsidRDefault="00536F6A" w:rsidP="00536F6A">
      <w:pPr>
        <w:pStyle w:val="NormalWeb"/>
        <w:ind w:left="480" w:hanging="480"/>
        <w:rPr>
          <w:lang w:val="en-CA"/>
        </w:rPr>
      </w:pPr>
      <w:proofErr w:type="spellStart"/>
      <w:r w:rsidRPr="00BC081A">
        <w:rPr>
          <w:lang w:val="en-CA"/>
        </w:rPr>
        <w:t>Dimoka</w:t>
      </w:r>
      <w:proofErr w:type="spellEnd"/>
      <w:r w:rsidRPr="00BC081A">
        <w:rPr>
          <w:lang w:val="en-CA"/>
        </w:rPr>
        <w:t xml:space="preserve">, A. (2010). What does the brain tell us about trust and distrust? </w:t>
      </w:r>
      <w:proofErr w:type="gramStart"/>
      <w:r w:rsidRPr="00BC081A">
        <w:rPr>
          <w:lang w:val="en-CA"/>
        </w:rPr>
        <w:t>Evidence from a functional neuroimaging study.</w:t>
      </w:r>
      <w:proofErr w:type="gramEnd"/>
      <w:r w:rsidRPr="00BC081A">
        <w:rPr>
          <w:lang w:val="en-CA"/>
        </w:rPr>
        <w:t xml:space="preserve"> </w:t>
      </w:r>
      <w:r w:rsidRPr="00BC081A">
        <w:rPr>
          <w:i/>
          <w:iCs/>
          <w:lang w:val="en-CA"/>
        </w:rPr>
        <w:t>MIS Quarterly</w:t>
      </w:r>
      <w:r w:rsidRPr="00BC081A">
        <w:rPr>
          <w:lang w:val="en-CA"/>
        </w:rPr>
        <w:t xml:space="preserve">, </w:t>
      </w:r>
      <w:r w:rsidRPr="00BC081A">
        <w:rPr>
          <w:i/>
          <w:iCs/>
          <w:lang w:val="en-CA"/>
        </w:rPr>
        <w:t>34</w:t>
      </w:r>
      <w:r w:rsidRPr="00BC081A">
        <w:rPr>
          <w:lang w:val="en-CA"/>
        </w:rPr>
        <w:t xml:space="preserve">(2), 373–396. </w:t>
      </w:r>
      <w:proofErr w:type="gramStart"/>
      <w:r w:rsidRPr="00BC081A">
        <w:rPr>
          <w:lang w:val="en-CA"/>
        </w:rPr>
        <w:t>Society for Information Management and The Management Information Systems Research Center.</w:t>
      </w:r>
      <w:proofErr w:type="gramEnd"/>
    </w:p>
    <w:p w14:paraId="192F2E99" w14:textId="77777777" w:rsidR="00536F6A" w:rsidRPr="00BC081A" w:rsidRDefault="00536F6A" w:rsidP="00536F6A">
      <w:pPr>
        <w:pStyle w:val="NormalWeb"/>
        <w:ind w:left="480" w:hanging="480"/>
        <w:rPr>
          <w:lang w:val="en-CA"/>
        </w:rPr>
      </w:pPr>
      <w:r w:rsidRPr="00BC081A">
        <w:rPr>
          <w:lang w:val="en-CA"/>
        </w:rPr>
        <w:t xml:space="preserve">Ellis, G. D., </w:t>
      </w:r>
      <w:proofErr w:type="spellStart"/>
      <w:r w:rsidRPr="00BC081A">
        <w:rPr>
          <w:lang w:val="en-CA"/>
        </w:rPr>
        <w:t>Voelkl</w:t>
      </w:r>
      <w:proofErr w:type="spellEnd"/>
      <w:r w:rsidRPr="00BC081A">
        <w:rPr>
          <w:lang w:val="en-CA"/>
        </w:rPr>
        <w:t xml:space="preserve">, J. E., &amp; Morris, C. (1994). </w:t>
      </w:r>
      <w:proofErr w:type="gramStart"/>
      <w:r w:rsidRPr="00BC081A">
        <w:rPr>
          <w:lang w:val="en-CA"/>
        </w:rPr>
        <w:t>Measurement and analysis issues with explanation of variance in daily experience using the flow model.</w:t>
      </w:r>
      <w:proofErr w:type="gramEnd"/>
      <w:r w:rsidRPr="00BC081A">
        <w:rPr>
          <w:lang w:val="en-CA"/>
        </w:rPr>
        <w:t xml:space="preserve"> </w:t>
      </w:r>
      <w:proofErr w:type="gramStart"/>
      <w:r w:rsidRPr="00BC081A">
        <w:rPr>
          <w:i/>
          <w:iCs/>
          <w:lang w:val="en-CA"/>
        </w:rPr>
        <w:t>Journal of Leisure Research</w:t>
      </w:r>
      <w:r w:rsidRPr="00BC081A">
        <w:rPr>
          <w:lang w:val="en-CA"/>
        </w:rPr>
        <w:t xml:space="preserve">, </w:t>
      </w:r>
      <w:r w:rsidRPr="00BC081A">
        <w:rPr>
          <w:i/>
          <w:iCs/>
          <w:lang w:val="en-CA"/>
        </w:rPr>
        <w:t>26</w:t>
      </w:r>
      <w:r w:rsidRPr="00BC081A">
        <w:rPr>
          <w:lang w:val="en-CA"/>
        </w:rPr>
        <w:t>(4), 337–337.</w:t>
      </w:r>
      <w:proofErr w:type="gramEnd"/>
      <w:r w:rsidRPr="00BC081A">
        <w:rPr>
          <w:lang w:val="en-CA"/>
        </w:rPr>
        <w:t xml:space="preserve"> NATIONAL RECREATION AND PARK ASSOCIATION.</w:t>
      </w:r>
    </w:p>
    <w:p w14:paraId="421B6C56" w14:textId="77777777" w:rsidR="00536F6A" w:rsidRPr="00BC081A" w:rsidRDefault="00536F6A" w:rsidP="00536F6A">
      <w:pPr>
        <w:pStyle w:val="NormalWeb"/>
        <w:ind w:left="480" w:hanging="480"/>
        <w:rPr>
          <w:lang w:val="en-CA"/>
        </w:rPr>
      </w:pPr>
      <w:proofErr w:type="spellStart"/>
      <w:proofErr w:type="gramStart"/>
      <w:r w:rsidRPr="00BC081A">
        <w:rPr>
          <w:lang w:val="en-CA"/>
        </w:rPr>
        <w:t>Fishbein</w:t>
      </w:r>
      <w:proofErr w:type="spellEnd"/>
      <w:r w:rsidRPr="00BC081A">
        <w:rPr>
          <w:lang w:val="en-CA"/>
        </w:rPr>
        <w:t xml:space="preserve">, M., &amp; </w:t>
      </w:r>
      <w:proofErr w:type="spellStart"/>
      <w:r w:rsidRPr="00BC081A">
        <w:rPr>
          <w:lang w:val="en-CA"/>
        </w:rPr>
        <w:t>Ajzen</w:t>
      </w:r>
      <w:proofErr w:type="spellEnd"/>
      <w:r w:rsidRPr="00BC081A">
        <w:rPr>
          <w:lang w:val="en-CA"/>
        </w:rPr>
        <w:t>, I. (1975).</w:t>
      </w:r>
      <w:proofErr w:type="gramEnd"/>
      <w:r w:rsidRPr="00BC081A">
        <w:rPr>
          <w:lang w:val="en-CA"/>
        </w:rPr>
        <w:t xml:space="preserve"> </w:t>
      </w:r>
      <w:r w:rsidRPr="00BC081A">
        <w:rPr>
          <w:i/>
          <w:iCs/>
          <w:lang w:val="en-CA"/>
        </w:rPr>
        <w:t>Belief, attitude, intention and behaviour: An introduction to theory and research</w:t>
      </w:r>
      <w:r w:rsidRPr="00BC081A">
        <w:rPr>
          <w:lang w:val="en-CA"/>
        </w:rPr>
        <w:t>. Addison-Wesley.</w:t>
      </w:r>
    </w:p>
    <w:p w14:paraId="31180765" w14:textId="77777777" w:rsidR="00536F6A" w:rsidRPr="00BC081A" w:rsidRDefault="00536F6A" w:rsidP="00536F6A">
      <w:pPr>
        <w:pStyle w:val="NormalWeb"/>
        <w:ind w:left="480" w:hanging="480"/>
        <w:rPr>
          <w:lang w:val="en-CA"/>
        </w:rPr>
      </w:pPr>
      <w:proofErr w:type="spellStart"/>
      <w:r w:rsidRPr="00BC081A">
        <w:rPr>
          <w:lang w:val="en-CA"/>
        </w:rPr>
        <w:t>Ghani</w:t>
      </w:r>
      <w:proofErr w:type="spellEnd"/>
      <w:r w:rsidRPr="00BC081A">
        <w:rPr>
          <w:lang w:val="en-CA"/>
        </w:rPr>
        <w:t xml:space="preserve">, J. A., &amp; </w:t>
      </w:r>
      <w:proofErr w:type="spellStart"/>
      <w:r w:rsidRPr="00BC081A">
        <w:rPr>
          <w:lang w:val="en-CA"/>
        </w:rPr>
        <w:t>Deshpande</w:t>
      </w:r>
      <w:proofErr w:type="spellEnd"/>
      <w:r w:rsidRPr="00BC081A">
        <w:rPr>
          <w:lang w:val="en-CA"/>
        </w:rPr>
        <w:t xml:space="preserve">, S. P. (1994). Task Characteristics and the Experience of Optimal Flow in Human—Computer Interaction. </w:t>
      </w:r>
      <w:proofErr w:type="gramStart"/>
      <w:r w:rsidRPr="00BC081A">
        <w:rPr>
          <w:i/>
          <w:iCs/>
          <w:lang w:val="en-CA"/>
        </w:rPr>
        <w:t>the</w:t>
      </w:r>
      <w:proofErr w:type="gramEnd"/>
      <w:r w:rsidRPr="00BC081A">
        <w:rPr>
          <w:i/>
          <w:iCs/>
          <w:lang w:val="en-CA"/>
        </w:rPr>
        <w:t xml:space="preserve"> journal of psychology</w:t>
      </w:r>
      <w:r w:rsidRPr="00BC081A">
        <w:rPr>
          <w:lang w:val="en-CA"/>
        </w:rPr>
        <w:t xml:space="preserve">, </w:t>
      </w:r>
      <w:r w:rsidRPr="00BC081A">
        <w:rPr>
          <w:i/>
          <w:iCs/>
          <w:lang w:val="en-CA"/>
        </w:rPr>
        <w:t>128</w:t>
      </w:r>
      <w:r w:rsidRPr="00BC081A">
        <w:rPr>
          <w:lang w:val="en-CA"/>
        </w:rPr>
        <w:t xml:space="preserve">(4), 381–391. </w:t>
      </w:r>
      <w:proofErr w:type="gramStart"/>
      <w:r w:rsidRPr="00BC081A">
        <w:rPr>
          <w:lang w:val="en-CA"/>
        </w:rPr>
        <w:t>Taylor &amp; Francis.</w:t>
      </w:r>
      <w:proofErr w:type="gramEnd"/>
    </w:p>
    <w:p w14:paraId="01E0739B" w14:textId="77777777" w:rsidR="00536F6A" w:rsidRPr="00BC081A" w:rsidRDefault="00536F6A" w:rsidP="00536F6A">
      <w:pPr>
        <w:pStyle w:val="NormalWeb"/>
        <w:ind w:left="480" w:hanging="480"/>
        <w:rPr>
          <w:lang w:val="en-CA"/>
        </w:rPr>
      </w:pPr>
      <w:r w:rsidRPr="00BC081A">
        <w:rPr>
          <w:lang w:val="en-CA"/>
        </w:rPr>
        <w:t xml:space="preserve">Glass, G. V. (1976). </w:t>
      </w:r>
      <w:proofErr w:type="gramStart"/>
      <w:r w:rsidRPr="00BC081A">
        <w:rPr>
          <w:lang w:val="en-CA"/>
        </w:rPr>
        <w:t>Primary, Secondary, and Meta-Analysis of Research.</w:t>
      </w:r>
      <w:proofErr w:type="gramEnd"/>
      <w:r w:rsidRPr="00BC081A">
        <w:rPr>
          <w:lang w:val="en-CA"/>
        </w:rPr>
        <w:t xml:space="preserve"> </w:t>
      </w:r>
      <w:r w:rsidRPr="00BC081A">
        <w:rPr>
          <w:i/>
          <w:iCs/>
          <w:lang w:val="en-CA"/>
        </w:rPr>
        <w:t>Educational researcher</w:t>
      </w:r>
      <w:r w:rsidRPr="00BC081A">
        <w:rPr>
          <w:lang w:val="en-CA"/>
        </w:rPr>
        <w:t xml:space="preserve">, </w:t>
      </w:r>
      <w:r w:rsidRPr="00BC081A">
        <w:rPr>
          <w:i/>
          <w:iCs/>
          <w:lang w:val="en-CA"/>
        </w:rPr>
        <w:t>5</w:t>
      </w:r>
      <w:r w:rsidRPr="00BC081A">
        <w:rPr>
          <w:lang w:val="en-CA"/>
        </w:rPr>
        <w:t>(10), 3–8. JSTOR.</w:t>
      </w:r>
    </w:p>
    <w:p w14:paraId="1ABFA07B" w14:textId="77777777" w:rsidR="00536F6A" w:rsidRPr="00BC081A" w:rsidRDefault="00536F6A" w:rsidP="00536F6A">
      <w:pPr>
        <w:pStyle w:val="NormalWeb"/>
        <w:ind w:left="480" w:hanging="480"/>
        <w:rPr>
          <w:lang w:val="en-CA"/>
        </w:rPr>
      </w:pPr>
      <w:r w:rsidRPr="00BC081A">
        <w:rPr>
          <w:lang w:val="en-CA"/>
        </w:rPr>
        <w:t xml:space="preserve">* </w:t>
      </w:r>
      <w:proofErr w:type="spellStart"/>
      <w:r w:rsidRPr="00BC081A">
        <w:rPr>
          <w:lang w:val="en-CA"/>
        </w:rPr>
        <w:t>Guo</w:t>
      </w:r>
      <w:proofErr w:type="spellEnd"/>
      <w:r w:rsidRPr="00BC081A">
        <w:rPr>
          <w:lang w:val="en-CA"/>
        </w:rPr>
        <w:t xml:space="preserve">, Y.M., &amp; Ro, Y. K. (2008). </w:t>
      </w:r>
      <w:proofErr w:type="gramStart"/>
      <w:r w:rsidRPr="00BC081A">
        <w:rPr>
          <w:lang w:val="en-CA"/>
        </w:rPr>
        <w:t>Capturing flow in the business classroom.</w:t>
      </w:r>
      <w:proofErr w:type="gramEnd"/>
      <w:r w:rsidRPr="00BC081A">
        <w:rPr>
          <w:lang w:val="en-CA"/>
        </w:rPr>
        <w:t xml:space="preserve"> </w:t>
      </w:r>
      <w:r w:rsidRPr="00BC081A">
        <w:rPr>
          <w:i/>
          <w:iCs/>
          <w:lang w:val="en-CA"/>
        </w:rPr>
        <w:t>Decision Sciences Journal of Innovative Education</w:t>
      </w:r>
      <w:r w:rsidRPr="00BC081A">
        <w:rPr>
          <w:lang w:val="en-CA"/>
        </w:rPr>
        <w:t xml:space="preserve">, </w:t>
      </w:r>
      <w:r w:rsidRPr="00BC081A">
        <w:rPr>
          <w:i/>
          <w:iCs/>
          <w:lang w:val="en-CA"/>
        </w:rPr>
        <w:t>6</w:t>
      </w:r>
      <w:r w:rsidRPr="00BC081A">
        <w:rPr>
          <w:lang w:val="en-CA"/>
        </w:rPr>
        <w:t xml:space="preserve">(2), </w:t>
      </w:r>
      <w:proofErr w:type="gramStart"/>
      <w:r w:rsidRPr="00BC081A">
        <w:rPr>
          <w:lang w:val="en-CA"/>
        </w:rPr>
        <w:t>437</w:t>
      </w:r>
      <w:proofErr w:type="gramEnd"/>
      <w:r w:rsidRPr="00BC081A">
        <w:rPr>
          <w:lang w:val="en-CA"/>
        </w:rPr>
        <w:t xml:space="preserve">–462. </w:t>
      </w:r>
      <w:proofErr w:type="gramStart"/>
      <w:r w:rsidRPr="00BC081A">
        <w:rPr>
          <w:lang w:val="en-CA"/>
        </w:rPr>
        <w:t>Wiley Online Library.</w:t>
      </w:r>
      <w:proofErr w:type="gramEnd"/>
    </w:p>
    <w:p w14:paraId="447C57BE" w14:textId="77777777" w:rsidR="00536F6A" w:rsidRPr="00BC081A" w:rsidRDefault="00536F6A" w:rsidP="00536F6A">
      <w:pPr>
        <w:pStyle w:val="NormalWeb"/>
        <w:ind w:left="480" w:hanging="480"/>
        <w:rPr>
          <w:lang w:val="en-CA"/>
        </w:rPr>
      </w:pPr>
      <w:proofErr w:type="spellStart"/>
      <w:r w:rsidRPr="00BC081A">
        <w:rPr>
          <w:lang w:val="en-CA"/>
        </w:rPr>
        <w:t>Hassanein</w:t>
      </w:r>
      <w:proofErr w:type="spellEnd"/>
      <w:r w:rsidRPr="00BC081A">
        <w:rPr>
          <w:lang w:val="en-CA"/>
        </w:rPr>
        <w:t xml:space="preserve">, K., &amp; Head, M. (2007). Manipulating perceived social presence through the web interface and its impact on attitude towards online shopping. </w:t>
      </w:r>
      <w:r w:rsidRPr="00BC081A">
        <w:rPr>
          <w:i/>
          <w:iCs/>
          <w:lang w:val="en-CA"/>
        </w:rPr>
        <w:t>International Journal of Human-Computer Studies</w:t>
      </w:r>
      <w:r w:rsidRPr="00BC081A">
        <w:rPr>
          <w:lang w:val="en-CA"/>
        </w:rPr>
        <w:t xml:space="preserve">, </w:t>
      </w:r>
      <w:r w:rsidRPr="00BC081A">
        <w:rPr>
          <w:i/>
          <w:iCs/>
          <w:lang w:val="en-CA"/>
        </w:rPr>
        <w:t>65</w:t>
      </w:r>
      <w:r w:rsidRPr="00BC081A">
        <w:rPr>
          <w:lang w:val="en-CA"/>
        </w:rPr>
        <w:t xml:space="preserve">(8), 689–708. Elsevier. </w:t>
      </w:r>
      <w:proofErr w:type="gramStart"/>
      <w:r w:rsidRPr="00BC081A">
        <w:rPr>
          <w:lang w:val="en-CA"/>
        </w:rPr>
        <w:t>doi:10.1016</w:t>
      </w:r>
      <w:proofErr w:type="gramEnd"/>
      <w:r w:rsidRPr="00BC081A">
        <w:rPr>
          <w:lang w:val="en-CA"/>
        </w:rPr>
        <w:t>/j.ijhcs.2006.11.018</w:t>
      </w:r>
    </w:p>
    <w:p w14:paraId="713EE252" w14:textId="77777777" w:rsidR="00536F6A" w:rsidRPr="00BC081A" w:rsidRDefault="00536F6A" w:rsidP="00536F6A">
      <w:pPr>
        <w:pStyle w:val="NormalWeb"/>
        <w:ind w:left="480" w:hanging="480"/>
        <w:rPr>
          <w:lang w:val="en-CA"/>
        </w:rPr>
      </w:pPr>
      <w:r w:rsidRPr="00BC081A">
        <w:rPr>
          <w:lang w:val="en-CA"/>
        </w:rPr>
        <w:lastRenderedPageBreak/>
        <w:t xml:space="preserve">Hoffman, Donna L., &amp; Novak, T. P. (1996). Marketing in Hypermedia Computer-Mediated Environments: Conceptual Foundations. </w:t>
      </w:r>
      <w:proofErr w:type="gramStart"/>
      <w:r w:rsidRPr="00BC081A">
        <w:rPr>
          <w:i/>
          <w:iCs/>
          <w:lang w:val="en-CA"/>
        </w:rPr>
        <w:t>Journal of Marketing</w:t>
      </w:r>
      <w:r w:rsidRPr="00BC081A">
        <w:rPr>
          <w:lang w:val="en-CA"/>
        </w:rPr>
        <w:t xml:space="preserve">, </w:t>
      </w:r>
      <w:r w:rsidRPr="00BC081A">
        <w:rPr>
          <w:i/>
          <w:iCs/>
          <w:lang w:val="en-CA"/>
        </w:rPr>
        <w:t>60</w:t>
      </w:r>
      <w:r w:rsidRPr="00BC081A">
        <w:rPr>
          <w:lang w:val="en-CA"/>
        </w:rPr>
        <w:t>(3), 50.</w:t>
      </w:r>
      <w:proofErr w:type="gramEnd"/>
      <w:r w:rsidRPr="00BC081A">
        <w:rPr>
          <w:lang w:val="en-CA"/>
        </w:rPr>
        <w:t xml:space="preserve"> </w:t>
      </w:r>
      <w:proofErr w:type="gramStart"/>
      <w:r w:rsidRPr="00BC081A">
        <w:rPr>
          <w:lang w:val="en-CA"/>
        </w:rPr>
        <w:t>doi:10.2307</w:t>
      </w:r>
      <w:proofErr w:type="gramEnd"/>
      <w:r w:rsidRPr="00BC081A">
        <w:rPr>
          <w:lang w:val="en-CA"/>
        </w:rPr>
        <w:t>/1251841</w:t>
      </w:r>
    </w:p>
    <w:p w14:paraId="147D5CE0" w14:textId="77777777" w:rsidR="00536F6A" w:rsidRPr="00BC081A" w:rsidRDefault="00536F6A" w:rsidP="00536F6A">
      <w:pPr>
        <w:pStyle w:val="NormalWeb"/>
        <w:ind w:left="480" w:hanging="480"/>
        <w:rPr>
          <w:lang w:val="en-CA"/>
        </w:rPr>
      </w:pPr>
      <w:r w:rsidRPr="00BC081A">
        <w:rPr>
          <w:lang w:val="en-CA"/>
        </w:rPr>
        <w:t xml:space="preserve">Hoffman, Donna L., &amp; Novak, T. P. (2009). Flow Online: Lessons Learned and Future Prospects. </w:t>
      </w:r>
      <w:proofErr w:type="gramStart"/>
      <w:r w:rsidRPr="00BC081A">
        <w:rPr>
          <w:i/>
          <w:iCs/>
          <w:lang w:val="en-CA"/>
        </w:rPr>
        <w:t>Journal of Interactive Marketing</w:t>
      </w:r>
      <w:r w:rsidRPr="00BC081A">
        <w:rPr>
          <w:lang w:val="en-CA"/>
        </w:rPr>
        <w:t xml:space="preserve">, </w:t>
      </w:r>
      <w:r w:rsidRPr="00BC081A">
        <w:rPr>
          <w:i/>
          <w:iCs/>
          <w:lang w:val="en-CA"/>
        </w:rPr>
        <w:t>23</w:t>
      </w:r>
      <w:r w:rsidRPr="00BC081A">
        <w:rPr>
          <w:lang w:val="en-CA"/>
        </w:rPr>
        <w:t>(1), 23-34.</w:t>
      </w:r>
      <w:proofErr w:type="gramEnd"/>
      <w:r w:rsidRPr="00BC081A">
        <w:rPr>
          <w:lang w:val="en-CA"/>
        </w:rPr>
        <w:t xml:space="preserve"> Direct Marketing Educational Foundation, Inc. doi</w:t>
      </w:r>
      <w:proofErr w:type="gramStart"/>
      <w:r w:rsidRPr="00BC081A">
        <w:rPr>
          <w:lang w:val="en-CA"/>
        </w:rPr>
        <w:t>:10.1016</w:t>
      </w:r>
      <w:proofErr w:type="gramEnd"/>
      <w:r w:rsidRPr="00BC081A">
        <w:rPr>
          <w:lang w:val="en-CA"/>
        </w:rPr>
        <w:t>/j.intmar.2008.10.003</w:t>
      </w:r>
    </w:p>
    <w:p w14:paraId="2860C53C" w14:textId="77777777" w:rsidR="00536F6A" w:rsidRPr="00BC081A" w:rsidRDefault="00536F6A" w:rsidP="00536F6A">
      <w:pPr>
        <w:pStyle w:val="NormalWeb"/>
        <w:ind w:left="480" w:hanging="480"/>
        <w:rPr>
          <w:lang w:val="en-CA"/>
        </w:rPr>
      </w:pPr>
      <w:proofErr w:type="spellStart"/>
      <w:r w:rsidRPr="00BC081A">
        <w:rPr>
          <w:lang w:val="en-CA"/>
        </w:rPr>
        <w:t>Holsapple</w:t>
      </w:r>
      <w:proofErr w:type="spellEnd"/>
      <w:r w:rsidRPr="00BC081A">
        <w:rPr>
          <w:lang w:val="en-CA"/>
        </w:rPr>
        <w:t xml:space="preserve">, C. W., &amp; Wu, J. (2007). User acceptance of virtual worlds: the Hedonic framework. </w:t>
      </w:r>
      <w:r w:rsidRPr="00BC081A">
        <w:rPr>
          <w:i/>
          <w:iCs/>
          <w:lang w:val="en-CA"/>
        </w:rPr>
        <w:t>ACM SIGMIS Database</w:t>
      </w:r>
      <w:r w:rsidRPr="00BC081A">
        <w:rPr>
          <w:lang w:val="en-CA"/>
        </w:rPr>
        <w:t xml:space="preserve">, </w:t>
      </w:r>
      <w:r w:rsidRPr="00BC081A">
        <w:rPr>
          <w:i/>
          <w:iCs/>
          <w:lang w:val="en-CA"/>
        </w:rPr>
        <w:t>38</w:t>
      </w:r>
      <w:r w:rsidRPr="00BC081A">
        <w:rPr>
          <w:lang w:val="en-CA"/>
        </w:rPr>
        <w:t>(4), 86–89. ACM.</w:t>
      </w:r>
    </w:p>
    <w:p w14:paraId="237B49B1" w14:textId="77777777" w:rsidR="00536F6A" w:rsidRPr="00BC081A" w:rsidRDefault="00536F6A" w:rsidP="00536F6A">
      <w:pPr>
        <w:pStyle w:val="NormalWeb"/>
        <w:ind w:left="480" w:hanging="480"/>
        <w:rPr>
          <w:lang w:val="en-CA"/>
        </w:rPr>
      </w:pPr>
      <w:r w:rsidRPr="00BC081A">
        <w:rPr>
          <w:lang w:val="en-CA"/>
        </w:rPr>
        <w:t xml:space="preserve">* Hooker, R. (2010). </w:t>
      </w:r>
      <w:r w:rsidRPr="00BC081A">
        <w:rPr>
          <w:i/>
          <w:iCs/>
          <w:lang w:val="en-CA"/>
        </w:rPr>
        <w:t xml:space="preserve">Going with the Flow: Linking Flow, Brand </w:t>
      </w:r>
      <w:proofErr w:type="spellStart"/>
      <w:r w:rsidRPr="00BC081A">
        <w:rPr>
          <w:i/>
          <w:iCs/>
          <w:lang w:val="en-CA"/>
        </w:rPr>
        <w:t>Attitudedes</w:t>
      </w:r>
      <w:proofErr w:type="spellEnd"/>
      <w:r w:rsidRPr="00BC081A">
        <w:rPr>
          <w:i/>
          <w:iCs/>
          <w:lang w:val="en-CA"/>
        </w:rPr>
        <w:t>, and Purchase Intent in Virtual Worlds</w:t>
      </w:r>
      <w:r w:rsidRPr="00BC081A">
        <w:rPr>
          <w:lang w:val="en-CA"/>
        </w:rPr>
        <w:t>.</w:t>
      </w:r>
    </w:p>
    <w:p w14:paraId="4BC6DC4C" w14:textId="77777777" w:rsidR="00536F6A" w:rsidRPr="00BC081A" w:rsidRDefault="00536F6A" w:rsidP="00536F6A">
      <w:pPr>
        <w:pStyle w:val="NormalWeb"/>
        <w:ind w:left="480" w:hanging="480"/>
        <w:rPr>
          <w:lang w:val="en-CA"/>
        </w:rPr>
      </w:pPr>
      <w:r w:rsidRPr="00BC081A">
        <w:rPr>
          <w:lang w:val="en-CA"/>
        </w:rPr>
        <w:t xml:space="preserve">* Hsu, C., &amp; Lu, H. (2004). Why do people play on-line games? An extended TAM with social influences and flow experience. </w:t>
      </w:r>
      <w:r w:rsidRPr="00BC081A">
        <w:rPr>
          <w:i/>
          <w:iCs/>
          <w:lang w:val="en-CA"/>
        </w:rPr>
        <w:t>Information &amp;amp; Management</w:t>
      </w:r>
      <w:r w:rsidRPr="00BC081A">
        <w:rPr>
          <w:lang w:val="en-CA"/>
        </w:rPr>
        <w:t xml:space="preserve">, </w:t>
      </w:r>
      <w:r w:rsidRPr="00BC081A">
        <w:rPr>
          <w:i/>
          <w:iCs/>
          <w:lang w:val="en-CA"/>
        </w:rPr>
        <w:t>41</w:t>
      </w:r>
      <w:r w:rsidRPr="00BC081A">
        <w:rPr>
          <w:lang w:val="en-CA"/>
        </w:rPr>
        <w:t xml:space="preserve">(7), 853-868. </w:t>
      </w:r>
      <w:proofErr w:type="gramStart"/>
      <w:r w:rsidRPr="00BC081A">
        <w:rPr>
          <w:lang w:val="en-CA"/>
        </w:rPr>
        <w:t>doi:10.1016</w:t>
      </w:r>
      <w:proofErr w:type="gramEnd"/>
      <w:r w:rsidRPr="00BC081A">
        <w:rPr>
          <w:lang w:val="en-CA"/>
        </w:rPr>
        <w:t>/j.im.2003.08.014</w:t>
      </w:r>
    </w:p>
    <w:p w14:paraId="26FE3703" w14:textId="77777777" w:rsidR="00536F6A" w:rsidRPr="00BC081A" w:rsidRDefault="00536F6A" w:rsidP="00536F6A">
      <w:pPr>
        <w:pStyle w:val="NormalWeb"/>
        <w:ind w:left="480" w:hanging="480"/>
        <w:rPr>
          <w:lang w:val="en-CA"/>
        </w:rPr>
      </w:pPr>
      <w:r w:rsidRPr="00BC081A">
        <w:rPr>
          <w:lang w:val="en-CA"/>
        </w:rPr>
        <w:t xml:space="preserve">Hunter, J. E., &amp; Schmidt, F. L. (1990). </w:t>
      </w:r>
      <w:r w:rsidRPr="00BC081A">
        <w:rPr>
          <w:i/>
          <w:iCs/>
          <w:lang w:val="en-CA"/>
        </w:rPr>
        <w:t>Methods of meta-analysis</w:t>
      </w:r>
      <w:r w:rsidRPr="00BC081A">
        <w:rPr>
          <w:rFonts w:ascii="Times New Roman" w:hAnsi="Times New Roman"/>
          <w:i/>
          <w:iCs/>
          <w:lang w:val="en-CA"/>
        </w:rPr>
        <w:t> </w:t>
      </w:r>
      <w:r w:rsidRPr="00BC081A">
        <w:rPr>
          <w:i/>
          <w:iCs/>
          <w:lang w:val="en-CA"/>
        </w:rPr>
        <w:t>: correcting error and bias in research findings</w:t>
      </w:r>
      <w:r w:rsidRPr="00BC081A">
        <w:rPr>
          <w:lang w:val="en-CA"/>
        </w:rPr>
        <w:t>. Newbury Park: Sage Publications.</w:t>
      </w:r>
    </w:p>
    <w:p w14:paraId="01913B0C" w14:textId="77777777" w:rsidR="00536F6A" w:rsidRPr="00BC081A" w:rsidRDefault="00536F6A" w:rsidP="00536F6A">
      <w:pPr>
        <w:pStyle w:val="NormalWeb"/>
        <w:ind w:left="480" w:hanging="480"/>
        <w:rPr>
          <w:lang w:val="en-CA"/>
        </w:rPr>
      </w:pPr>
      <w:r w:rsidRPr="00BC081A">
        <w:rPr>
          <w:lang w:val="en-CA"/>
        </w:rPr>
        <w:t xml:space="preserve">* Jiang, C., Kim, K. H., Sun, Y., &amp; </w:t>
      </w:r>
      <w:proofErr w:type="spellStart"/>
      <w:r w:rsidRPr="00BC081A">
        <w:rPr>
          <w:lang w:val="en-CA"/>
        </w:rPr>
        <w:t>Peng</w:t>
      </w:r>
      <w:proofErr w:type="spellEnd"/>
      <w:r w:rsidRPr="00BC081A">
        <w:rPr>
          <w:lang w:val="en-CA"/>
        </w:rPr>
        <w:t>, Z. (2009). Does Content Relevance Lead to Positive Attitude toward Websites</w:t>
      </w:r>
      <w:r w:rsidRPr="00BC081A">
        <w:rPr>
          <w:rFonts w:ascii="Times New Roman" w:hAnsi="Times New Roman"/>
          <w:lang w:val="en-CA"/>
        </w:rPr>
        <w:t> </w:t>
      </w:r>
      <w:r w:rsidRPr="00BC081A">
        <w:rPr>
          <w:lang w:val="en-CA"/>
        </w:rPr>
        <w:t xml:space="preserve">? Exploring the Role of Flow and Goal Specificity Does Content Relevance Lead to Positive Attitude toward. </w:t>
      </w:r>
      <w:r w:rsidRPr="00BC081A">
        <w:rPr>
          <w:i/>
          <w:iCs/>
          <w:lang w:val="en-CA"/>
        </w:rPr>
        <w:t>Information Systems</w:t>
      </w:r>
      <w:r w:rsidRPr="00BC081A">
        <w:rPr>
          <w:lang w:val="en-CA"/>
        </w:rPr>
        <w:t>.</w:t>
      </w:r>
    </w:p>
    <w:p w14:paraId="3B92DD61" w14:textId="77777777" w:rsidR="00536F6A" w:rsidRPr="00BC081A" w:rsidRDefault="00536F6A" w:rsidP="00536F6A">
      <w:pPr>
        <w:pStyle w:val="NormalWeb"/>
        <w:ind w:left="480" w:hanging="480"/>
        <w:rPr>
          <w:lang w:val="en-CA"/>
        </w:rPr>
      </w:pPr>
      <w:r w:rsidRPr="00BC081A">
        <w:rPr>
          <w:lang w:val="en-CA"/>
        </w:rPr>
        <w:t xml:space="preserve">* Jung, Y., Perez-Mira, B., &amp; Wiley-Patton, S. (2009). Consumer adoption of mobile TV: Examining psychological flow and media content. </w:t>
      </w:r>
      <w:r w:rsidRPr="00BC081A">
        <w:rPr>
          <w:i/>
          <w:iCs/>
          <w:lang w:val="en-CA"/>
        </w:rPr>
        <w:t xml:space="preserve">Computers in Human </w:t>
      </w:r>
      <w:proofErr w:type="spellStart"/>
      <w:r w:rsidRPr="00BC081A">
        <w:rPr>
          <w:i/>
          <w:iCs/>
          <w:lang w:val="en-CA"/>
        </w:rPr>
        <w:t>Behavior</w:t>
      </w:r>
      <w:proofErr w:type="spellEnd"/>
      <w:r w:rsidRPr="00BC081A">
        <w:rPr>
          <w:lang w:val="en-CA"/>
        </w:rPr>
        <w:t xml:space="preserve">, </w:t>
      </w:r>
      <w:r w:rsidRPr="00BC081A">
        <w:rPr>
          <w:i/>
          <w:iCs/>
          <w:lang w:val="en-CA"/>
        </w:rPr>
        <w:t>25</w:t>
      </w:r>
      <w:r w:rsidRPr="00BC081A">
        <w:rPr>
          <w:lang w:val="en-CA"/>
        </w:rPr>
        <w:t xml:space="preserve">(1), 123–129. Elsevier. </w:t>
      </w:r>
      <w:proofErr w:type="gramStart"/>
      <w:r w:rsidRPr="00BC081A">
        <w:rPr>
          <w:lang w:val="en-CA"/>
        </w:rPr>
        <w:t>doi:10.1016</w:t>
      </w:r>
      <w:proofErr w:type="gramEnd"/>
      <w:r w:rsidRPr="00BC081A">
        <w:rPr>
          <w:lang w:val="en-CA"/>
        </w:rPr>
        <w:t>/j.chb.2008.07.011</w:t>
      </w:r>
    </w:p>
    <w:p w14:paraId="0C43978D"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w:t>
      </w:r>
      <w:proofErr w:type="spellStart"/>
      <w:r w:rsidRPr="00BC081A">
        <w:rPr>
          <w:rFonts w:cs="Times New Roman"/>
          <w:sz w:val="20"/>
          <w:szCs w:val="20"/>
        </w:rPr>
        <w:t>Kamis</w:t>
      </w:r>
      <w:proofErr w:type="spellEnd"/>
      <w:r w:rsidRPr="00BC081A">
        <w:rPr>
          <w:rFonts w:cs="Times New Roman"/>
          <w:sz w:val="20"/>
          <w:szCs w:val="20"/>
        </w:rPr>
        <w:t xml:space="preserve">, A., Stern, T., &amp; </w:t>
      </w:r>
      <w:proofErr w:type="spellStart"/>
      <w:r w:rsidRPr="00BC081A">
        <w:rPr>
          <w:rFonts w:cs="Times New Roman"/>
          <w:sz w:val="20"/>
          <w:szCs w:val="20"/>
        </w:rPr>
        <w:t>Ladik</w:t>
      </w:r>
      <w:proofErr w:type="spellEnd"/>
      <w:r w:rsidRPr="00BC081A">
        <w:rPr>
          <w:rFonts w:cs="Times New Roman"/>
          <w:sz w:val="20"/>
          <w:szCs w:val="20"/>
        </w:rPr>
        <w:t xml:space="preserve">, D. M. (2010). </w:t>
      </w:r>
      <w:proofErr w:type="gramStart"/>
      <w:r w:rsidRPr="00BC081A">
        <w:rPr>
          <w:rFonts w:cs="Times New Roman"/>
          <w:sz w:val="20"/>
          <w:szCs w:val="20"/>
        </w:rPr>
        <w:t>A flow-based model of web site intentions when users customize products in business-to-consumer electronic commerce.</w:t>
      </w:r>
      <w:proofErr w:type="gramEnd"/>
      <w:r w:rsidRPr="00BC081A">
        <w:rPr>
          <w:rFonts w:cs="Times New Roman"/>
          <w:sz w:val="20"/>
          <w:szCs w:val="20"/>
        </w:rPr>
        <w:t xml:space="preserve"> </w:t>
      </w:r>
      <w:r w:rsidRPr="00BC081A">
        <w:rPr>
          <w:rFonts w:cs="Times New Roman"/>
          <w:i/>
          <w:iCs/>
          <w:sz w:val="20"/>
          <w:szCs w:val="20"/>
        </w:rPr>
        <w:t>Information Systems Frontiers</w:t>
      </w:r>
      <w:r w:rsidRPr="00BC081A">
        <w:rPr>
          <w:rFonts w:cs="Times New Roman"/>
          <w:sz w:val="20"/>
          <w:szCs w:val="20"/>
        </w:rPr>
        <w:t xml:space="preserve">, </w:t>
      </w:r>
      <w:r w:rsidRPr="00BC081A">
        <w:rPr>
          <w:rFonts w:cs="Times New Roman"/>
          <w:i/>
          <w:iCs/>
          <w:sz w:val="20"/>
          <w:szCs w:val="20"/>
        </w:rPr>
        <w:t>12</w:t>
      </w:r>
      <w:r w:rsidRPr="00BC081A">
        <w:rPr>
          <w:rFonts w:cs="Times New Roman"/>
          <w:sz w:val="20"/>
          <w:szCs w:val="20"/>
        </w:rPr>
        <w:t xml:space="preserve">(2), 157–168. Springer. </w:t>
      </w:r>
      <w:proofErr w:type="gramStart"/>
      <w:r w:rsidRPr="00BC081A">
        <w:rPr>
          <w:rFonts w:cs="Times New Roman"/>
          <w:sz w:val="20"/>
          <w:szCs w:val="20"/>
        </w:rPr>
        <w:t>doi:10.1007</w:t>
      </w:r>
      <w:proofErr w:type="gramEnd"/>
      <w:r w:rsidRPr="00BC081A">
        <w:rPr>
          <w:rFonts w:cs="Times New Roman"/>
          <w:sz w:val="20"/>
          <w:szCs w:val="20"/>
        </w:rPr>
        <w:t>/s10796-008-9135-y</w:t>
      </w:r>
    </w:p>
    <w:p w14:paraId="1819BBD7" w14:textId="77777777" w:rsidR="00536F6A" w:rsidRPr="00BC081A" w:rsidRDefault="00536F6A" w:rsidP="00536F6A">
      <w:pPr>
        <w:pStyle w:val="NormalWeb"/>
        <w:ind w:left="480" w:hanging="480"/>
        <w:rPr>
          <w:lang w:val="en-CA"/>
        </w:rPr>
      </w:pPr>
      <w:r w:rsidRPr="00BC081A">
        <w:rPr>
          <w:lang w:val="en-CA"/>
        </w:rPr>
        <w:t xml:space="preserve">Kim, SS. (2009). The Integrative Framework of Technology Use: An Extension and Test. </w:t>
      </w:r>
      <w:r w:rsidRPr="00BC081A">
        <w:rPr>
          <w:i/>
          <w:iCs/>
          <w:lang w:val="en-CA"/>
        </w:rPr>
        <w:t>MIS Quarterly</w:t>
      </w:r>
      <w:r w:rsidRPr="00BC081A">
        <w:rPr>
          <w:lang w:val="en-CA"/>
        </w:rPr>
        <w:t xml:space="preserve">, </w:t>
      </w:r>
      <w:r w:rsidRPr="00BC081A">
        <w:rPr>
          <w:i/>
          <w:iCs/>
          <w:lang w:val="en-CA"/>
        </w:rPr>
        <w:t>33</w:t>
      </w:r>
      <w:r w:rsidRPr="00BC081A">
        <w:rPr>
          <w:lang w:val="en-CA"/>
        </w:rPr>
        <w:t>(3), 513-537.</w:t>
      </w:r>
    </w:p>
    <w:p w14:paraId="2E47E2C0" w14:textId="77777777" w:rsidR="00536F6A" w:rsidRPr="00BC081A" w:rsidRDefault="00536F6A" w:rsidP="00536F6A">
      <w:pPr>
        <w:pStyle w:val="NormalWeb"/>
        <w:ind w:left="480" w:hanging="480"/>
        <w:rPr>
          <w:lang w:val="en-CA"/>
        </w:rPr>
      </w:pPr>
      <w:r w:rsidRPr="00BC081A">
        <w:rPr>
          <w:lang w:val="en-CA"/>
        </w:rPr>
        <w:t xml:space="preserve">* </w:t>
      </w:r>
      <w:proofErr w:type="spellStart"/>
      <w:r w:rsidRPr="00BC081A">
        <w:rPr>
          <w:lang w:val="en-CA"/>
        </w:rPr>
        <w:t>Korzaan</w:t>
      </w:r>
      <w:proofErr w:type="spellEnd"/>
      <w:r w:rsidRPr="00BC081A">
        <w:rPr>
          <w:lang w:val="en-CA"/>
        </w:rPr>
        <w:t xml:space="preserve">, M. L. (2003). Going with the flow: Predicting online purchase intentions. </w:t>
      </w:r>
      <w:r w:rsidRPr="00BC081A">
        <w:rPr>
          <w:i/>
          <w:iCs/>
          <w:lang w:val="en-CA"/>
        </w:rPr>
        <w:t>Journal of Computer Information Systems</w:t>
      </w:r>
      <w:r w:rsidRPr="00BC081A">
        <w:rPr>
          <w:lang w:val="en-CA"/>
        </w:rPr>
        <w:t xml:space="preserve">, </w:t>
      </w:r>
      <w:r w:rsidRPr="00BC081A">
        <w:rPr>
          <w:i/>
          <w:iCs/>
          <w:lang w:val="en-CA"/>
        </w:rPr>
        <w:t>43</w:t>
      </w:r>
      <w:r w:rsidRPr="00BC081A">
        <w:rPr>
          <w:lang w:val="en-CA"/>
        </w:rPr>
        <w:t xml:space="preserve">(4), 25–31. </w:t>
      </w:r>
      <w:proofErr w:type="gramStart"/>
      <w:r w:rsidRPr="00BC081A">
        <w:rPr>
          <w:lang w:val="en-CA"/>
        </w:rPr>
        <w:t>ASSOCIATION FOR COMPUTER EDUCATORS.</w:t>
      </w:r>
      <w:proofErr w:type="gramEnd"/>
    </w:p>
    <w:p w14:paraId="16D2A9B5" w14:textId="77777777" w:rsidR="00536F6A" w:rsidRPr="00BC081A" w:rsidRDefault="00536F6A" w:rsidP="00536F6A">
      <w:pPr>
        <w:pStyle w:val="NormalWeb"/>
        <w:ind w:left="480" w:hanging="480"/>
        <w:rPr>
          <w:lang w:val="en-CA"/>
        </w:rPr>
      </w:pPr>
      <w:r w:rsidRPr="00BC081A">
        <w:rPr>
          <w:lang w:val="en-CA"/>
        </w:rPr>
        <w:t xml:space="preserve">* </w:t>
      </w:r>
      <w:proofErr w:type="spellStart"/>
      <w:r w:rsidRPr="00BC081A">
        <w:rPr>
          <w:lang w:val="en-CA"/>
        </w:rPr>
        <w:t>Koufaris</w:t>
      </w:r>
      <w:proofErr w:type="spellEnd"/>
      <w:r w:rsidRPr="00BC081A">
        <w:rPr>
          <w:lang w:val="en-CA"/>
        </w:rPr>
        <w:t xml:space="preserve">, M. (2002). </w:t>
      </w:r>
      <w:proofErr w:type="gramStart"/>
      <w:r w:rsidRPr="00BC081A">
        <w:rPr>
          <w:lang w:val="en-CA"/>
        </w:rPr>
        <w:t xml:space="preserve">Applying the Technology Acceptance Model and Flow Theory to Online Consumer </w:t>
      </w:r>
      <w:proofErr w:type="spellStart"/>
      <w:r w:rsidRPr="00BC081A">
        <w:rPr>
          <w:lang w:val="en-CA"/>
        </w:rPr>
        <w:t>Behavior</w:t>
      </w:r>
      <w:proofErr w:type="spellEnd"/>
      <w:r w:rsidRPr="00BC081A">
        <w:rPr>
          <w:lang w:val="en-CA"/>
        </w:rPr>
        <w:t>.</w:t>
      </w:r>
      <w:proofErr w:type="gramEnd"/>
      <w:r w:rsidRPr="00BC081A">
        <w:rPr>
          <w:lang w:val="en-CA"/>
        </w:rPr>
        <w:t xml:space="preserve"> </w:t>
      </w:r>
      <w:proofErr w:type="gramStart"/>
      <w:r w:rsidRPr="00BC081A">
        <w:rPr>
          <w:i/>
          <w:iCs/>
          <w:lang w:val="en-CA"/>
        </w:rPr>
        <w:t>Information Systems Research</w:t>
      </w:r>
      <w:r w:rsidRPr="00BC081A">
        <w:rPr>
          <w:lang w:val="en-CA"/>
        </w:rPr>
        <w:t xml:space="preserve">, </w:t>
      </w:r>
      <w:r w:rsidRPr="00BC081A">
        <w:rPr>
          <w:i/>
          <w:iCs/>
          <w:lang w:val="en-CA"/>
        </w:rPr>
        <w:t>13</w:t>
      </w:r>
      <w:r w:rsidRPr="00BC081A">
        <w:rPr>
          <w:lang w:val="en-CA"/>
        </w:rPr>
        <w:t>(2), 205-223.</w:t>
      </w:r>
      <w:proofErr w:type="gramEnd"/>
      <w:r w:rsidRPr="00BC081A">
        <w:rPr>
          <w:lang w:val="en-CA"/>
        </w:rPr>
        <w:t xml:space="preserve"> </w:t>
      </w:r>
      <w:proofErr w:type="gramStart"/>
      <w:r w:rsidRPr="00BC081A">
        <w:rPr>
          <w:lang w:val="en-CA"/>
        </w:rPr>
        <w:t>doi:10.1287</w:t>
      </w:r>
      <w:proofErr w:type="gramEnd"/>
      <w:r w:rsidRPr="00BC081A">
        <w:rPr>
          <w:lang w:val="en-CA"/>
        </w:rPr>
        <w:t>/isre.13.2.205.83</w:t>
      </w:r>
    </w:p>
    <w:p w14:paraId="2AC542F2"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Lee, M</w:t>
      </w:r>
      <w:proofErr w:type="gramStart"/>
      <w:r w:rsidRPr="00BC081A">
        <w:rPr>
          <w:rFonts w:cs="Times New Roman"/>
          <w:sz w:val="20"/>
          <w:szCs w:val="20"/>
        </w:rPr>
        <w:t>.-</w:t>
      </w:r>
      <w:proofErr w:type="gramEnd"/>
      <w:r w:rsidRPr="00BC081A">
        <w:rPr>
          <w:rFonts w:cs="Times New Roman"/>
          <w:sz w:val="20"/>
          <w:szCs w:val="20"/>
        </w:rPr>
        <w:t xml:space="preserve">C. (2009). Understanding the behavioural intention to play online games: An extension of the theory of planned behaviour. </w:t>
      </w:r>
      <w:proofErr w:type="gramStart"/>
      <w:r w:rsidRPr="00BC081A">
        <w:rPr>
          <w:rFonts w:cs="Times New Roman"/>
          <w:i/>
          <w:iCs/>
          <w:sz w:val="20"/>
          <w:szCs w:val="20"/>
        </w:rPr>
        <w:t>Online Information Review</w:t>
      </w:r>
      <w:r w:rsidRPr="00BC081A">
        <w:rPr>
          <w:rFonts w:cs="Times New Roman"/>
          <w:sz w:val="20"/>
          <w:szCs w:val="20"/>
        </w:rPr>
        <w:t xml:space="preserve">, </w:t>
      </w:r>
      <w:r w:rsidRPr="00BC081A">
        <w:rPr>
          <w:rFonts w:cs="Times New Roman"/>
          <w:i/>
          <w:iCs/>
          <w:sz w:val="20"/>
          <w:szCs w:val="20"/>
        </w:rPr>
        <w:t>33</w:t>
      </w:r>
      <w:r w:rsidRPr="00BC081A">
        <w:rPr>
          <w:rFonts w:cs="Times New Roman"/>
          <w:sz w:val="20"/>
          <w:szCs w:val="20"/>
        </w:rPr>
        <w:t>(5), 849-872.</w:t>
      </w:r>
      <w:proofErr w:type="gramEnd"/>
      <w:r w:rsidRPr="00BC081A">
        <w:rPr>
          <w:rFonts w:cs="Times New Roman"/>
          <w:sz w:val="20"/>
          <w:szCs w:val="20"/>
        </w:rPr>
        <w:t xml:space="preserve"> </w:t>
      </w:r>
      <w:proofErr w:type="gramStart"/>
      <w:r w:rsidRPr="00BC081A">
        <w:rPr>
          <w:rFonts w:cs="Times New Roman"/>
          <w:sz w:val="20"/>
          <w:szCs w:val="20"/>
        </w:rPr>
        <w:t>doi:10.1108</w:t>
      </w:r>
      <w:proofErr w:type="gramEnd"/>
      <w:r w:rsidRPr="00BC081A">
        <w:rPr>
          <w:rFonts w:cs="Times New Roman"/>
          <w:sz w:val="20"/>
          <w:szCs w:val="20"/>
        </w:rPr>
        <w:t>/14684520911001873</w:t>
      </w:r>
    </w:p>
    <w:p w14:paraId="6CA60E9C" w14:textId="77777777" w:rsidR="00536F6A" w:rsidRPr="00BC081A" w:rsidRDefault="00536F6A" w:rsidP="00536F6A">
      <w:pPr>
        <w:pStyle w:val="NormalWeb"/>
        <w:ind w:left="480" w:hanging="480"/>
        <w:rPr>
          <w:lang w:val="en-CA"/>
        </w:rPr>
      </w:pPr>
      <w:r w:rsidRPr="00BC081A">
        <w:rPr>
          <w:lang w:val="en-CA"/>
        </w:rPr>
        <w:t>* Lee, M</w:t>
      </w:r>
      <w:proofErr w:type="gramStart"/>
      <w:r w:rsidRPr="00BC081A">
        <w:rPr>
          <w:lang w:val="en-CA"/>
        </w:rPr>
        <w:t>.-</w:t>
      </w:r>
      <w:proofErr w:type="gramEnd"/>
      <w:r w:rsidRPr="00BC081A">
        <w:rPr>
          <w:lang w:val="en-CA"/>
        </w:rPr>
        <w:t xml:space="preserve">C. (2010). Explaining and predicting users’ continuance intention toward </w:t>
      </w:r>
      <w:proofErr w:type="gramStart"/>
      <w:r w:rsidRPr="00BC081A">
        <w:rPr>
          <w:lang w:val="en-CA"/>
        </w:rPr>
        <w:t>e-learning</w:t>
      </w:r>
      <w:proofErr w:type="gramEnd"/>
      <w:r w:rsidRPr="00BC081A">
        <w:rPr>
          <w:lang w:val="en-CA"/>
        </w:rPr>
        <w:t xml:space="preserve">: An extension of the expectation–confirmation model. </w:t>
      </w:r>
      <w:proofErr w:type="gramStart"/>
      <w:r w:rsidRPr="00BC081A">
        <w:rPr>
          <w:i/>
          <w:iCs/>
          <w:lang w:val="en-CA"/>
        </w:rPr>
        <w:t>Computers &amp; Education</w:t>
      </w:r>
      <w:r w:rsidRPr="00BC081A">
        <w:rPr>
          <w:lang w:val="en-CA"/>
        </w:rPr>
        <w:t xml:space="preserve">, </w:t>
      </w:r>
      <w:r w:rsidRPr="00BC081A">
        <w:rPr>
          <w:i/>
          <w:iCs/>
          <w:lang w:val="en-CA"/>
        </w:rPr>
        <w:t>54</w:t>
      </w:r>
      <w:r w:rsidRPr="00BC081A">
        <w:rPr>
          <w:lang w:val="en-CA"/>
        </w:rPr>
        <w:t>(2), 506-516.</w:t>
      </w:r>
      <w:proofErr w:type="gramEnd"/>
      <w:r w:rsidRPr="00BC081A">
        <w:rPr>
          <w:lang w:val="en-CA"/>
        </w:rPr>
        <w:t xml:space="preserve"> Elsevier Ltd. doi</w:t>
      </w:r>
      <w:proofErr w:type="gramStart"/>
      <w:r w:rsidRPr="00BC081A">
        <w:rPr>
          <w:lang w:val="en-CA"/>
        </w:rPr>
        <w:t>:10.1016</w:t>
      </w:r>
      <w:proofErr w:type="gramEnd"/>
      <w:r w:rsidRPr="00BC081A">
        <w:rPr>
          <w:lang w:val="en-CA"/>
        </w:rPr>
        <w:t>/j.compedu.2009.09.002</w:t>
      </w:r>
    </w:p>
    <w:p w14:paraId="398B6890" w14:textId="77777777" w:rsidR="00536F6A" w:rsidRPr="00BC081A" w:rsidRDefault="00536F6A" w:rsidP="00536F6A">
      <w:pPr>
        <w:pStyle w:val="NormalWeb"/>
        <w:ind w:left="480" w:hanging="480"/>
        <w:rPr>
          <w:lang w:val="en-CA"/>
        </w:rPr>
      </w:pPr>
      <w:proofErr w:type="gramStart"/>
      <w:r w:rsidRPr="00BC081A">
        <w:rPr>
          <w:lang w:val="en-CA"/>
        </w:rPr>
        <w:t>Ley, P. (1972).</w:t>
      </w:r>
      <w:proofErr w:type="gramEnd"/>
      <w:r w:rsidRPr="00BC081A">
        <w:rPr>
          <w:lang w:val="en-CA"/>
        </w:rPr>
        <w:t xml:space="preserve"> Quantitative aspects of psychological assessment: An introduction. Duckworth &amp; Co.</w:t>
      </w:r>
    </w:p>
    <w:p w14:paraId="343739C0"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Liao, L. (2006). </w:t>
      </w:r>
      <w:proofErr w:type="gramStart"/>
      <w:r w:rsidRPr="00BC081A">
        <w:rPr>
          <w:rFonts w:cs="Times New Roman"/>
          <w:sz w:val="20"/>
          <w:szCs w:val="20"/>
        </w:rPr>
        <w:t xml:space="preserve">A Flow Theory Perspective on Learner Motivation and </w:t>
      </w:r>
      <w:proofErr w:type="spellStart"/>
      <w:r w:rsidRPr="00BC081A">
        <w:rPr>
          <w:rFonts w:cs="Times New Roman"/>
          <w:sz w:val="20"/>
          <w:szCs w:val="20"/>
        </w:rPr>
        <w:t>Behavior</w:t>
      </w:r>
      <w:proofErr w:type="spellEnd"/>
      <w:r w:rsidRPr="00BC081A">
        <w:rPr>
          <w:rFonts w:cs="Times New Roman"/>
          <w:sz w:val="20"/>
          <w:szCs w:val="20"/>
        </w:rPr>
        <w:t xml:space="preserve"> in Distance Education.</w:t>
      </w:r>
      <w:proofErr w:type="gramEnd"/>
      <w:r w:rsidRPr="00BC081A">
        <w:rPr>
          <w:rFonts w:cs="Times New Roman"/>
          <w:sz w:val="20"/>
          <w:szCs w:val="20"/>
        </w:rPr>
        <w:t xml:space="preserve"> </w:t>
      </w:r>
      <w:r w:rsidRPr="00BC081A">
        <w:rPr>
          <w:rFonts w:cs="Times New Roman"/>
          <w:i/>
          <w:iCs/>
          <w:sz w:val="20"/>
          <w:szCs w:val="20"/>
        </w:rPr>
        <w:t>Distance Education</w:t>
      </w:r>
      <w:r w:rsidRPr="00BC081A">
        <w:rPr>
          <w:rFonts w:cs="Times New Roman"/>
          <w:sz w:val="20"/>
          <w:szCs w:val="20"/>
        </w:rPr>
        <w:t xml:space="preserve">, </w:t>
      </w:r>
      <w:r w:rsidRPr="00BC081A">
        <w:rPr>
          <w:rFonts w:cs="Times New Roman"/>
          <w:i/>
          <w:iCs/>
          <w:sz w:val="20"/>
          <w:szCs w:val="20"/>
        </w:rPr>
        <w:t>27</w:t>
      </w:r>
      <w:r w:rsidRPr="00BC081A">
        <w:rPr>
          <w:rFonts w:cs="Times New Roman"/>
          <w:sz w:val="20"/>
          <w:szCs w:val="20"/>
        </w:rPr>
        <w:t xml:space="preserve">(1), </w:t>
      </w:r>
      <w:proofErr w:type="gramStart"/>
      <w:r w:rsidRPr="00BC081A">
        <w:rPr>
          <w:rFonts w:cs="Times New Roman"/>
          <w:sz w:val="20"/>
          <w:szCs w:val="20"/>
        </w:rPr>
        <w:t>45</w:t>
      </w:r>
      <w:proofErr w:type="gramEnd"/>
      <w:r w:rsidRPr="00BC081A">
        <w:rPr>
          <w:rFonts w:cs="Times New Roman"/>
          <w:sz w:val="20"/>
          <w:szCs w:val="20"/>
        </w:rPr>
        <w:t xml:space="preserve">-62. </w:t>
      </w:r>
      <w:proofErr w:type="gramStart"/>
      <w:r w:rsidRPr="00BC081A">
        <w:rPr>
          <w:rFonts w:cs="Times New Roman"/>
          <w:sz w:val="20"/>
          <w:szCs w:val="20"/>
        </w:rPr>
        <w:t>doi:10.1080</w:t>
      </w:r>
      <w:proofErr w:type="gramEnd"/>
      <w:r w:rsidRPr="00BC081A">
        <w:rPr>
          <w:rFonts w:cs="Times New Roman"/>
          <w:sz w:val="20"/>
          <w:szCs w:val="20"/>
        </w:rPr>
        <w:t>/01587910600653215</w:t>
      </w:r>
    </w:p>
    <w:p w14:paraId="45AF41A2" w14:textId="77777777" w:rsidR="00536F6A" w:rsidRPr="00BC081A" w:rsidRDefault="00536F6A" w:rsidP="00536F6A">
      <w:pPr>
        <w:pStyle w:val="NormalWeb"/>
        <w:ind w:left="480" w:hanging="480"/>
        <w:rPr>
          <w:lang w:val="en-CA"/>
        </w:rPr>
      </w:pPr>
      <w:r w:rsidRPr="00BC081A">
        <w:rPr>
          <w:lang w:val="en-CA"/>
        </w:rPr>
        <w:lastRenderedPageBreak/>
        <w:t>Lin, C</w:t>
      </w:r>
      <w:proofErr w:type="gramStart"/>
      <w:r w:rsidRPr="00BC081A">
        <w:rPr>
          <w:lang w:val="en-CA"/>
        </w:rPr>
        <w:t>.-</w:t>
      </w:r>
      <w:proofErr w:type="gramEnd"/>
      <w:r w:rsidRPr="00BC081A">
        <w:rPr>
          <w:lang w:val="en-CA"/>
        </w:rPr>
        <w:t xml:space="preserve">P., &amp; </w:t>
      </w:r>
      <w:proofErr w:type="spellStart"/>
      <w:r w:rsidRPr="00BC081A">
        <w:rPr>
          <w:lang w:val="en-CA"/>
        </w:rPr>
        <w:t>Bhattacherjee</w:t>
      </w:r>
      <w:proofErr w:type="spellEnd"/>
      <w:r w:rsidRPr="00BC081A">
        <w:rPr>
          <w:lang w:val="en-CA"/>
        </w:rPr>
        <w:t xml:space="preserve">, A. (2010). Extending technology usage models to interactive hedonic technologies: a theoretical model and empirical test. </w:t>
      </w:r>
      <w:proofErr w:type="gramStart"/>
      <w:r w:rsidRPr="00BC081A">
        <w:rPr>
          <w:i/>
          <w:iCs/>
          <w:lang w:val="en-CA"/>
        </w:rPr>
        <w:t>Information Systems Journal</w:t>
      </w:r>
      <w:r w:rsidRPr="00BC081A">
        <w:rPr>
          <w:lang w:val="en-CA"/>
        </w:rPr>
        <w:t xml:space="preserve">, </w:t>
      </w:r>
      <w:r w:rsidRPr="00BC081A">
        <w:rPr>
          <w:i/>
          <w:iCs/>
          <w:lang w:val="en-CA"/>
        </w:rPr>
        <w:t>20</w:t>
      </w:r>
      <w:r w:rsidRPr="00BC081A">
        <w:rPr>
          <w:lang w:val="en-CA"/>
        </w:rPr>
        <w:t>(2), 163-181.</w:t>
      </w:r>
      <w:proofErr w:type="gramEnd"/>
      <w:r w:rsidRPr="00BC081A">
        <w:rPr>
          <w:lang w:val="en-CA"/>
        </w:rPr>
        <w:t xml:space="preserve"> </w:t>
      </w:r>
      <w:proofErr w:type="gramStart"/>
      <w:r w:rsidRPr="00BC081A">
        <w:rPr>
          <w:lang w:val="en-CA"/>
        </w:rPr>
        <w:t>doi:10.1111</w:t>
      </w:r>
      <w:proofErr w:type="gramEnd"/>
      <w:r w:rsidRPr="00BC081A">
        <w:rPr>
          <w:lang w:val="en-CA"/>
        </w:rPr>
        <w:t>/j.1365-2575.2007.00265.x</w:t>
      </w:r>
    </w:p>
    <w:p w14:paraId="6F75B73F"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Lin, C., Lin, J., &amp; Wu, S. (2008). Exploring Consumers  ’ Keyword Ads Search </w:t>
      </w:r>
      <w:proofErr w:type="spellStart"/>
      <w:r w:rsidRPr="00BC081A">
        <w:rPr>
          <w:rFonts w:cs="Times New Roman"/>
          <w:sz w:val="20"/>
          <w:szCs w:val="20"/>
        </w:rPr>
        <w:t>Behaviors</w:t>
      </w:r>
      <w:proofErr w:type="spellEnd"/>
      <w:r w:rsidRPr="00BC081A">
        <w:rPr>
          <w:rFonts w:ascii="Times New Roman" w:hAnsi="Times New Roman" w:cs="Times New Roman"/>
          <w:sz w:val="20"/>
          <w:szCs w:val="20"/>
        </w:rPr>
        <w:t> </w:t>
      </w:r>
      <w:r w:rsidRPr="00BC081A">
        <w:rPr>
          <w:rFonts w:cs="Times New Roman"/>
          <w:sz w:val="20"/>
          <w:szCs w:val="20"/>
        </w:rPr>
        <w:t xml:space="preserve">: An Integration of Theory of Planned </w:t>
      </w:r>
      <w:proofErr w:type="spellStart"/>
      <w:r w:rsidRPr="00BC081A">
        <w:rPr>
          <w:rFonts w:cs="Times New Roman"/>
          <w:sz w:val="20"/>
          <w:szCs w:val="20"/>
        </w:rPr>
        <w:t>Behavior</w:t>
      </w:r>
      <w:proofErr w:type="spellEnd"/>
      <w:r w:rsidRPr="00BC081A">
        <w:rPr>
          <w:rFonts w:cs="Times New Roman"/>
          <w:sz w:val="20"/>
          <w:szCs w:val="20"/>
        </w:rPr>
        <w:t xml:space="preserve"> and Flow Theory. </w:t>
      </w:r>
      <w:r w:rsidRPr="00BC081A">
        <w:rPr>
          <w:rFonts w:cs="Times New Roman"/>
          <w:i/>
          <w:iCs/>
          <w:sz w:val="20"/>
          <w:szCs w:val="20"/>
        </w:rPr>
        <w:t>Information Systems</w:t>
      </w:r>
      <w:r w:rsidRPr="00BC081A">
        <w:rPr>
          <w:rFonts w:cs="Times New Roman"/>
          <w:sz w:val="20"/>
          <w:szCs w:val="20"/>
        </w:rPr>
        <w:t>.</w:t>
      </w:r>
    </w:p>
    <w:p w14:paraId="1203CC19"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Lin, H</w:t>
      </w:r>
      <w:proofErr w:type="gramStart"/>
      <w:r w:rsidRPr="00BC081A">
        <w:rPr>
          <w:rFonts w:cs="Times New Roman"/>
          <w:sz w:val="20"/>
          <w:szCs w:val="20"/>
        </w:rPr>
        <w:t>.-</w:t>
      </w:r>
      <w:proofErr w:type="gramEnd"/>
      <w:r w:rsidRPr="00BC081A">
        <w:rPr>
          <w:rFonts w:cs="Times New Roman"/>
          <w:sz w:val="20"/>
          <w:szCs w:val="20"/>
        </w:rPr>
        <w:t xml:space="preserve">F. (2009). </w:t>
      </w:r>
      <w:proofErr w:type="gramStart"/>
      <w:r w:rsidRPr="00BC081A">
        <w:rPr>
          <w:rFonts w:cs="Times New Roman"/>
          <w:sz w:val="20"/>
          <w:szCs w:val="20"/>
        </w:rPr>
        <w:t>Examination of cognitive absorption influencing the intention to use a virtual community.</w:t>
      </w:r>
      <w:proofErr w:type="gramEnd"/>
      <w:r w:rsidRPr="00BC081A">
        <w:rPr>
          <w:rFonts w:cs="Times New Roman"/>
          <w:sz w:val="20"/>
          <w:szCs w:val="20"/>
        </w:rPr>
        <w:t xml:space="preserve"> </w:t>
      </w:r>
      <w:proofErr w:type="gramStart"/>
      <w:r w:rsidRPr="00BC081A">
        <w:rPr>
          <w:rFonts w:cs="Times New Roman"/>
          <w:i/>
          <w:iCs/>
          <w:sz w:val="20"/>
          <w:szCs w:val="20"/>
        </w:rPr>
        <w:t>Behaviour &amp; Information Technology</w:t>
      </w:r>
      <w:r w:rsidRPr="00BC081A">
        <w:rPr>
          <w:rFonts w:cs="Times New Roman"/>
          <w:sz w:val="20"/>
          <w:szCs w:val="20"/>
        </w:rPr>
        <w:t xml:space="preserve">, </w:t>
      </w:r>
      <w:r w:rsidRPr="00BC081A">
        <w:rPr>
          <w:rFonts w:cs="Times New Roman"/>
          <w:i/>
          <w:iCs/>
          <w:sz w:val="20"/>
          <w:szCs w:val="20"/>
        </w:rPr>
        <w:t>28</w:t>
      </w:r>
      <w:r w:rsidRPr="00BC081A">
        <w:rPr>
          <w:rFonts w:cs="Times New Roman"/>
          <w:sz w:val="20"/>
          <w:szCs w:val="20"/>
        </w:rPr>
        <w:t>(5), 421-431.</w:t>
      </w:r>
      <w:proofErr w:type="gramEnd"/>
      <w:r w:rsidRPr="00BC081A">
        <w:rPr>
          <w:rFonts w:cs="Times New Roman"/>
          <w:sz w:val="20"/>
          <w:szCs w:val="20"/>
        </w:rPr>
        <w:t xml:space="preserve"> </w:t>
      </w:r>
      <w:proofErr w:type="gramStart"/>
      <w:r w:rsidRPr="00BC081A">
        <w:rPr>
          <w:rFonts w:cs="Times New Roman"/>
          <w:sz w:val="20"/>
          <w:szCs w:val="20"/>
        </w:rPr>
        <w:t>doi:10.1080</w:t>
      </w:r>
      <w:proofErr w:type="gramEnd"/>
      <w:r w:rsidRPr="00BC081A">
        <w:rPr>
          <w:rFonts w:cs="Times New Roman"/>
          <w:sz w:val="20"/>
          <w:szCs w:val="20"/>
        </w:rPr>
        <w:t>/01449290701662169</w:t>
      </w:r>
    </w:p>
    <w:p w14:paraId="36B99740"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Liu, S</w:t>
      </w:r>
      <w:proofErr w:type="gramStart"/>
      <w:r w:rsidRPr="00BC081A">
        <w:rPr>
          <w:rFonts w:cs="Times New Roman"/>
          <w:sz w:val="20"/>
          <w:szCs w:val="20"/>
        </w:rPr>
        <w:t>.-</w:t>
      </w:r>
      <w:proofErr w:type="gramEnd"/>
      <w:r w:rsidRPr="00BC081A">
        <w:rPr>
          <w:rFonts w:cs="Times New Roman"/>
          <w:sz w:val="20"/>
          <w:szCs w:val="20"/>
        </w:rPr>
        <w:t xml:space="preserve">H., Liao, H.-L., &amp; Pratt, J. a. (2009). </w:t>
      </w:r>
      <w:proofErr w:type="gramStart"/>
      <w:r w:rsidRPr="00BC081A">
        <w:rPr>
          <w:rFonts w:cs="Times New Roman"/>
          <w:sz w:val="20"/>
          <w:szCs w:val="20"/>
        </w:rPr>
        <w:t>Impact of media richness and flow on e-learning technology acceptance.</w:t>
      </w:r>
      <w:proofErr w:type="gramEnd"/>
      <w:r w:rsidRPr="00BC081A">
        <w:rPr>
          <w:rFonts w:cs="Times New Roman"/>
          <w:sz w:val="20"/>
          <w:szCs w:val="20"/>
        </w:rPr>
        <w:t xml:space="preserve"> </w:t>
      </w:r>
      <w:proofErr w:type="gramStart"/>
      <w:r w:rsidRPr="00BC081A">
        <w:rPr>
          <w:rFonts w:cs="Times New Roman"/>
          <w:i/>
          <w:iCs/>
          <w:sz w:val="20"/>
          <w:szCs w:val="20"/>
        </w:rPr>
        <w:t>Computers &amp; Education</w:t>
      </w:r>
      <w:r w:rsidRPr="00BC081A">
        <w:rPr>
          <w:rFonts w:cs="Times New Roman"/>
          <w:sz w:val="20"/>
          <w:szCs w:val="20"/>
        </w:rPr>
        <w:t xml:space="preserve">, </w:t>
      </w:r>
      <w:r w:rsidRPr="00BC081A">
        <w:rPr>
          <w:rFonts w:cs="Times New Roman"/>
          <w:i/>
          <w:iCs/>
          <w:sz w:val="20"/>
          <w:szCs w:val="20"/>
        </w:rPr>
        <w:t>52</w:t>
      </w:r>
      <w:r w:rsidRPr="00BC081A">
        <w:rPr>
          <w:rFonts w:cs="Times New Roman"/>
          <w:sz w:val="20"/>
          <w:szCs w:val="20"/>
        </w:rPr>
        <w:t>(3), 599-607.</w:t>
      </w:r>
      <w:proofErr w:type="gramEnd"/>
      <w:r w:rsidRPr="00BC081A">
        <w:rPr>
          <w:rFonts w:cs="Times New Roman"/>
          <w:sz w:val="20"/>
          <w:szCs w:val="20"/>
        </w:rPr>
        <w:t xml:space="preserve"> Elsevier Ltd. doi</w:t>
      </w:r>
      <w:proofErr w:type="gramStart"/>
      <w:r w:rsidRPr="00BC081A">
        <w:rPr>
          <w:rFonts w:cs="Times New Roman"/>
          <w:sz w:val="20"/>
          <w:szCs w:val="20"/>
        </w:rPr>
        <w:t>:10.1016</w:t>
      </w:r>
      <w:proofErr w:type="gramEnd"/>
      <w:r w:rsidRPr="00BC081A">
        <w:rPr>
          <w:rFonts w:cs="Times New Roman"/>
          <w:sz w:val="20"/>
          <w:szCs w:val="20"/>
        </w:rPr>
        <w:t>/j.compedu.2008.11.002</w:t>
      </w:r>
    </w:p>
    <w:p w14:paraId="08EC469F"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Lu, Y., Zhou, T., &amp; Wang, B. (2009). Exploring Chinese users’ acceptance of instant messaging using the theory of planned </w:t>
      </w:r>
      <w:proofErr w:type="spellStart"/>
      <w:r w:rsidRPr="00BC081A">
        <w:rPr>
          <w:rFonts w:cs="Times New Roman"/>
          <w:sz w:val="20"/>
          <w:szCs w:val="20"/>
        </w:rPr>
        <w:t>behavior</w:t>
      </w:r>
      <w:proofErr w:type="spellEnd"/>
      <w:r w:rsidRPr="00BC081A">
        <w:rPr>
          <w:rFonts w:cs="Times New Roman"/>
          <w:sz w:val="20"/>
          <w:szCs w:val="20"/>
        </w:rPr>
        <w:t xml:space="preserve">, the technology acceptance model, and the flow theory. </w:t>
      </w:r>
      <w:proofErr w:type="gramStart"/>
      <w:r w:rsidRPr="00BC081A">
        <w:rPr>
          <w:rFonts w:cs="Times New Roman"/>
          <w:i/>
          <w:iCs/>
          <w:sz w:val="20"/>
          <w:szCs w:val="20"/>
        </w:rPr>
        <w:t xml:space="preserve">Computers in Human </w:t>
      </w:r>
      <w:proofErr w:type="spellStart"/>
      <w:r w:rsidRPr="00BC081A">
        <w:rPr>
          <w:rFonts w:cs="Times New Roman"/>
          <w:i/>
          <w:iCs/>
          <w:sz w:val="20"/>
          <w:szCs w:val="20"/>
        </w:rPr>
        <w:t>Behavior</w:t>
      </w:r>
      <w:proofErr w:type="spellEnd"/>
      <w:r w:rsidRPr="00BC081A">
        <w:rPr>
          <w:rFonts w:cs="Times New Roman"/>
          <w:sz w:val="20"/>
          <w:szCs w:val="20"/>
        </w:rPr>
        <w:t xml:space="preserve">, </w:t>
      </w:r>
      <w:r w:rsidRPr="00BC081A">
        <w:rPr>
          <w:rFonts w:cs="Times New Roman"/>
          <w:i/>
          <w:iCs/>
          <w:sz w:val="20"/>
          <w:szCs w:val="20"/>
        </w:rPr>
        <w:t>25</w:t>
      </w:r>
      <w:r w:rsidRPr="00BC081A">
        <w:rPr>
          <w:rFonts w:cs="Times New Roman"/>
          <w:sz w:val="20"/>
          <w:szCs w:val="20"/>
        </w:rPr>
        <w:t>(1), 29-39.</w:t>
      </w:r>
      <w:proofErr w:type="gramEnd"/>
      <w:r w:rsidRPr="00BC081A">
        <w:rPr>
          <w:rFonts w:cs="Times New Roman"/>
          <w:sz w:val="20"/>
          <w:szCs w:val="20"/>
        </w:rPr>
        <w:t xml:space="preserve"> Elsevier Ltd. doi</w:t>
      </w:r>
      <w:proofErr w:type="gramStart"/>
      <w:r w:rsidRPr="00BC081A">
        <w:rPr>
          <w:rFonts w:cs="Times New Roman"/>
          <w:sz w:val="20"/>
          <w:szCs w:val="20"/>
        </w:rPr>
        <w:t>:10.1016</w:t>
      </w:r>
      <w:proofErr w:type="gramEnd"/>
      <w:r w:rsidRPr="00BC081A">
        <w:rPr>
          <w:rFonts w:cs="Times New Roman"/>
          <w:sz w:val="20"/>
          <w:szCs w:val="20"/>
        </w:rPr>
        <w:t>/j.chb.2008.06.002</w:t>
      </w:r>
    </w:p>
    <w:p w14:paraId="6B5E0977" w14:textId="77777777" w:rsidR="00536F6A" w:rsidRPr="00BC081A" w:rsidRDefault="00536F6A" w:rsidP="00536F6A">
      <w:pPr>
        <w:pStyle w:val="NormalWeb"/>
        <w:ind w:left="480" w:hanging="480"/>
        <w:rPr>
          <w:lang w:val="en-CA"/>
        </w:rPr>
      </w:pPr>
      <w:r w:rsidRPr="00BC081A">
        <w:rPr>
          <w:lang w:val="en-CA"/>
        </w:rPr>
        <w:t xml:space="preserve">Mahfouz, A. Y., &amp; </w:t>
      </w:r>
      <w:proofErr w:type="spellStart"/>
      <w:r w:rsidRPr="00BC081A">
        <w:rPr>
          <w:lang w:val="en-CA"/>
        </w:rPr>
        <w:t>Guo</w:t>
      </w:r>
      <w:proofErr w:type="spellEnd"/>
      <w:r w:rsidRPr="00BC081A">
        <w:rPr>
          <w:lang w:val="en-CA"/>
        </w:rPr>
        <w:t xml:space="preserve">, Y. M. (2011). </w:t>
      </w:r>
      <w:proofErr w:type="gramStart"/>
      <w:r w:rsidRPr="00BC081A">
        <w:rPr>
          <w:lang w:val="en-CA"/>
        </w:rPr>
        <w:t>An Overview of Flow Theory in Ecommerce.</w:t>
      </w:r>
      <w:proofErr w:type="gramEnd"/>
    </w:p>
    <w:p w14:paraId="119E13EB"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Mahfouz, A. Y. M. (2004). </w:t>
      </w:r>
      <w:r w:rsidRPr="00BC081A">
        <w:rPr>
          <w:rFonts w:cs="Times New Roman"/>
          <w:i/>
          <w:iCs/>
          <w:sz w:val="20"/>
          <w:szCs w:val="20"/>
        </w:rPr>
        <w:t xml:space="preserve">Interactive </w:t>
      </w:r>
      <w:proofErr w:type="spellStart"/>
      <w:r w:rsidRPr="00BC081A">
        <w:rPr>
          <w:rFonts w:cs="Times New Roman"/>
          <w:i/>
          <w:iCs/>
          <w:sz w:val="20"/>
          <w:szCs w:val="20"/>
        </w:rPr>
        <w:t>eshopping</w:t>
      </w:r>
      <w:proofErr w:type="spellEnd"/>
      <w:r w:rsidRPr="00BC081A">
        <w:rPr>
          <w:rFonts w:cs="Times New Roman"/>
          <w:i/>
          <w:iCs/>
          <w:sz w:val="20"/>
          <w:szCs w:val="20"/>
        </w:rPr>
        <w:t xml:space="preserve"> experience: an empirical investigation</w:t>
      </w:r>
      <w:r w:rsidRPr="00BC081A">
        <w:rPr>
          <w:rFonts w:cs="Times New Roman"/>
          <w:sz w:val="20"/>
          <w:szCs w:val="20"/>
        </w:rPr>
        <w:t xml:space="preserve">. </w:t>
      </w:r>
      <w:r w:rsidRPr="00BC081A">
        <w:rPr>
          <w:rFonts w:cs="Times New Roman"/>
          <w:i/>
          <w:iCs/>
          <w:sz w:val="20"/>
          <w:szCs w:val="20"/>
        </w:rPr>
        <w:t>MIS Quarterly</w:t>
      </w:r>
      <w:r w:rsidRPr="00BC081A">
        <w:rPr>
          <w:rFonts w:cs="Times New Roman"/>
          <w:sz w:val="20"/>
          <w:szCs w:val="20"/>
        </w:rPr>
        <w:t xml:space="preserve">. </w:t>
      </w:r>
      <w:proofErr w:type="gramStart"/>
      <w:r w:rsidRPr="00BC081A">
        <w:rPr>
          <w:rFonts w:cs="Times New Roman"/>
          <w:sz w:val="20"/>
          <w:szCs w:val="20"/>
        </w:rPr>
        <w:t>Texas A&amp;M University.</w:t>
      </w:r>
      <w:proofErr w:type="gramEnd"/>
    </w:p>
    <w:p w14:paraId="786ED13F" w14:textId="77777777" w:rsidR="00536F6A" w:rsidRPr="00BC081A" w:rsidRDefault="00536F6A" w:rsidP="00536F6A">
      <w:pPr>
        <w:pStyle w:val="NormalWeb"/>
        <w:ind w:left="480" w:hanging="480"/>
        <w:rPr>
          <w:lang w:val="en-CA"/>
        </w:rPr>
      </w:pPr>
      <w:proofErr w:type="spellStart"/>
      <w:proofErr w:type="gramStart"/>
      <w:r w:rsidRPr="00BC081A">
        <w:rPr>
          <w:lang w:val="en-CA"/>
        </w:rPr>
        <w:t>Massimini</w:t>
      </w:r>
      <w:proofErr w:type="spellEnd"/>
      <w:r w:rsidRPr="00BC081A">
        <w:rPr>
          <w:lang w:val="en-CA"/>
        </w:rPr>
        <w:t xml:space="preserve">, F., &amp; </w:t>
      </w:r>
      <w:proofErr w:type="spellStart"/>
      <w:r w:rsidRPr="00BC081A">
        <w:rPr>
          <w:lang w:val="en-CA"/>
        </w:rPr>
        <w:t>Carli</w:t>
      </w:r>
      <w:proofErr w:type="spellEnd"/>
      <w:r w:rsidRPr="00BC081A">
        <w:rPr>
          <w:lang w:val="en-CA"/>
        </w:rPr>
        <w:t>, M. (1988).</w:t>
      </w:r>
      <w:proofErr w:type="gramEnd"/>
      <w:r w:rsidRPr="00BC081A">
        <w:rPr>
          <w:lang w:val="en-CA"/>
        </w:rPr>
        <w:t xml:space="preserve"> </w:t>
      </w:r>
      <w:proofErr w:type="gramStart"/>
      <w:r w:rsidRPr="00BC081A">
        <w:rPr>
          <w:lang w:val="en-CA"/>
        </w:rPr>
        <w:t>The systematic assessment of flow in daily experience.</w:t>
      </w:r>
      <w:proofErr w:type="gramEnd"/>
      <w:r w:rsidRPr="00BC081A">
        <w:rPr>
          <w:lang w:val="en-CA"/>
        </w:rPr>
        <w:t xml:space="preserve"> </w:t>
      </w:r>
      <w:proofErr w:type="gramStart"/>
      <w:r w:rsidRPr="00BC081A">
        <w:rPr>
          <w:lang w:val="en-CA"/>
        </w:rPr>
        <w:t>Cambridge University Press.</w:t>
      </w:r>
      <w:proofErr w:type="gramEnd"/>
    </w:p>
    <w:p w14:paraId="4E5E448A" w14:textId="77777777" w:rsidR="00536F6A" w:rsidRPr="00BC081A" w:rsidRDefault="00536F6A" w:rsidP="00536F6A">
      <w:pPr>
        <w:pStyle w:val="NormalWeb"/>
        <w:ind w:left="480" w:hanging="480"/>
        <w:rPr>
          <w:lang w:val="en-CA"/>
        </w:rPr>
      </w:pPr>
      <w:proofErr w:type="gramStart"/>
      <w:r w:rsidRPr="00BC081A">
        <w:rPr>
          <w:lang w:val="en-CA"/>
        </w:rPr>
        <w:t>Moon, J. (2001).</w:t>
      </w:r>
      <w:proofErr w:type="gramEnd"/>
      <w:r w:rsidRPr="00BC081A">
        <w:rPr>
          <w:lang w:val="en-CA"/>
        </w:rPr>
        <w:t xml:space="preserve"> Extending the TAM for a World-Wide-Web context. </w:t>
      </w:r>
      <w:proofErr w:type="gramStart"/>
      <w:r w:rsidRPr="00BC081A">
        <w:rPr>
          <w:i/>
          <w:iCs/>
          <w:lang w:val="en-CA"/>
        </w:rPr>
        <w:t>Information &amp; Management</w:t>
      </w:r>
      <w:r w:rsidRPr="00BC081A">
        <w:rPr>
          <w:lang w:val="en-CA"/>
        </w:rPr>
        <w:t xml:space="preserve">, </w:t>
      </w:r>
      <w:r w:rsidRPr="00BC081A">
        <w:rPr>
          <w:i/>
          <w:iCs/>
          <w:lang w:val="en-CA"/>
        </w:rPr>
        <w:t>38</w:t>
      </w:r>
      <w:r w:rsidRPr="00BC081A">
        <w:rPr>
          <w:lang w:val="en-CA"/>
        </w:rPr>
        <w:t>(4), 217-230.</w:t>
      </w:r>
      <w:proofErr w:type="gramEnd"/>
      <w:r w:rsidRPr="00BC081A">
        <w:rPr>
          <w:lang w:val="en-CA"/>
        </w:rPr>
        <w:t xml:space="preserve"> </w:t>
      </w:r>
      <w:proofErr w:type="gramStart"/>
      <w:r w:rsidRPr="00BC081A">
        <w:rPr>
          <w:lang w:val="en-CA"/>
        </w:rPr>
        <w:t>doi:10.1016</w:t>
      </w:r>
      <w:proofErr w:type="gramEnd"/>
      <w:r w:rsidRPr="00BC081A">
        <w:rPr>
          <w:lang w:val="en-CA"/>
        </w:rPr>
        <w:t>/S0378-7206(00)00061-6</w:t>
      </w:r>
    </w:p>
    <w:p w14:paraId="11783648" w14:textId="77777777" w:rsidR="00536F6A" w:rsidRPr="00BC081A" w:rsidRDefault="00536F6A" w:rsidP="00536F6A">
      <w:pPr>
        <w:pStyle w:val="NormalWeb"/>
        <w:ind w:left="480" w:hanging="480"/>
        <w:rPr>
          <w:lang w:val="en-CA"/>
        </w:rPr>
      </w:pPr>
      <w:r w:rsidRPr="00BC081A">
        <w:rPr>
          <w:lang w:val="en-CA"/>
        </w:rPr>
        <w:t>* Nah, F. F</w:t>
      </w:r>
      <w:proofErr w:type="gramStart"/>
      <w:r w:rsidRPr="00BC081A">
        <w:rPr>
          <w:lang w:val="en-CA"/>
        </w:rPr>
        <w:t>.-</w:t>
      </w:r>
      <w:proofErr w:type="spellStart"/>
      <w:proofErr w:type="gramEnd"/>
      <w:r w:rsidRPr="00BC081A">
        <w:rPr>
          <w:lang w:val="en-CA"/>
        </w:rPr>
        <w:t>hoon</w:t>
      </w:r>
      <w:proofErr w:type="spellEnd"/>
      <w:r w:rsidRPr="00BC081A">
        <w:rPr>
          <w:lang w:val="en-CA"/>
        </w:rPr>
        <w:t xml:space="preserve">, </w:t>
      </w:r>
      <w:proofErr w:type="spellStart"/>
      <w:r w:rsidRPr="00BC081A">
        <w:rPr>
          <w:lang w:val="en-CA"/>
        </w:rPr>
        <w:t>Eschenbrenner</w:t>
      </w:r>
      <w:proofErr w:type="spellEnd"/>
      <w:r w:rsidRPr="00BC081A">
        <w:rPr>
          <w:lang w:val="en-CA"/>
        </w:rPr>
        <w:t xml:space="preserve">, B., </w:t>
      </w:r>
      <w:proofErr w:type="spellStart"/>
      <w:r w:rsidRPr="00BC081A">
        <w:rPr>
          <w:lang w:val="en-CA"/>
        </w:rPr>
        <w:t>DeWester</w:t>
      </w:r>
      <w:proofErr w:type="spellEnd"/>
      <w:r w:rsidRPr="00BC081A">
        <w:rPr>
          <w:lang w:val="en-CA"/>
        </w:rPr>
        <w:t xml:space="preserve">, D., &amp; Park, S. R. (2010). Impact of flow and brand equity in 3D virtual worlds. </w:t>
      </w:r>
      <w:proofErr w:type="gramStart"/>
      <w:r w:rsidRPr="00BC081A">
        <w:rPr>
          <w:i/>
          <w:iCs/>
          <w:lang w:val="en-CA"/>
        </w:rPr>
        <w:t>Journal of Database Management</w:t>
      </w:r>
      <w:r w:rsidRPr="00BC081A">
        <w:rPr>
          <w:lang w:val="en-CA"/>
        </w:rPr>
        <w:t>.</w:t>
      </w:r>
      <w:proofErr w:type="gramEnd"/>
      <w:r w:rsidRPr="00BC081A">
        <w:rPr>
          <w:lang w:val="en-CA"/>
        </w:rPr>
        <w:t xml:space="preserve"> </w:t>
      </w:r>
      <w:proofErr w:type="gramStart"/>
      <w:r w:rsidRPr="00BC081A">
        <w:rPr>
          <w:lang w:val="en-CA"/>
        </w:rPr>
        <w:t>doi:10.4018</w:t>
      </w:r>
      <w:proofErr w:type="gramEnd"/>
      <w:r w:rsidRPr="00BC081A">
        <w:rPr>
          <w:lang w:val="en-CA"/>
        </w:rPr>
        <w:t>/jdm.2010070</w:t>
      </w:r>
    </w:p>
    <w:p w14:paraId="4BC71AF5" w14:textId="77777777" w:rsidR="00536F6A" w:rsidRPr="00BC081A" w:rsidRDefault="00536F6A" w:rsidP="00536F6A">
      <w:pPr>
        <w:pStyle w:val="NormalWeb"/>
        <w:ind w:left="480" w:hanging="480"/>
        <w:rPr>
          <w:lang w:val="en-CA"/>
        </w:rPr>
      </w:pPr>
      <w:proofErr w:type="gramStart"/>
      <w:r w:rsidRPr="00BC081A">
        <w:rPr>
          <w:lang w:val="en-CA"/>
        </w:rPr>
        <w:t xml:space="preserve">Nah, F., &amp; </w:t>
      </w:r>
      <w:proofErr w:type="spellStart"/>
      <w:r w:rsidRPr="00BC081A">
        <w:rPr>
          <w:lang w:val="en-CA"/>
        </w:rPr>
        <w:t>Eschenbrenner</w:t>
      </w:r>
      <w:proofErr w:type="spellEnd"/>
      <w:r w:rsidRPr="00BC081A">
        <w:rPr>
          <w:lang w:val="en-CA"/>
        </w:rPr>
        <w:t>, B. (2011).</w:t>
      </w:r>
      <w:proofErr w:type="gramEnd"/>
      <w:r w:rsidRPr="00BC081A">
        <w:rPr>
          <w:lang w:val="en-CA"/>
        </w:rPr>
        <w:t xml:space="preserve"> Enhancing Brand Equity Through Flow and </w:t>
      </w:r>
      <w:proofErr w:type="spellStart"/>
      <w:r w:rsidRPr="00BC081A">
        <w:rPr>
          <w:lang w:val="en-CA"/>
        </w:rPr>
        <w:t>Telepresence</w:t>
      </w:r>
      <w:proofErr w:type="spellEnd"/>
      <w:r w:rsidRPr="00BC081A">
        <w:rPr>
          <w:lang w:val="en-CA"/>
        </w:rPr>
        <w:t xml:space="preserve">: A Comparison of 2D and 3D Virtual Worlds. </w:t>
      </w:r>
      <w:proofErr w:type="gramStart"/>
      <w:r w:rsidRPr="00BC081A">
        <w:rPr>
          <w:i/>
          <w:iCs/>
          <w:lang w:val="en-CA"/>
        </w:rPr>
        <w:t>Information Systems Quarterly</w:t>
      </w:r>
      <w:r w:rsidRPr="00BC081A">
        <w:rPr>
          <w:lang w:val="en-CA"/>
        </w:rPr>
        <w:t xml:space="preserve">, </w:t>
      </w:r>
      <w:r w:rsidRPr="00BC081A">
        <w:rPr>
          <w:i/>
          <w:iCs/>
          <w:lang w:val="en-CA"/>
        </w:rPr>
        <w:t>35</w:t>
      </w:r>
      <w:r w:rsidRPr="00BC081A">
        <w:rPr>
          <w:lang w:val="en-CA"/>
        </w:rPr>
        <w:t>(3), 731-747.</w:t>
      </w:r>
      <w:proofErr w:type="gramEnd"/>
    </w:p>
    <w:p w14:paraId="306208B0" w14:textId="77777777" w:rsidR="00536F6A" w:rsidRPr="00BC081A" w:rsidRDefault="00536F6A" w:rsidP="00536F6A">
      <w:pPr>
        <w:pStyle w:val="NormalWeb"/>
        <w:ind w:left="480" w:hanging="480"/>
        <w:rPr>
          <w:lang w:val="en-CA"/>
        </w:rPr>
      </w:pPr>
      <w:r w:rsidRPr="00BC081A">
        <w:rPr>
          <w:lang w:val="en-CA"/>
        </w:rPr>
        <w:t xml:space="preserve">Novak, T.P., Hoffman, D. L., &amp; Yung, Y. F. (2000). Measuring the customer experience in online environments: A structural modeling approach. </w:t>
      </w:r>
      <w:r w:rsidRPr="00BC081A">
        <w:rPr>
          <w:i/>
          <w:iCs/>
          <w:lang w:val="en-CA"/>
        </w:rPr>
        <w:t>Marketing Science</w:t>
      </w:r>
      <w:r w:rsidRPr="00BC081A">
        <w:rPr>
          <w:lang w:val="en-CA"/>
        </w:rPr>
        <w:t>, 22–42. JSTOR.</w:t>
      </w:r>
    </w:p>
    <w:p w14:paraId="3BF4200E" w14:textId="77777777" w:rsidR="00536F6A" w:rsidRPr="00BC081A" w:rsidRDefault="00536F6A" w:rsidP="00536F6A">
      <w:pPr>
        <w:pStyle w:val="NormalWeb"/>
        <w:ind w:left="480" w:hanging="480"/>
        <w:rPr>
          <w:lang w:val="en-CA"/>
        </w:rPr>
      </w:pPr>
      <w:proofErr w:type="gramStart"/>
      <w:r w:rsidRPr="00BC081A">
        <w:rPr>
          <w:lang w:val="en-CA"/>
        </w:rPr>
        <w:t xml:space="preserve">Ones, D. S., &amp; </w:t>
      </w:r>
      <w:proofErr w:type="spellStart"/>
      <w:r w:rsidRPr="00BC081A">
        <w:rPr>
          <w:lang w:val="en-CA"/>
        </w:rPr>
        <w:t>Viswesvaran</w:t>
      </w:r>
      <w:proofErr w:type="spellEnd"/>
      <w:r w:rsidRPr="00BC081A">
        <w:rPr>
          <w:lang w:val="en-CA"/>
        </w:rPr>
        <w:t>, C. (1996).</w:t>
      </w:r>
      <w:proofErr w:type="gramEnd"/>
      <w:r w:rsidRPr="00BC081A">
        <w:rPr>
          <w:lang w:val="en-CA"/>
        </w:rPr>
        <w:t xml:space="preserve"> Bandwidth–fidelity dilemma in personality measurement for personnel selection. </w:t>
      </w:r>
      <w:r w:rsidRPr="00BC081A">
        <w:rPr>
          <w:i/>
          <w:iCs/>
          <w:lang w:val="en-CA"/>
        </w:rPr>
        <w:t xml:space="preserve">Journal of Organizational </w:t>
      </w:r>
      <w:proofErr w:type="spellStart"/>
      <w:r w:rsidRPr="00BC081A">
        <w:rPr>
          <w:i/>
          <w:iCs/>
          <w:lang w:val="en-CA"/>
        </w:rPr>
        <w:t>Behavior</w:t>
      </w:r>
      <w:proofErr w:type="spellEnd"/>
      <w:r w:rsidRPr="00BC081A">
        <w:rPr>
          <w:lang w:val="en-CA"/>
        </w:rPr>
        <w:t xml:space="preserve">, </w:t>
      </w:r>
      <w:r w:rsidRPr="00BC081A">
        <w:rPr>
          <w:i/>
          <w:iCs/>
          <w:lang w:val="en-CA"/>
        </w:rPr>
        <w:t>17</w:t>
      </w:r>
      <w:r w:rsidRPr="00BC081A">
        <w:rPr>
          <w:lang w:val="en-CA"/>
        </w:rPr>
        <w:t xml:space="preserve">(6), 609–626. </w:t>
      </w:r>
      <w:proofErr w:type="gramStart"/>
      <w:r w:rsidRPr="00BC081A">
        <w:rPr>
          <w:lang w:val="en-CA"/>
        </w:rPr>
        <w:t>Wiley Online Library.</w:t>
      </w:r>
      <w:proofErr w:type="gramEnd"/>
    </w:p>
    <w:p w14:paraId="1F7E83F1" w14:textId="77777777" w:rsidR="00536F6A" w:rsidRPr="00BC081A" w:rsidRDefault="00536F6A" w:rsidP="00536F6A">
      <w:pPr>
        <w:pStyle w:val="NormalWeb"/>
        <w:ind w:left="480" w:hanging="480"/>
        <w:rPr>
          <w:lang w:val="en-CA"/>
        </w:rPr>
      </w:pPr>
      <w:proofErr w:type="spellStart"/>
      <w:r w:rsidRPr="00BC081A">
        <w:rPr>
          <w:lang w:val="en-CA"/>
        </w:rPr>
        <w:t>Paunonen</w:t>
      </w:r>
      <w:proofErr w:type="spellEnd"/>
      <w:r w:rsidRPr="00BC081A">
        <w:rPr>
          <w:lang w:val="en-CA"/>
        </w:rPr>
        <w:t xml:space="preserve">, S. V., Rothstein, M. G., &amp; Jackson, D. N. (1999). Narrow reasoning about the use of broad personality measures for personnel selection. </w:t>
      </w:r>
      <w:r w:rsidRPr="00BC081A">
        <w:rPr>
          <w:i/>
          <w:iCs/>
          <w:lang w:val="en-CA"/>
        </w:rPr>
        <w:t xml:space="preserve">Journal of Organizational </w:t>
      </w:r>
      <w:proofErr w:type="spellStart"/>
      <w:r w:rsidRPr="00BC081A">
        <w:rPr>
          <w:i/>
          <w:iCs/>
          <w:lang w:val="en-CA"/>
        </w:rPr>
        <w:t>Behavior</w:t>
      </w:r>
      <w:proofErr w:type="spellEnd"/>
      <w:r w:rsidRPr="00BC081A">
        <w:rPr>
          <w:lang w:val="en-CA"/>
        </w:rPr>
        <w:t xml:space="preserve">, </w:t>
      </w:r>
      <w:r w:rsidRPr="00BC081A">
        <w:rPr>
          <w:i/>
          <w:iCs/>
          <w:lang w:val="en-CA"/>
        </w:rPr>
        <w:t>20</w:t>
      </w:r>
      <w:r w:rsidRPr="00BC081A">
        <w:rPr>
          <w:lang w:val="en-CA"/>
        </w:rPr>
        <w:t xml:space="preserve">(3), 389–405. </w:t>
      </w:r>
      <w:proofErr w:type="gramStart"/>
      <w:r w:rsidRPr="00BC081A">
        <w:rPr>
          <w:lang w:val="en-CA"/>
        </w:rPr>
        <w:t>Wiley Online Library.</w:t>
      </w:r>
      <w:proofErr w:type="gramEnd"/>
    </w:p>
    <w:p w14:paraId="539879A2" w14:textId="77777777" w:rsidR="00536F6A" w:rsidRPr="00BC081A" w:rsidRDefault="00536F6A" w:rsidP="00536F6A">
      <w:pPr>
        <w:pStyle w:val="NormalWeb"/>
        <w:ind w:left="480" w:hanging="480"/>
        <w:rPr>
          <w:lang w:val="en-CA"/>
        </w:rPr>
      </w:pPr>
      <w:proofErr w:type="spellStart"/>
      <w:proofErr w:type="gramStart"/>
      <w:r w:rsidRPr="00BC081A">
        <w:rPr>
          <w:lang w:val="en-CA"/>
        </w:rPr>
        <w:t>Polites</w:t>
      </w:r>
      <w:proofErr w:type="spellEnd"/>
      <w:r w:rsidRPr="00BC081A">
        <w:rPr>
          <w:lang w:val="en-CA"/>
        </w:rPr>
        <w:t>, G. L., Roberts, N., &amp; Thatcher, J. (2012).</w:t>
      </w:r>
      <w:proofErr w:type="gramEnd"/>
      <w:r w:rsidRPr="00BC081A">
        <w:rPr>
          <w:lang w:val="en-CA"/>
        </w:rPr>
        <w:t xml:space="preserve"> Conceptualizing models using multidimensional constructs: a review and guidelines for their use. </w:t>
      </w:r>
      <w:proofErr w:type="gramStart"/>
      <w:r w:rsidRPr="00BC081A">
        <w:rPr>
          <w:i/>
          <w:iCs/>
          <w:lang w:val="en-CA"/>
        </w:rPr>
        <w:t>European Journal of Information Systems</w:t>
      </w:r>
      <w:r w:rsidRPr="00BC081A">
        <w:rPr>
          <w:lang w:val="en-CA"/>
        </w:rPr>
        <w:t xml:space="preserve">, </w:t>
      </w:r>
      <w:r w:rsidRPr="00BC081A">
        <w:rPr>
          <w:i/>
          <w:iCs/>
          <w:lang w:val="en-CA"/>
        </w:rPr>
        <w:t>21</w:t>
      </w:r>
      <w:r w:rsidRPr="00BC081A">
        <w:rPr>
          <w:lang w:val="en-CA"/>
        </w:rPr>
        <w:t>(1), 22-48.</w:t>
      </w:r>
      <w:proofErr w:type="gramEnd"/>
      <w:r w:rsidRPr="00BC081A">
        <w:rPr>
          <w:lang w:val="en-CA"/>
        </w:rPr>
        <w:t xml:space="preserve"> Nature Publishing Group. </w:t>
      </w:r>
      <w:proofErr w:type="gramStart"/>
      <w:r w:rsidRPr="00BC081A">
        <w:rPr>
          <w:lang w:val="en-CA"/>
        </w:rPr>
        <w:t>doi:10.1057</w:t>
      </w:r>
      <w:proofErr w:type="gramEnd"/>
      <w:r w:rsidRPr="00BC081A">
        <w:rPr>
          <w:lang w:val="en-CA"/>
        </w:rPr>
        <w:t>/ejis.2011.10</w:t>
      </w:r>
    </w:p>
    <w:p w14:paraId="1B7F27D3" w14:textId="77777777" w:rsidR="00536F6A" w:rsidRPr="00BC081A" w:rsidRDefault="00536F6A" w:rsidP="00536F6A">
      <w:pPr>
        <w:pStyle w:val="NormalWeb"/>
        <w:ind w:left="480" w:hanging="480"/>
        <w:rPr>
          <w:lang w:val="en-CA"/>
        </w:rPr>
      </w:pPr>
      <w:r w:rsidRPr="00BC081A">
        <w:rPr>
          <w:lang w:val="en-CA"/>
        </w:rPr>
        <w:t xml:space="preserve">* Roca, J., Chiu, C., &amp; Martinez, F. (2006). Understanding e-learning continuance intention: An extension of the Technology Acceptance Model. </w:t>
      </w:r>
      <w:r w:rsidRPr="00BC081A">
        <w:rPr>
          <w:i/>
          <w:iCs/>
          <w:lang w:val="en-CA"/>
        </w:rPr>
        <w:t>International Journal of Human-Computer Studies</w:t>
      </w:r>
      <w:r w:rsidRPr="00BC081A">
        <w:rPr>
          <w:lang w:val="en-CA"/>
        </w:rPr>
        <w:t xml:space="preserve">, </w:t>
      </w:r>
      <w:r w:rsidRPr="00BC081A">
        <w:rPr>
          <w:i/>
          <w:iCs/>
          <w:lang w:val="en-CA"/>
        </w:rPr>
        <w:t>64</w:t>
      </w:r>
      <w:r w:rsidRPr="00BC081A">
        <w:rPr>
          <w:lang w:val="en-CA"/>
        </w:rPr>
        <w:t>(8), 683-696. doi</w:t>
      </w:r>
      <w:proofErr w:type="gramStart"/>
      <w:r w:rsidRPr="00BC081A">
        <w:rPr>
          <w:lang w:val="en-CA"/>
        </w:rPr>
        <w:t>:10.1016</w:t>
      </w:r>
      <w:proofErr w:type="gramEnd"/>
      <w:r w:rsidRPr="00BC081A">
        <w:rPr>
          <w:lang w:val="en-CA"/>
        </w:rPr>
        <w:t>/j.ijhcs.2006.01.003</w:t>
      </w:r>
    </w:p>
    <w:p w14:paraId="782799AC" w14:textId="77777777" w:rsidR="00536F6A" w:rsidRPr="00BC081A" w:rsidRDefault="00536F6A" w:rsidP="00536F6A">
      <w:pPr>
        <w:pStyle w:val="NormalWeb"/>
        <w:ind w:left="480" w:hanging="480"/>
        <w:rPr>
          <w:lang w:val="en-CA"/>
        </w:rPr>
      </w:pPr>
      <w:r w:rsidRPr="00BC081A">
        <w:rPr>
          <w:lang w:val="en-CA"/>
        </w:rPr>
        <w:lastRenderedPageBreak/>
        <w:t xml:space="preserve">* </w:t>
      </w:r>
      <w:proofErr w:type="spellStart"/>
      <w:r w:rsidRPr="00BC081A">
        <w:rPr>
          <w:lang w:val="en-CA"/>
        </w:rPr>
        <w:t>Saadé</w:t>
      </w:r>
      <w:proofErr w:type="spellEnd"/>
      <w:r w:rsidRPr="00BC081A">
        <w:rPr>
          <w:lang w:val="en-CA"/>
        </w:rPr>
        <w:t xml:space="preserve">, R., &amp; </w:t>
      </w:r>
      <w:proofErr w:type="spellStart"/>
      <w:r w:rsidRPr="00BC081A">
        <w:rPr>
          <w:lang w:val="en-CA"/>
        </w:rPr>
        <w:t>Bahli</w:t>
      </w:r>
      <w:proofErr w:type="spellEnd"/>
      <w:r w:rsidRPr="00BC081A">
        <w:rPr>
          <w:lang w:val="en-CA"/>
        </w:rPr>
        <w:t xml:space="preserve">, B. (2005). The impact of cognitive absorption on perceived usefulness and perceived ease of use in on-line learning: an extension of the technology acceptance model. </w:t>
      </w:r>
      <w:proofErr w:type="gramStart"/>
      <w:r w:rsidRPr="00BC081A">
        <w:rPr>
          <w:i/>
          <w:iCs/>
          <w:lang w:val="en-CA"/>
        </w:rPr>
        <w:t>Information &amp; Management</w:t>
      </w:r>
      <w:r w:rsidRPr="00BC081A">
        <w:rPr>
          <w:lang w:val="en-CA"/>
        </w:rPr>
        <w:t xml:space="preserve">, </w:t>
      </w:r>
      <w:r w:rsidRPr="00BC081A">
        <w:rPr>
          <w:i/>
          <w:iCs/>
          <w:lang w:val="en-CA"/>
        </w:rPr>
        <w:t>42</w:t>
      </w:r>
      <w:r w:rsidRPr="00BC081A">
        <w:rPr>
          <w:lang w:val="en-CA"/>
        </w:rPr>
        <w:t>(2), 317-327.</w:t>
      </w:r>
      <w:proofErr w:type="gramEnd"/>
      <w:r w:rsidRPr="00BC081A">
        <w:rPr>
          <w:lang w:val="en-CA"/>
        </w:rPr>
        <w:t xml:space="preserve"> </w:t>
      </w:r>
      <w:proofErr w:type="gramStart"/>
      <w:r w:rsidRPr="00BC081A">
        <w:rPr>
          <w:lang w:val="en-CA"/>
        </w:rPr>
        <w:t>doi:10.1016</w:t>
      </w:r>
      <w:proofErr w:type="gramEnd"/>
      <w:r w:rsidRPr="00BC081A">
        <w:rPr>
          <w:lang w:val="en-CA"/>
        </w:rPr>
        <w:t>/j.im.2003.12.013</w:t>
      </w:r>
    </w:p>
    <w:p w14:paraId="223F5B64" w14:textId="77777777" w:rsidR="00536F6A" w:rsidRPr="00BC081A" w:rsidRDefault="00536F6A" w:rsidP="00536F6A">
      <w:pPr>
        <w:pStyle w:val="NormalWeb"/>
        <w:ind w:left="480" w:hanging="480"/>
        <w:rPr>
          <w:lang w:val="en-CA"/>
        </w:rPr>
      </w:pPr>
      <w:proofErr w:type="spellStart"/>
      <w:r w:rsidRPr="00BC081A">
        <w:rPr>
          <w:lang w:val="en-CA"/>
        </w:rPr>
        <w:t>Sabherwal</w:t>
      </w:r>
      <w:proofErr w:type="spellEnd"/>
      <w:r w:rsidRPr="00BC081A">
        <w:rPr>
          <w:lang w:val="en-CA"/>
        </w:rPr>
        <w:t xml:space="preserve">, R., </w:t>
      </w:r>
      <w:proofErr w:type="spellStart"/>
      <w:r w:rsidRPr="00BC081A">
        <w:rPr>
          <w:lang w:val="en-CA"/>
        </w:rPr>
        <w:t>Jeyaraj</w:t>
      </w:r>
      <w:proofErr w:type="spellEnd"/>
      <w:r w:rsidRPr="00BC081A">
        <w:rPr>
          <w:lang w:val="en-CA"/>
        </w:rPr>
        <w:t xml:space="preserve">, A., &amp; </w:t>
      </w:r>
      <w:proofErr w:type="spellStart"/>
      <w:r w:rsidRPr="00BC081A">
        <w:rPr>
          <w:lang w:val="en-CA"/>
        </w:rPr>
        <w:t>Chowa</w:t>
      </w:r>
      <w:proofErr w:type="spellEnd"/>
      <w:r w:rsidRPr="00BC081A">
        <w:rPr>
          <w:lang w:val="en-CA"/>
        </w:rPr>
        <w:t xml:space="preserve">, C. (2006). Information system success: individual and organizational determinants. </w:t>
      </w:r>
      <w:r w:rsidRPr="00BC081A">
        <w:rPr>
          <w:i/>
          <w:iCs/>
          <w:lang w:val="en-CA"/>
        </w:rPr>
        <w:t>Management Science</w:t>
      </w:r>
      <w:r w:rsidRPr="00BC081A">
        <w:rPr>
          <w:lang w:val="en-CA"/>
        </w:rPr>
        <w:t xml:space="preserve">, </w:t>
      </w:r>
      <w:r w:rsidRPr="00BC081A">
        <w:rPr>
          <w:i/>
          <w:iCs/>
          <w:lang w:val="en-CA"/>
        </w:rPr>
        <w:t>52</w:t>
      </w:r>
      <w:r w:rsidRPr="00BC081A">
        <w:rPr>
          <w:lang w:val="en-CA"/>
        </w:rPr>
        <w:t xml:space="preserve">(12), 1849–1864. </w:t>
      </w:r>
      <w:proofErr w:type="spellStart"/>
      <w:r w:rsidRPr="00BC081A">
        <w:rPr>
          <w:lang w:val="en-CA"/>
        </w:rPr>
        <w:t>Citeseer</w:t>
      </w:r>
      <w:proofErr w:type="spellEnd"/>
      <w:r w:rsidRPr="00BC081A">
        <w:rPr>
          <w:lang w:val="en-CA"/>
        </w:rPr>
        <w:t xml:space="preserve">. </w:t>
      </w:r>
      <w:proofErr w:type="gramStart"/>
      <w:r w:rsidRPr="00BC081A">
        <w:rPr>
          <w:lang w:val="en-CA"/>
        </w:rPr>
        <w:t>doi:10.1287</w:t>
      </w:r>
      <w:proofErr w:type="gramEnd"/>
      <w:r w:rsidRPr="00BC081A">
        <w:rPr>
          <w:lang w:val="en-CA"/>
        </w:rPr>
        <w:t>/mnsc.l060.0583</w:t>
      </w:r>
    </w:p>
    <w:p w14:paraId="73A1C133" w14:textId="77777777" w:rsidR="00536F6A" w:rsidRPr="00BC081A" w:rsidRDefault="00536F6A" w:rsidP="00536F6A">
      <w:pPr>
        <w:pStyle w:val="NormalWeb"/>
        <w:ind w:left="480" w:hanging="480"/>
        <w:rPr>
          <w:lang w:val="en-CA"/>
        </w:rPr>
      </w:pPr>
      <w:r w:rsidRPr="00BC081A">
        <w:rPr>
          <w:lang w:val="en-CA"/>
        </w:rPr>
        <w:t xml:space="preserve">* Sánchez-Franco, M. J. (2006). Exploring the influence of gender on the web usage via partial least squares. </w:t>
      </w:r>
      <w:proofErr w:type="gramStart"/>
      <w:r w:rsidRPr="00BC081A">
        <w:rPr>
          <w:i/>
          <w:iCs/>
          <w:lang w:val="en-CA"/>
        </w:rPr>
        <w:t>Behaviour &amp; Information Technology</w:t>
      </w:r>
      <w:r w:rsidRPr="00BC081A">
        <w:rPr>
          <w:lang w:val="en-CA"/>
        </w:rPr>
        <w:t xml:space="preserve">, </w:t>
      </w:r>
      <w:r w:rsidRPr="00BC081A">
        <w:rPr>
          <w:i/>
          <w:iCs/>
          <w:lang w:val="en-CA"/>
        </w:rPr>
        <w:t>25</w:t>
      </w:r>
      <w:r w:rsidRPr="00BC081A">
        <w:rPr>
          <w:lang w:val="en-CA"/>
        </w:rPr>
        <w:t>(1), 19-36.</w:t>
      </w:r>
      <w:proofErr w:type="gramEnd"/>
      <w:r w:rsidRPr="00BC081A">
        <w:rPr>
          <w:lang w:val="en-CA"/>
        </w:rPr>
        <w:t xml:space="preserve"> </w:t>
      </w:r>
      <w:proofErr w:type="gramStart"/>
      <w:r w:rsidRPr="00BC081A">
        <w:rPr>
          <w:lang w:val="en-CA"/>
        </w:rPr>
        <w:t>doi:10.1080</w:t>
      </w:r>
      <w:proofErr w:type="gramEnd"/>
      <w:r w:rsidRPr="00BC081A">
        <w:rPr>
          <w:lang w:val="en-CA"/>
        </w:rPr>
        <w:t>/01449290500124536</w:t>
      </w:r>
    </w:p>
    <w:p w14:paraId="1F7DB25F"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w:t>
      </w:r>
      <w:proofErr w:type="spellStart"/>
      <w:r w:rsidRPr="00BC081A">
        <w:rPr>
          <w:rFonts w:cs="Times New Roman"/>
          <w:sz w:val="20"/>
          <w:szCs w:val="20"/>
        </w:rPr>
        <w:t>Shiau</w:t>
      </w:r>
      <w:proofErr w:type="spellEnd"/>
      <w:r w:rsidRPr="00BC081A">
        <w:rPr>
          <w:rFonts w:cs="Times New Roman"/>
          <w:sz w:val="20"/>
          <w:szCs w:val="20"/>
        </w:rPr>
        <w:t>, W. L., Huang, L. C., &amp; Shih, C</w:t>
      </w:r>
      <w:proofErr w:type="gramStart"/>
      <w:r w:rsidRPr="00BC081A">
        <w:rPr>
          <w:rFonts w:cs="Times New Roman"/>
          <w:sz w:val="20"/>
          <w:szCs w:val="20"/>
        </w:rPr>
        <w:t>.-</w:t>
      </w:r>
      <w:proofErr w:type="spellStart"/>
      <w:proofErr w:type="gramEnd"/>
      <w:r w:rsidRPr="00BC081A">
        <w:rPr>
          <w:rFonts w:cs="Times New Roman"/>
          <w:sz w:val="20"/>
          <w:szCs w:val="20"/>
        </w:rPr>
        <w:t>hui</w:t>
      </w:r>
      <w:proofErr w:type="spellEnd"/>
      <w:r w:rsidRPr="00BC081A">
        <w:rPr>
          <w:rFonts w:cs="Times New Roman"/>
          <w:sz w:val="20"/>
          <w:szCs w:val="20"/>
        </w:rPr>
        <w:t xml:space="preserve">. (2011). Understanding Continuance Intention of Blog Users: A Perspective of Flow and Expectation Confirmation Theory. </w:t>
      </w:r>
      <w:proofErr w:type="gramStart"/>
      <w:r w:rsidRPr="00BC081A">
        <w:rPr>
          <w:rFonts w:cs="Times New Roman"/>
          <w:i/>
          <w:iCs/>
          <w:sz w:val="20"/>
          <w:szCs w:val="20"/>
        </w:rPr>
        <w:t>Journal of Convergence Information Technology</w:t>
      </w:r>
      <w:r w:rsidRPr="00BC081A">
        <w:rPr>
          <w:rFonts w:cs="Times New Roman"/>
          <w:sz w:val="20"/>
          <w:szCs w:val="20"/>
        </w:rPr>
        <w:t xml:space="preserve">, </w:t>
      </w:r>
      <w:r w:rsidRPr="00BC081A">
        <w:rPr>
          <w:rFonts w:cs="Times New Roman"/>
          <w:i/>
          <w:iCs/>
          <w:sz w:val="20"/>
          <w:szCs w:val="20"/>
        </w:rPr>
        <w:t>6</w:t>
      </w:r>
      <w:r w:rsidRPr="00BC081A">
        <w:rPr>
          <w:rFonts w:cs="Times New Roman"/>
          <w:sz w:val="20"/>
          <w:szCs w:val="20"/>
        </w:rPr>
        <w:t>(4), 306-317.</w:t>
      </w:r>
      <w:proofErr w:type="gramEnd"/>
      <w:r w:rsidRPr="00BC081A">
        <w:rPr>
          <w:rFonts w:cs="Times New Roman"/>
          <w:sz w:val="20"/>
          <w:szCs w:val="20"/>
        </w:rPr>
        <w:t xml:space="preserve"> </w:t>
      </w:r>
      <w:proofErr w:type="gramStart"/>
      <w:r w:rsidRPr="00BC081A">
        <w:rPr>
          <w:rFonts w:cs="Times New Roman"/>
          <w:sz w:val="20"/>
          <w:szCs w:val="20"/>
        </w:rPr>
        <w:t>doi:10.4156</w:t>
      </w:r>
      <w:proofErr w:type="gramEnd"/>
      <w:r w:rsidRPr="00BC081A">
        <w:rPr>
          <w:rFonts w:cs="Times New Roman"/>
          <w:sz w:val="20"/>
          <w:szCs w:val="20"/>
        </w:rPr>
        <w:t>/jcit.vol6.</w:t>
      </w:r>
    </w:p>
    <w:p w14:paraId="3430AF45" w14:textId="77777777" w:rsidR="00536F6A" w:rsidRPr="00BC081A" w:rsidRDefault="00536F6A" w:rsidP="00536F6A">
      <w:pPr>
        <w:pStyle w:val="NormalWeb"/>
        <w:ind w:left="480" w:hanging="480"/>
        <w:rPr>
          <w:lang w:val="en-CA"/>
        </w:rPr>
      </w:pPr>
      <w:r w:rsidRPr="00BC081A">
        <w:rPr>
          <w:lang w:val="en-CA"/>
        </w:rPr>
        <w:t>* Shin, D</w:t>
      </w:r>
      <w:proofErr w:type="gramStart"/>
      <w:r w:rsidRPr="00BC081A">
        <w:rPr>
          <w:lang w:val="en-CA"/>
        </w:rPr>
        <w:t>.-</w:t>
      </w:r>
      <w:proofErr w:type="gramEnd"/>
      <w:r w:rsidRPr="00BC081A">
        <w:rPr>
          <w:lang w:val="en-CA"/>
        </w:rPr>
        <w:t xml:space="preserve">H., &amp; Shin, Y.-J. (2010). Why do people play social network games? </w:t>
      </w:r>
      <w:proofErr w:type="gramStart"/>
      <w:r w:rsidRPr="00BC081A">
        <w:rPr>
          <w:i/>
          <w:iCs/>
          <w:lang w:val="en-CA"/>
        </w:rPr>
        <w:t xml:space="preserve">Computers in Human </w:t>
      </w:r>
      <w:proofErr w:type="spellStart"/>
      <w:r w:rsidRPr="00BC081A">
        <w:rPr>
          <w:i/>
          <w:iCs/>
          <w:lang w:val="en-CA"/>
        </w:rPr>
        <w:t>Behavior</w:t>
      </w:r>
      <w:proofErr w:type="spellEnd"/>
      <w:r w:rsidRPr="00BC081A">
        <w:rPr>
          <w:lang w:val="en-CA"/>
        </w:rPr>
        <w:t>.</w:t>
      </w:r>
      <w:proofErr w:type="gramEnd"/>
    </w:p>
    <w:p w14:paraId="4AC0ABDA" w14:textId="77777777" w:rsidR="00536F6A" w:rsidRPr="00BC081A" w:rsidRDefault="00536F6A" w:rsidP="00536F6A">
      <w:pPr>
        <w:pStyle w:val="NormalWeb"/>
        <w:ind w:left="480" w:hanging="480"/>
        <w:rPr>
          <w:lang w:val="en-CA"/>
        </w:rPr>
      </w:pPr>
      <w:proofErr w:type="gramStart"/>
      <w:r w:rsidRPr="00BC081A">
        <w:rPr>
          <w:lang w:val="en-CA"/>
        </w:rPr>
        <w:t>Shin, N. (2006).</w:t>
      </w:r>
      <w:proofErr w:type="gramEnd"/>
      <w:r w:rsidRPr="00BC081A">
        <w:rPr>
          <w:lang w:val="en-CA"/>
        </w:rPr>
        <w:t xml:space="preserve"> Online learner’s “flow” experience: an empirical study. </w:t>
      </w:r>
      <w:proofErr w:type="gramStart"/>
      <w:r w:rsidRPr="00BC081A">
        <w:rPr>
          <w:i/>
          <w:iCs/>
          <w:lang w:val="en-CA"/>
        </w:rPr>
        <w:t>British Journal of Educational Technology</w:t>
      </w:r>
      <w:r w:rsidRPr="00BC081A">
        <w:rPr>
          <w:lang w:val="en-CA"/>
        </w:rPr>
        <w:t xml:space="preserve">, </w:t>
      </w:r>
      <w:r w:rsidRPr="00BC081A">
        <w:rPr>
          <w:i/>
          <w:iCs/>
          <w:lang w:val="en-CA"/>
        </w:rPr>
        <w:t>37</w:t>
      </w:r>
      <w:r w:rsidRPr="00BC081A">
        <w:rPr>
          <w:lang w:val="en-CA"/>
        </w:rPr>
        <w:t>(5), 705-720.</w:t>
      </w:r>
      <w:proofErr w:type="gramEnd"/>
      <w:r w:rsidRPr="00BC081A">
        <w:rPr>
          <w:lang w:val="en-CA"/>
        </w:rPr>
        <w:t xml:space="preserve"> </w:t>
      </w:r>
      <w:proofErr w:type="gramStart"/>
      <w:r w:rsidRPr="00BC081A">
        <w:rPr>
          <w:lang w:val="en-CA"/>
        </w:rPr>
        <w:t>doi:10.1111</w:t>
      </w:r>
      <w:proofErr w:type="gramEnd"/>
      <w:r w:rsidRPr="00BC081A">
        <w:rPr>
          <w:lang w:val="en-CA"/>
        </w:rPr>
        <w:t>/j.1467-8535.2006.00641.x</w:t>
      </w:r>
    </w:p>
    <w:p w14:paraId="5C8DB677"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Sicilia, M., &amp; Ruiz, S. (2007). </w:t>
      </w:r>
      <w:proofErr w:type="gramStart"/>
      <w:r w:rsidRPr="00BC081A">
        <w:rPr>
          <w:rFonts w:cs="Times New Roman"/>
          <w:sz w:val="20"/>
          <w:szCs w:val="20"/>
        </w:rPr>
        <w:t>The role of flow in web site effectiveness.</w:t>
      </w:r>
      <w:proofErr w:type="gramEnd"/>
      <w:r w:rsidRPr="00BC081A">
        <w:rPr>
          <w:rFonts w:cs="Times New Roman"/>
          <w:sz w:val="20"/>
          <w:szCs w:val="20"/>
        </w:rPr>
        <w:t xml:space="preserve"> </w:t>
      </w:r>
      <w:r w:rsidRPr="00BC081A">
        <w:rPr>
          <w:rFonts w:cs="Times New Roman"/>
          <w:i/>
          <w:iCs/>
          <w:sz w:val="20"/>
          <w:szCs w:val="20"/>
        </w:rPr>
        <w:t>Journal of Interactive Advertising</w:t>
      </w:r>
      <w:r w:rsidRPr="00BC081A">
        <w:rPr>
          <w:rFonts w:cs="Times New Roman"/>
          <w:sz w:val="20"/>
          <w:szCs w:val="20"/>
        </w:rPr>
        <w:t xml:space="preserve">, </w:t>
      </w:r>
      <w:r w:rsidRPr="00BC081A">
        <w:rPr>
          <w:rFonts w:cs="Times New Roman"/>
          <w:i/>
          <w:iCs/>
          <w:sz w:val="20"/>
          <w:szCs w:val="20"/>
        </w:rPr>
        <w:t>8</w:t>
      </w:r>
      <w:r w:rsidRPr="00BC081A">
        <w:rPr>
          <w:rFonts w:cs="Times New Roman"/>
          <w:sz w:val="20"/>
          <w:szCs w:val="20"/>
        </w:rPr>
        <w:t>(1), 33–44.</w:t>
      </w:r>
    </w:p>
    <w:p w14:paraId="439DDF21" w14:textId="77777777" w:rsidR="00536F6A" w:rsidRPr="00BC081A" w:rsidRDefault="00536F6A" w:rsidP="00536F6A">
      <w:pPr>
        <w:pStyle w:val="NormalWeb"/>
        <w:ind w:left="480" w:hanging="480"/>
        <w:rPr>
          <w:lang w:val="en-CA"/>
        </w:rPr>
      </w:pPr>
      <w:r w:rsidRPr="00BC081A">
        <w:rPr>
          <w:lang w:val="en-CA"/>
        </w:rPr>
        <w:t xml:space="preserve">* </w:t>
      </w:r>
      <w:proofErr w:type="spellStart"/>
      <w:r w:rsidRPr="00BC081A">
        <w:rPr>
          <w:lang w:val="en-CA"/>
        </w:rPr>
        <w:t>Siekpe</w:t>
      </w:r>
      <w:proofErr w:type="spellEnd"/>
      <w:r w:rsidRPr="00BC081A">
        <w:rPr>
          <w:lang w:val="en-CA"/>
        </w:rPr>
        <w:t xml:space="preserve">, J. (2005). </w:t>
      </w:r>
      <w:proofErr w:type="gramStart"/>
      <w:r w:rsidRPr="00BC081A">
        <w:rPr>
          <w:lang w:val="en-CA"/>
        </w:rPr>
        <w:t>An examination of the multidimensionality of flow construct in a computer-mediated environment.</w:t>
      </w:r>
      <w:proofErr w:type="gramEnd"/>
      <w:r w:rsidRPr="00BC081A">
        <w:rPr>
          <w:lang w:val="en-CA"/>
        </w:rPr>
        <w:t xml:space="preserve"> </w:t>
      </w:r>
      <w:proofErr w:type="gramStart"/>
      <w:r w:rsidRPr="00BC081A">
        <w:rPr>
          <w:i/>
          <w:iCs/>
          <w:lang w:val="en-CA"/>
        </w:rPr>
        <w:t>Journal of Electronic Commerce Research</w:t>
      </w:r>
      <w:r w:rsidRPr="00BC081A">
        <w:rPr>
          <w:lang w:val="en-CA"/>
        </w:rPr>
        <w:t xml:space="preserve">, </w:t>
      </w:r>
      <w:r w:rsidRPr="00BC081A">
        <w:rPr>
          <w:i/>
          <w:iCs/>
          <w:lang w:val="en-CA"/>
        </w:rPr>
        <w:t>6</w:t>
      </w:r>
      <w:r w:rsidRPr="00BC081A">
        <w:rPr>
          <w:lang w:val="en-CA"/>
        </w:rPr>
        <w:t>(1), 31-43.</w:t>
      </w:r>
      <w:proofErr w:type="gramEnd"/>
    </w:p>
    <w:p w14:paraId="1A85BE0C" w14:textId="77777777" w:rsidR="00536F6A" w:rsidRPr="00BC081A" w:rsidRDefault="00536F6A" w:rsidP="00536F6A">
      <w:pPr>
        <w:pStyle w:val="NormalWeb"/>
        <w:ind w:left="480" w:hanging="480"/>
        <w:rPr>
          <w:lang w:val="en-CA"/>
        </w:rPr>
      </w:pPr>
      <w:proofErr w:type="spellStart"/>
      <w:r w:rsidRPr="00BC081A">
        <w:rPr>
          <w:lang w:val="en-CA"/>
        </w:rPr>
        <w:t>Takatalo</w:t>
      </w:r>
      <w:proofErr w:type="spellEnd"/>
      <w:r w:rsidRPr="00BC081A">
        <w:rPr>
          <w:lang w:val="en-CA"/>
        </w:rPr>
        <w:t xml:space="preserve">, J., Nyman, G., &amp; </w:t>
      </w:r>
      <w:proofErr w:type="spellStart"/>
      <w:r w:rsidRPr="00BC081A">
        <w:rPr>
          <w:lang w:val="en-CA"/>
        </w:rPr>
        <w:t>Laaksonen</w:t>
      </w:r>
      <w:proofErr w:type="spellEnd"/>
      <w:r w:rsidRPr="00BC081A">
        <w:rPr>
          <w:lang w:val="en-CA"/>
        </w:rPr>
        <w:t xml:space="preserve">, L. (2008). </w:t>
      </w:r>
      <w:proofErr w:type="gramStart"/>
      <w:r w:rsidRPr="00BC081A">
        <w:rPr>
          <w:lang w:val="en-CA"/>
        </w:rPr>
        <w:t>Components of human experience in virtual environments.</w:t>
      </w:r>
      <w:proofErr w:type="gramEnd"/>
      <w:r w:rsidRPr="00BC081A">
        <w:rPr>
          <w:lang w:val="en-CA"/>
        </w:rPr>
        <w:t xml:space="preserve"> </w:t>
      </w:r>
      <w:proofErr w:type="gramStart"/>
      <w:r w:rsidRPr="00BC081A">
        <w:rPr>
          <w:i/>
          <w:iCs/>
          <w:lang w:val="en-CA"/>
        </w:rPr>
        <w:t xml:space="preserve">Computers in Human </w:t>
      </w:r>
      <w:proofErr w:type="spellStart"/>
      <w:r w:rsidRPr="00BC081A">
        <w:rPr>
          <w:i/>
          <w:iCs/>
          <w:lang w:val="en-CA"/>
        </w:rPr>
        <w:t>Behavior</w:t>
      </w:r>
      <w:proofErr w:type="spellEnd"/>
      <w:r w:rsidRPr="00BC081A">
        <w:rPr>
          <w:lang w:val="en-CA"/>
        </w:rPr>
        <w:t xml:space="preserve">, </w:t>
      </w:r>
      <w:r w:rsidRPr="00BC081A">
        <w:rPr>
          <w:i/>
          <w:iCs/>
          <w:lang w:val="en-CA"/>
        </w:rPr>
        <w:t>24</w:t>
      </w:r>
      <w:r w:rsidRPr="00BC081A">
        <w:rPr>
          <w:lang w:val="en-CA"/>
        </w:rPr>
        <w:t>(1), 1-15.</w:t>
      </w:r>
      <w:proofErr w:type="gramEnd"/>
      <w:r w:rsidRPr="00BC081A">
        <w:rPr>
          <w:lang w:val="en-CA"/>
        </w:rPr>
        <w:t xml:space="preserve"> </w:t>
      </w:r>
      <w:proofErr w:type="gramStart"/>
      <w:r w:rsidRPr="00BC081A">
        <w:rPr>
          <w:lang w:val="en-CA"/>
        </w:rPr>
        <w:t>doi:10.1016</w:t>
      </w:r>
      <w:proofErr w:type="gramEnd"/>
      <w:r w:rsidRPr="00BC081A">
        <w:rPr>
          <w:lang w:val="en-CA"/>
        </w:rPr>
        <w:t>/j.chb.2006.11.003</w:t>
      </w:r>
    </w:p>
    <w:p w14:paraId="17D889A9"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w:t>
      </w:r>
      <w:proofErr w:type="spellStart"/>
      <w:r w:rsidRPr="00BC081A">
        <w:rPr>
          <w:rFonts w:cs="Times New Roman"/>
          <w:sz w:val="20"/>
          <w:szCs w:val="20"/>
        </w:rPr>
        <w:t>Treviño</w:t>
      </w:r>
      <w:proofErr w:type="spellEnd"/>
      <w:r w:rsidRPr="00BC081A">
        <w:rPr>
          <w:rFonts w:cs="Times New Roman"/>
          <w:sz w:val="20"/>
          <w:szCs w:val="20"/>
        </w:rPr>
        <w:t xml:space="preserve">, L. K., Webster, J., &amp; Stein, E. W. (2000). Making connections: complementary influences on communication media choices attitudes, and use. </w:t>
      </w:r>
      <w:r w:rsidRPr="00BC081A">
        <w:rPr>
          <w:rFonts w:cs="Times New Roman"/>
          <w:i/>
          <w:iCs/>
          <w:sz w:val="20"/>
          <w:szCs w:val="20"/>
        </w:rPr>
        <w:t>Organization Science</w:t>
      </w:r>
      <w:r w:rsidRPr="00BC081A">
        <w:rPr>
          <w:rFonts w:cs="Times New Roman"/>
          <w:sz w:val="20"/>
          <w:szCs w:val="20"/>
        </w:rPr>
        <w:t xml:space="preserve">, </w:t>
      </w:r>
      <w:r w:rsidRPr="00BC081A">
        <w:rPr>
          <w:rFonts w:cs="Times New Roman"/>
          <w:i/>
          <w:iCs/>
          <w:sz w:val="20"/>
          <w:szCs w:val="20"/>
        </w:rPr>
        <w:t>11</w:t>
      </w:r>
      <w:r w:rsidRPr="00BC081A">
        <w:rPr>
          <w:rFonts w:cs="Times New Roman"/>
          <w:sz w:val="20"/>
          <w:szCs w:val="20"/>
        </w:rPr>
        <w:t>(2), 163–182. JSTOR.</w:t>
      </w:r>
    </w:p>
    <w:p w14:paraId="6925CDD1" w14:textId="77777777" w:rsidR="00536F6A" w:rsidRPr="00BC081A" w:rsidRDefault="00536F6A" w:rsidP="00536F6A">
      <w:pPr>
        <w:pStyle w:val="NormalWeb"/>
        <w:ind w:left="480" w:hanging="480"/>
        <w:rPr>
          <w:lang w:val="en-CA"/>
        </w:rPr>
      </w:pPr>
      <w:r w:rsidRPr="00BC081A">
        <w:rPr>
          <w:lang w:val="en-CA"/>
        </w:rPr>
        <w:t xml:space="preserve">Trevino, L. K., &amp; Webster, J. (1992). Flow in Computer-Mediated Communication: Electronic Mail and Voice Mail Evaluation and Impacts. </w:t>
      </w:r>
      <w:proofErr w:type="gramStart"/>
      <w:r w:rsidRPr="00BC081A">
        <w:rPr>
          <w:i/>
          <w:iCs/>
          <w:lang w:val="en-CA"/>
        </w:rPr>
        <w:t>Communication Research</w:t>
      </w:r>
      <w:r w:rsidRPr="00BC081A">
        <w:rPr>
          <w:lang w:val="en-CA"/>
        </w:rPr>
        <w:t xml:space="preserve">, </w:t>
      </w:r>
      <w:r w:rsidRPr="00BC081A">
        <w:rPr>
          <w:i/>
          <w:iCs/>
          <w:lang w:val="en-CA"/>
        </w:rPr>
        <w:t>19</w:t>
      </w:r>
      <w:r w:rsidRPr="00BC081A">
        <w:rPr>
          <w:lang w:val="en-CA"/>
        </w:rPr>
        <w:t>(5), 539-573.</w:t>
      </w:r>
      <w:proofErr w:type="gramEnd"/>
      <w:r w:rsidRPr="00BC081A">
        <w:rPr>
          <w:lang w:val="en-CA"/>
        </w:rPr>
        <w:t xml:space="preserve"> </w:t>
      </w:r>
      <w:proofErr w:type="gramStart"/>
      <w:r w:rsidRPr="00BC081A">
        <w:rPr>
          <w:lang w:val="en-CA"/>
        </w:rPr>
        <w:t>doi:10.1177</w:t>
      </w:r>
      <w:proofErr w:type="gramEnd"/>
      <w:r w:rsidRPr="00BC081A">
        <w:rPr>
          <w:lang w:val="en-CA"/>
        </w:rPr>
        <w:t>/009365092019005001</w:t>
      </w:r>
    </w:p>
    <w:p w14:paraId="6A55B852" w14:textId="77777777" w:rsidR="00536F6A" w:rsidRPr="00BC081A" w:rsidRDefault="00536F6A" w:rsidP="00536F6A">
      <w:pPr>
        <w:pStyle w:val="NormalWeb"/>
        <w:ind w:left="480" w:hanging="480"/>
        <w:rPr>
          <w:lang w:val="en-CA"/>
        </w:rPr>
      </w:pPr>
      <w:r w:rsidRPr="00BC081A">
        <w:rPr>
          <w:lang w:val="en-CA"/>
        </w:rPr>
        <w:t xml:space="preserve">* Tung, W., Moore, R., &amp; </w:t>
      </w:r>
      <w:proofErr w:type="spellStart"/>
      <w:r w:rsidRPr="00BC081A">
        <w:rPr>
          <w:lang w:val="en-CA"/>
        </w:rPr>
        <w:t>Engelland</w:t>
      </w:r>
      <w:proofErr w:type="spellEnd"/>
      <w:r w:rsidRPr="00BC081A">
        <w:rPr>
          <w:lang w:val="en-CA"/>
        </w:rPr>
        <w:t xml:space="preserve">, B. (2006). Exploring attitudes and purchase intentions in a brand-oriented, highly interactive web site setting. </w:t>
      </w:r>
      <w:r w:rsidRPr="00BC081A">
        <w:rPr>
          <w:i/>
          <w:iCs/>
          <w:lang w:val="en-CA"/>
        </w:rPr>
        <w:t>Marketing Management Journal</w:t>
      </w:r>
      <w:r w:rsidRPr="00BC081A">
        <w:rPr>
          <w:lang w:val="en-CA"/>
        </w:rPr>
        <w:t xml:space="preserve">, </w:t>
      </w:r>
      <w:r w:rsidRPr="00BC081A">
        <w:rPr>
          <w:i/>
          <w:iCs/>
          <w:lang w:val="en-CA"/>
        </w:rPr>
        <w:t>16</w:t>
      </w:r>
      <w:r w:rsidRPr="00BC081A">
        <w:rPr>
          <w:lang w:val="en-CA"/>
        </w:rPr>
        <w:t>(2), 94–106.</w:t>
      </w:r>
    </w:p>
    <w:p w14:paraId="758D031E" w14:textId="77777777" w:rsidR="00536F6A" w:rsidRPr="00BC081A" w:rsidRDefault="00536F6A" w:rsidP="00536F6A">
      <w:pPr>
        <w:pStyle w:val="NormalWeb"/>
        <w:ind w:left="480" w:hanging="480"/>
        <w:rPr>
          <w:lang w:val="en-CA"/>
        </w:rPr>
      </w:pPr>
      <w:r w:rsidRPr="00BC081A">
        <w:rPr>
          <w:lang w:val="en-CA"/>
        </w:rPr>
        <w:t xml:space="preserve">Van der </w:t>
      </w:r>
      <w:proofErr w:type="spellStart"/>
      <w:r w:rsidRPr="00BC081A">
        <w:rPr>
          <w:lang w:val="en-CA"/>
        </w:rPr>
        <w:t>Heijden</w:t>
      </w:r>
      <w:proofErr w:type="spellEnd"/>
      <w:r w:rsidRPr="00BC081A">
        <w:rPr>
          <w:lang w:val="en-CA"/>
        </w:rPr>
        <w:t xml:space="preserve">, H. (2004). </w:t>
      </w:r>
      <w:proofErr w:type="gramStart"/>
      <w:r w:rsidRPr="00BC081A">
        <w:rPr>
          <w:lang w:val="en-CA"/>
        </w:rPr>
        <w:t>User Acceptance of Hedonic Information Systems.</w:t>
      </w:r>
      <w:proofErr w:type="gramEnd"/>
      <w:r w:rsidRPr="00BC081A">
        <w:rPr>
          <w:lang w:val="en-CA"/>
        </w:rPr>
        <w:t xml:space="preserve"> </w:t>
      </w:r>
      <w:r w:rsidRPr="00BC081A">
        <w:rPr>
          <w:i/>
          <w:iCs/>
          <w:lang w:val="en-CA"/>
        </w:rPr>
        <w:t>MIS quarterly</w:t>
      </w:r>
      <w:r w:rsidRPr="00BC081A">
        <w:rPr>
          <w:lang w:val="en-CA"/>
        </w:rPr>
        <w:t xml:space="preserve">, </w:t>
      </w:r>
      <w:r w:rsidRPr="00BC081A">
        <w:rPr>
          <w:i/>
          <w:iCs/>
          <w:lang w:val="en-CA"/>
        </w:rPr>
        <w:t>28</w:t>
      </w:r>
      <w:r w:rsidRPr="00BC081A">
        <w:rPr>
          <w:lang w:val="en-CA"/>
        </w:rPr>
        <w:t>(4), 695–704. JSTOR.</w:t>
      </w:r>
    </w:p>
    <w:p w14:paraId="3DBD943A" w14:textId="77777777" w:rsidR="00536F6A" w:rsidRPr="00BC081A" w:rsidRDefault="00536F6A" w:rsidP="00536F6A">
      <w:pPr>
        <w:pStyle w:val="NormalWeb"/>
        <w:ind w:left="480" w:hanging="480"/>
        <w:rPr>
          <w:lang w:val="en-CA"/>
        </w:rPr>
      </w:pPr>
      <w:proofErr w:type="spellStart"/>
      <w:r w:rsidRPr="00BC081A">
        <w:rPr>
          <w:lang w:val="en-CA"/>
        </w:rPr>
        <w:t>Venkatesh</w:t>
      </w:r>
      <w:proofErr w:type="spellEnd"/>
      <w:r w:rsidRPr="00BC081A">
        <w:rPr>
          <w:lang w:val="en-CA"/>
        </w:rPr>
        <w:t xml:space="preserve">, V, Morris, M. G., Davis, G. B., &amp; Davis, F. D. (2003). User acceptance of information technology: Toward a unified view. </w:t>
      </w:r>
      <w:r w:rsidRPr="00BC081A">
        <w:rPr>
          <w:i/>
          <w:iCs/>
          <w:lang w:val="en-CA"/>
        </w:rPr>
        <w:t>MIS quarterly</w:t>
      </w:r>
      <w:r w:rsidRPr="00BC081A">
        <w:rPr>
          <w:lang w:val="en-CA"/>
        </w:rPr>
        <w:t xml:space="preserve">, </w:t>
      </w:r>
      <w:r w:rsidRPr="00BC081A">
        <w:rPr>
          <w:i/>
          <w:iCs/>
          <w:lang w:val="en-CA"/>
        </w:rPr>
        <w:t>27</w:t>
      </w:r>
      <w:r w:rsidRPr="00BC081A">
        <w:rPr>
          <w:lang w:val="en-CA"/>
        </w:rPr>
        <w:t>(3), 425–478. JSTOR.</w:t>
      </w:r>
    </w:p>
    <w:p w14:paraId="2CEC5880" w14:textId="77777777" w:rsidR="00536F6A" w:rsidRPr="00BC081A" w:rsidRDefault="00536F6A" w:rsidP="00536F6A">
      <w:pPr>
        <w:pStyle w:val="NormalWeb"/>
        <w:ind w:left="480" w:hanging="480"/>
        <w:rPr>
          <w:lang w:val="en-CA"/>
        </w:rPr>
      </w:pPr>
      <w:proofErr w:type="spellStart"/>
      <w:r w:rsidRPr="00BC081A">
        <w:rPr>
          <w:lang w:val="en-CA"/>
        </w:rPr>
        <w:t>Venkatesh</w:t>
      </w:r>
      <w:proofErr w:type="spellEnd"/>
      <w:r w:rsidRPr="00BC081A">
        <w:rPr>
          <w:lang w:val="en-CA"/>
        </w:rPr>
        <w:t xml:space="preserve">, </w:t>
      </w:r>
      <w:proofErr w:type="spellStart"/>
      <w:r w:rsidRPr="00BC081A">
        <w:rPr>
          <w:lang w:val="en-CA"/>
        </w:rPr>
        <w:t>Viswanath</w:t>
      </w:r>
      <w:proofErr w:type="spellEnd"/>
      <w:r w:rsidRPr="00BC081A">
        <w:rPr>
          <w:lang w:val="en-CA"/>
        </w:rPr>
        <w:t xml:space="preserve">, &amp; Davis, F. D. (2000). A Theoretical Extension of the Technology Acceptance Model: Four Longitudinal Field Studies. </w:t>
      </w:r>
      <w:r w:rsidRPr="00BC081A">
        <w:rPr>
          <w:i/>
          <w:iCs/>
          <w:lang w:val="en-CA"/>
        </w:rPr>
        <w:t>Management science</w:t>
      </w:r>
      <w:r w:rsidRPr="00BC081A">
        <w:rPr>
          <w:lang w:val="en-CA"/>
        </w:rPr>
        <w:t xml:space="preserve">, </w:t>
      </w:r>
      <w:r w:rsidRPr="00BC081A">
        <w:rPr>
          <w:i/>
          <w:iCs/>
          <w:lang w:val="en-CA"/>
        </w:rPr>
        <w:t>46</w:t>
      </w:r>
      <w:r w:rsidRPr="00BC081A">
        <w:rPr>
          <w:lang w:val="en-CA"/>
        </w:rPr>
        <w:t>(2), 186–204. JSTOR.</w:t>
      </w:r>
    </w:p>
    <w:p w14:paraId="020C01C4" w14:textId="77777777" w:rsidR="00536F6A" w:rsidRPr="00BC081A" w:rsidRDefault="00536F6A" w:rsidP="00536F6A">
      <w:pPr>
        <w:pStyle w:val="NormalWeb"/>
        <w:ind w:left="480" w:hanging="480"/>
        <w:rPr>
          <w:lang w:val="en-CA"/>
        </w:rPr>
      </w:pPr>
      <w:r w:rsidRPr="00BC081A">
        <w:rPr>
          <w:lang w:val="en-CA"/>
        </w:rPr>
        <w:t xml:space="preserve">* Wakefield, R. L., &amp; Whitten, D. (2006). Mobile computing: a user study on hedonic/utilitarian mobile device usage. </w:t>
      </w:r>
      <w:proofErr w:type="gramStart"/>
      <w:r w:rsidRPr="00BC081A">
        <w:rPr>
          <w:i/>
          <w:iCs/>
          <w:lang w:val="en-CA"/>
        </w:rPr>
        <w:t>European Journal of Information Systems</w:t>
      </w:r>
      <w:r w:rsidRPr="00BC081A">
        <w:rPr>
          <w:lang w:val="en-CA"/>
        </w:rPr>
        <w:t xml:space="preserve">, </w:t>
      </w:r>
      <w:r w:rsidRPr="00BC081A">
        <w:rPr>
          <w:i/>
          <w:iCs/>
          <w:lang w:val="en-CA"/>
        </w:rPr>
        <w:t>15</w:t>
      </w:r>
      <w:r w:rsidRPr="00BC081A">
        <w:rPr>
          <w:lang w:val="en-CA"/>
        </w:rPr>
        <w:t>(3), 292-300.</w:t>
      </w:r>
      <w:proofErr w:type="gramEnd"/>
      <w:r w:rsidRPr="00BC081A">
        <w:rPr>
          <w:lang w:val="en-CA"/>
        </w:rPr>
        <w:t xml:space="preserve"> </w:t>
      </w:r>
      <w:proofErr w:type="gramStart"/>
      <w:r w:rsidRPr="00BC081A">
        <w:rPr>
          <w:lang w:val="en-CA"/>
        </w:rPr>
        <w:t>doi:10.1057</w:t>
      </w:r>
      <w:proofErr w:type="gramEnd"/>
      <w:r w:rsidRPr="00BC081A">
        <w:rPr>
          <w:lang w:val="en-CA"/>
        </w:rPr>
        <w:t>/palgrave.ejis.3000619</w:t>
      </w:r>
    </w:p>
    <w:p w14:paraId="21AC78D3"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Webster, J., &amp; </w:t>
      </w:r>
      <w:proofErr w:type="spellStart"/>
      <w:r w:rsidRPr="00BC081A">
        <w:rPr>
          <w:rFonts w:cs="Times New Roman"/>
          <w:sz w:val="20"/>
          <w:szCs w:val="20"/>
        </w:rPr>
        <w:t>Ahuja</w:t>
      </w:r>
      <w:proofErr w:type="spellEnd"/>
      <w:r w:rsidRPr="00BC081A">
        <w:rPr>
          <w:rFonts w:cs="Times New Roman"/>
          <w:sz w:val="20"/>
          <w:szCs w:val="20"/>
        </w:rPr>
        <w:t xml:space="preserve">, J. S. (2006). Enhancing the Design of Web Navigation Systems: The Influence of User Disorientation on Engagement and Performance. </w:t>
      </w:r>
      <w:r w:rsidRPr="00BC081A">
        <w:rPr>
          <w:rFonts w:cs="Times New Roman"/>
          <w:i/>
          <w:iCs/>
          <w:sz w:val="20"/>
          <w:szCs w:val="20"/>
        </w:rPr>
        <w:t>MIS Quarterly</w:t>
      </w:r>
      <w:r w:rsidRPr="00BC081A">
        <w:rPr>
          <w:rFonts w:cs="Times New Roman"/>
          <w:sz w:val="20"/>
          <w:szCs w:val="20"/>
        </w:rPr>
        <w:t xml:space="preserve">, </w:t>
      </w:r>
      <w:r w:rsidRPr="00BC081A">
        <w:rPr>
          <w:rFonts w:cs="Times New Roman"/>
          <w:i/>
          <w:iCs/>
          <w:sz w:val="20"/>
          <w:szCs w:val="20"/>
        </w:rPr>
        <w:t>30</w:t>
      </w:r>
      <w:r w:rsidRPr="00BC081A">
        <w:rPr>
          <w:rFonts w:cs="Times New Roman"/>
          <w:sz w:val="20"/>
          <w:szCs w:val="20"/>
        </w:rPr>
        <w:t xml:space="preserve">(3), 661–678. </w:t>
      </w:r>
      <w:proofErr w:type="gramStart"/>
      <w:r w:rsidRPr="00BC081A">
        <w:rPr>
          <w:rFonts w:cs="Times New Roman"/>
          <w:sz w:val="20"/>
          <w:szCs w:val="20"/>
        </w:rPr>
        <w:t>Society for Information Management and The Management Information Systems Research Center.</w:t>
      </w:r>
      <w:proofErr w:type="gramEnd"/>
    </w:p>
    <w:p w14:paraId="70A3E81B" w14:textId="77777777" w:rsidR="00536F6A" w:rsidRPr="00BC081A" w:rsidRDefault="00536F6A" w:rsidP="00536F6A">
      <w:pPr>
        <w:pStyle w:val="NormalWeb"/>
        <w:ind w:left="480" w:hanging="480"/>
        <w:rPr>
          <w:lang w:val="en-CA"/>
        </w:rPr>
      </w:pPr>
      <w:r w:rsidRPr="00BC081A">
        <w:rPr>
          <w:lang w:val="en-CA"/>
        </w:rPr>
        <w:lastRenderedPageBreak/>
        <w:t xml:space="preserve">Webster, Jane, &amp; </w:t>
      </w:r>
      <w:proofErr w:type="spellStart"/>
      <w:r w:rsidRPr="00BC081A">
        <w:rPr>
          <w:lang w:val="en-CA"/>
        </w:rPr>
        <w:t>Ho</w:t>
      </w:r>
      <w:proofErr w:type="spellEnd"/>
      <w:r w:rsidRPr="00BC081A">
        <w:rPr>
          <w:lang w:val="en-CA"/>
        </w:rPr>
        <w:t xml:space="preserve">, H. (1997). </w:t>
      </w:r>
      <w:proofErr w:type="gramStart"/>
      <w:r w:rsidRPr="00BC081A">
        <w:rPr>
          <w:lang w:val="en-CA"/>
        </w:rPr>
        <w:t>Audience engagement in multimedia presentations.</w:t>
      </w:r>
      <w:proofErr w:type="gramEnd"/>
      <w:r w:rsidRPr="00BC081A">
        <w:rPr>
          <w:lang w:val="en-CA"/>
        </w:rPr>
        <w:t xml:space="preserve"> </w:t>
      </w:r>
      <w:r w:rsidRPr="00BC081A">
        <w:rPr>
          <w:i/>
          <w:iCs/>
          <w:lang w:val="en-CA"/>
        </w:rPr>
        <w:t>ACM SIGMIS Database</w:t>
      </w:r>
      <w:r w:rsidRPr="00BC081A">
        <w:rPr>
          <w:lang w:val="en-CA"/>
        </w:rPr>
        <w:t xml:space="preserve">, </w:t>
      </w:r>
      <w:r w:rsidRPr="00BC081A">
        <w:rPr>
          <w:i/>
          <w:iCs/>
          <w:lang w:val="en-CA"/>
        </w:rPr>
        <w:t>28</w:t>
      </w:r>
      <w:r w:rsidRPr="00BC081A">
        <w:rPr>
          <w:lang w:val="en-CA"/>
        </w:rPr>
        <w:t xml:space="preserve">(2), 63-77. </w:t>
      </w:r>
      <w:proofErr w:type="gramStart"/>
      <w:r w:rsidRPr="00BC081A">
        <w:rPr>
          <w:lang w:val="en-CA"/>
        </w:rPr>
        <w:t>doi:10.1145</w:t>
      </w:r>
      <w:proofErr w:type="gramEnd"/>
      <w:r w:rsidRPr="00BC081A">
        <w:rPr>
          <w:lang w:val="en-CA"/>
        </w:rPr>
        <w:t>/264701.264706</w:t>
      </w:r>
    </w:p>
    <w:p w14:paraId="5B0C4027" w14:textId="77777777" w:rsidR="00536F6A" w:rsidRPr="00BC081A" w:rsidRDefault="00536F6A" w:rsidP="00536F6A">
      <w:pPr>
        <w:pStyle w:val="NormalWeb"/>
        <w:ind w:left="480" w:hanging="480"/>
        <w:rPr>
          <w:lang w:val="en-CA"/>
        </w:rPr>
      </w:pPr>
      <w:r w:rsidRPr="00BC081A">
        <w:rPr>
          <w:lang w:val="en-CA"/>
        </w:rPr>
        <w:t xml:space="preserve">Webster, Jane, Trevino, L. K., &amp; Ryan, L. (1993). </w:t>
      </w:r>
      <w:proofErr w:type="gramStart"/>
      <w:r w:rsidRPr="00BC081A">
        <w:rPr>
          <w:lang w:val="en-CA"/>
        </w:rPr>
        <w:t>The dimensionality and correlates of flow in human-computer interactions.</w:t>
      </w:r>
      <w:proofErr w:type="gramEnd"/>
      <w:r w:rsidRPr="00BC081A">
        <w:rPr>
          <w:lang w:val="en-CA"/>
        </w:rPr>
        <w:t xml:space="preserve"> </w:t>
      </w:r>
      <w:proofErr w:type="gramStart"/>
      <w:r w:rsidRPr="00BC081A">
        <w:rPr>
          <w:i/>
          <w:iCs/>
          <w:lang w:val="en-CA"/>
        </w:rPr>
        <w:t xml:space="preserve">Computers in Human </w:t>
      </w:r>
      <w:proofErr w:type="spellStart"/>
      <w:r w:rsidRPr="00BC081A">
        <w:rPr>
          <w:i/>
          <w:iCs/>
          <w:lang w:val="en-CA"/>
        </w:rPr>
        <w:t>Behavior</w:t>
      </w:r>
      <w:proofErr w:type="spellEnd"/>
      <w:r w:rsidRPr="00BC081A">
        <w:rPr>
          <w:lang w:val="en-CA"/>
        </w:rPr>
        <w:t xml:space="preserve">, </w:t>
      </w:r>
      <w:r w:rsidRPr="00BC081A">
        <w:rPr>
          <w:i/>
          <w:iCs/>
          <w:lang w:val="en-CA"/>
        </w:rPr>
        <w:t>9</w:t>
      </w:r>
      <w:r w:rsidRPr="00BC081A">
        <w:rPr>
          <w:lang w:val="en-CA"/>
        </w:rPr>
        <w:t>(4), 411-426.</w:t>
      </w:r>
      <w:proofErr w:type="gramEnd"/>
      <w:r w:rsidRPr="00BC081A">
        <w:rPr>
          <w:lang w:val="en-CA"/>
        </w:rPr>
        <w:t xml:space="preserve"> </w:t>
      </w:r>
      <w:proofErr w:type="gramStart"/>
      <w:r w:rsidRPr="00BC081A">
        <w:rPr>
          <w:lang w:val="en-CA"/>
        </w:rPr>
        <w:t>doi:10.1016</w:t>
      </w:r>
      <w:proofErr w:type="gramEnd"/>
      <w:r w:rsidRPr="00BC081A">
        <w:rPr>
          <w:lang w:val="en-CA"/>
        </w:rPr>
        <w:t>/0747-5632(93)90032-N</w:t>
      </w:r>
    </w:p>
    <w:p w14:paraId="00060B30" w14:textId="77777777" w:rsidR="00536F6A" w:rsidRPr="00BC081A" w:rsidRDefault="00536F6A" w:rsidP="00536F6A">
      <w:pPr>
        <w:pStyle w:val="NormalWeb"/>
        <w:ind w:left="480" w:hanging="480"/>
        <w:rPr>
          <w:lang w:val="en-CA"/>
        </w:rPr>
      </w:pPr>
      <w:r w:rsidRPr="00BC081A">
        <w:rPr>
          <w:lang w:val="en-CA"/>
        </w:rPr>
        <w:t xml:space="preserve">Xia </w:t>
      </w:r>
      <w:proofErr w:type="spellStart"/>
      <w:r w:rsidRPr="00BC081A">
        <w:rPr>
          <w:lang w:val="en-CA"/>
        </w:rPr>
        <w:t>Skadberg</w:t>
      </w:r>
      <w:proofErr w:type="spellEnd"/>
      <w:r w:rsidRPr="00BC081A">
        <w:rPr>
          <w:lang w:val="en-CA"/>
        </w:rPr>
        <w:t xml:space="preserve">, Y., &amp; Kimmel, J. R. (2004). Visitors’ Flow experience while browsing a web site: its measurement, contributing factors and consequences. </w:t>
      </w:r>
      <w:r w:rsidRPr="00BC081A">
        <w:rPr>
          <w:i/>
          <w:iCs/>
          <w:lang w:val="en-CA"/>
        </w:rPr>
        <w:t xml:space="preserve">Computers in human </w:t>
      </w:r>
      <w:proofErr w:type="spellStart"/>
      <w:r w:rsidRPr="00BC081A">
        <w:rPr>
          <w:i/>
          <w:iCs/>
          <w:lang w:val="en-CA"/>
        </w:rPr>
        <w:t>behavior</w:t>
      </w:r>
      <w:proofErr w:type="spellEnd"/>
      <w:r w:rsidRPr="00BC081A">
        <w:rPr>
          <w:lang w:val="en-CA"/>
        </w:rPr>
        <w:t xml:space="preserve">, </w:t>
      </w:r>
      <w:r w:rsidRPr="00BC081A">
        <w:rPr>
          <w:i/>
          <w:iCs/>
          <w:lang w:val="en-CA"/>
        </w:rPr>
        <w:t>20</w:t>
      </w:r>
      <w:r w:rsidRPr="00BC081A">
        <w:rPr>
          <w:lang w:val="en-CA"/>
        </w:rPr>
        <w:t xml:space="preserve">(3), 403–422. Elsevier. </w:t>
      </w:r>
      <w:proofErr w:type="gramStart"/>
      <w:r w:rsidRPr="00BC081A">
        <w:rPr>
          <w:lang w:val="en-CA"/>
        </w:rPr>
        <w:t>doi:10.1016</w:t>
      </w:r>
      <w:proofErr w:type="gramEnd"/>
      <w:r w:rsidRPr="00BC081A">
        <w:rPr>
          <w:lang w:val="en-CA"/>
        </w:rPr>
        <w:t>/S0747-5632(03)00050-5</w:t>
      </w:r>
    </w:p>
    <w:p w14:paraId="02E7DCF3" w14:textId="77777777" w:rsidR="00536F6A" w:rsidRPr="00BC081A" w:rsidRDefault="00536F6A" w:rsidP="00536F6A">
      <w:pPr>
        <w:pStyle w:val="NormalWeb"/>
        <w:ind w:left="480" w:hanging="480"/>
        <w:rPr>
          <w:lang w:val="en-CA"/>
        </w:rPr>
      </w:pPr>
      <w:r w:rsidRPr="00BC081A">
        <w:rPr>
          <w:lang w:val="en-CA"/>
        </w:rPr>
        <w:t>Y. Poon, C., Wong, Y., &amp; Zhang, Y</w:t>
      </w:r>
      <w:proofErr w:type="gramStart"/>
      <w:r w:rsidRPr="00BC081A">
        <w:rPr>
          <w:lang w:val="en-CA"/>
        </w:rPr>
        <w:t>.-</w:t>
      </w:r>
      <w:proofErr w:type="gramEnd"/>
      <w:r w:rsidRPr="00BC081A">
        <w:rPr>
          <w:lang w:val="en-CA"/>
        </w:rPr>
        <w:t xml:space="preserve">ting. (2006). M-Health: The Development of Cuff-less and Wearable Blood Pressure Meters for Use in Body Sensor Networks. </w:t>
      </w:r>
      <w:r w:rsidRPr="00BC081A">
        <w:rPr>
          <w:i/>
          <w:iCs/>
          <w:lang w:val="en-CA"/>
        </w:rPr>
        <w:t>2006 IEEE/NLM Life Science Systems and Applications Workshop</w:t>
      </w:r>
      <w:r w:rsidRPr="00BC081A">
        <w:rPr>
          <w:lang w:val="en-CA"/>
        </w:rPr>
        <w:t xml:space="preserve">, 1-2. </w:t>
      </w:r>
      <w:proofErr w:type="spellStart"/>
      <w:r w:rsidRPr="00BC081A">
        <w:rPr>
          <w:lang w:val="en-CA"/>
        </w:rPr>
        <w:t>Ieee</w:t>
      </w:r>
      <w:proofErr w:type="spellEnd"/>
      <w:r w:rsidRPr="00BC081A">
        <w:rPr>
          <w:lang w:val="en-CA"/>
        </w:rPr>
        <w:t xml:space="preserve">. </w:t>
      </w:r>
      <w:proofErr w:type="gramStart"/>
      <w:r w:rsidRPr="00BC081A">
        <w:rPr>
          <w:lang w:val="en-CA"/>
        </w:rPr>
        <w:t>doi:10.1109</w:t>
      </w:r>
      <w:proofErr w:type="gramEnd"/>
      <w:r w:rsidRPr="00BC081A">
        <w:rPr>
          <w:lang w:val="en-CA"/>
        </w:rPr>
        <w:t>/LSSA.2006.250377</w:t>
      </w:r>
    </w:p>
    <w:p w14:paraId="141405B6" w14:textId="77777777" w:rsidR="00536F6A" w:rsidRPr="00BC081A" w:rsidRDefault="00536F6A" w:rsidP="00536F6A">
      <w:pPr>
        <w:pStyle w:val="NormalWeb"/>
        <w:ind w:left="480" w:hanging="480"/>
        <w:rPr>
          <w:lang w:val="en-CA"/>
        </w:rPr>
      </w:pPr>
      <w:r w:rsidRPr="00BC081A">
        <w:rPr>
          <w:lang w:val="en-CA"/>
        </w:rPr>
        <w:t xml:space="preserve">* Zhang, P., Li, N., &amp; Sun, H. (2006). Affective Quality and Cognitive Absorption: Extending Technology Acceptance Research. </w:t>
      </w:r>
      <w:proofErr w:type="gramStart"/>
      <w:r w:rsidRPr="00BC081A">
        <w:rPr>
          <w:i/>
          <w:iCs/>
          <w:lang w:val="en-CA"/>
        </w:rPr>
        <w:t>Proceedings of the 39th Annual Hawaii International Conference on System Sciences (HICSS’06)</w:t>
      </w:r>
      <w:r w:rsidRPr="00BC081A">
        <w:rPr>
          <w:lang w:val="en-CA"/>
        </w:rPr>
        <w:t xml:space="preserve">, </w:t>
      </w:r>
      <w:r w:rsidRPr="00BC081A">
        <w:rPr>
          <w:i/>
          <w:iCs/>
          <w:lang w:val="en-CA"/>
        </w:rPr>
        <w:t>00</w:t>
      </w:r>
      <w:r w:rsidRPr="00BC081A">
        <w:rPr>
          <w:lang w:val="en-CA"/>
        </w:rPr>
        <w:t>(C), 207a-207a.</w:t>
      </w:r>
      <w:proofErr w:type="gramEnd"/>
      <w:r w:rsidRPr="00BC081A">
        <w:rPr>
          <w:lang w:val="en-CA"/>
        </w:rPr>
        <w:t xml:space="preserve"> </w:t>
      </w:r>
      <w:proofErr w:type="spellStart"/>
      <w:r w:rsidRPr="00BC081A">
        <w:rPr>
          <w:lang w:val="en-CA"/>
        </w:rPr>
        <w:t>Ieee</w:t>
      </w:r>
      <w:proofErr w:type="spellEnd"/>
      <w:r w:rsidRPr="00BC081A">
        <w:rPr>
          <w:lang w:val="en-CA"/>
        </w:rPr>
        <w:t xml:space="preserve">. </w:t>
      </w:r>
      <w:proofErr w:type="gramStart"/>
      <w:r w:rsidRPr="00BC081A">
        <w:rPr>
          <w:lang w:val="en-CA"/>
        </w:rPr>
        <w:t>doi:10.1109</w:t>
      </w:r>
      <w:proofErr w:type="gramEnd"/>
      <w:r w:rsidRPr="00BC081A">
        <w:rPr>
          <w:lang w:val="en-CA"/>
        </w:rPr>
        <w:t>/HICSS.2006.39</w:t>
      </w:r>
    </w:p>
    <w:p w14:paraId="5F2BD76C"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Zhou, T. (2011a). Examining mobile banking user </w:t>
      </w:r>
      <w:proofErr w:type="gramStart"/>
      <w:r w:rsidRPr="00BC081A">
        <w:rPr>
          <w:rFonts w:cs="Times New Roman"/>
          <w:sz w:val="20"/>
          <w:szCs w:val="20"/>
        </w:rPr>
        <w:t>adoption from the perspectives of trust</w:t>
      </w:r>
      <w:proofErr w:type="gramEnd"/>
      <w:r w:rsidRPr="00BC081A">
        <w:rPr>
          <w:rFonts w:cs="Times New Roman"/>
          <w:sz w:val="20"/>
          <w:szCs w:val="20"/>
        </w:rPr>
        <w:t xml:space="preserve"> and flow experience. </w:t>
      </w:r>
      <w:r w:rsidRPr="00BC081A">
        <w:rPr>
          <w:rFonts w:cs="Times New Roman"/>
          <w:i/>
          <w:iCs/>
          <w:sz w:val="20"/>
          <w:szCs w:val="20"/>
        </w:rPr>
        <w:t>Information Technology and Management</w:t>
      </w:r>
      <w:r w:rsidRPr="00BC081A">
        <w:rPr>
          <w:rFonts w:cs="Times New Roman"/>
          <w:sz w:val="20"/>
          <w:szCs w:val="20"/>
        </w:rPr>
        <w:t xml:space="preserve">. </w:t>
      </w:r>
      <w:proofErr w:type="gramStart"/>
      <w:r w:rsidRPr="00BC081A">
        <w:rPr>
          <w:rFonts w:cs="Times New Roman"/>
          <w:sz w:val="20"/>
          <w:szCs w:val="20"/>
        </w:rPr>
        <w:t>doi:10.1007</w:t>
      </w:r>
      <w:proofErr w:type="gramEnd"/>
      <w:r w:rsidRPr="00BC081A">
        <w:rPr>
          <w:rFonts w:cs="Times New Roman"/>
          <w:sz w:val="20"/>
          <w:szCs w:val="20"/>
        </w:rPr>
        <w:t>/s10799-011-0111-8</w:t>
      </w:r>
    </w:p>
    <w:p w14:paraId="2FF43CBF"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Zhou, T. (2011b). Understanding mobile Internet continuance usage from the perspectives of UTAUT and flow. </w:t>
      </w:r>
      <w:proofErr w:type="gramStart"/>
      <w:r w:rsidRPr="00BC081A">
        <w:rPr>
          <w:rFonts w:cs="Times New Roman"/>
          <w:i/>
          <w:iCs/>
          <w:sz w:val="20"/>
          <w:szCs w:val="20"/>
        </w:rPr>
        <w:t>Information Development</w:t>
      </w:r>
      <w:r w:rsidRPr="00BC081A">
        <w:rPr>
          <w:rFonts w:cs="Times New Roman"/>
          <w:sz w:val="20"/>
          <w:szCs w:val="20"/>
        </w:rPr>
        <w:t xml:space="preserve">, </w:t>
      </w:r>
      <w:r w:rsidRPr="00BC081A">
        <w:rPr>
          <w:rFonts w:cs="Times New Roman"/>
          <w:i/>
          <w:iCs/>
          <w:sz w:val="20"/>
          <w:szCs w:val="20"/>
        </w:rPr>
        <w:t>27</w:t>
      </w:r>
      <w:r w:rsidRPr="00BC081A">
        <w:rPr>
          <w:rFonts w:cs="Times New Roman"/>
          <w:sz w:val="20"/>
          <w:szCs w:val="20"/>
        </w:rPr>
        <w:t>(3), 207-218.</w:t>
      </w:r>
      <w:proofErr w:type="gramEnd"/>
      <w:r w:rsidRPr="00BC081A">
        <w:rPr>
          <w:rFonts w:cs="Times New Roman"/>
          <w:sz w:val="20"/>
          <w:szCs w:val="20"/>
        </w:rPr>
        <w:t xml:space="preserve"> </w:t>
      </w:r>
      <w:proofErr w:type="gramStart"/>
      <w:r w:rsidRPr="00BC081A">
        <w:rPr>
          <w:rFonts w:cs="Times New Roman"/>
          <w:sz w:val="20"/>
          <w:szCs w:val="20"/>
        </w:rPr>
        <w:t>doi:10.1177</w:t>
      </w:r>
      <w:proofErr w:type="gramEnd"/>
      <w:r w:rsidRPr="00BC081A">
        <w:rPr>
          <w:rFonts w:cs="Times New Roman"/>
          <w:sz w:val="20"/>
          <w:szCs w:val="20"/>
        </w:rPr>
        <w:t>/0266666911414596</w:t>
      </w:r>
    </w:p>
    <w:p w14:paraId="47CB2BFA"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Zhou, T. (2011c). </w:t>
      </w:r>
      <w:proofErr w:type="gramStart"/>
      <w:r w:rsidRPr="00BC081A">
        <w:rPr>
          <w:rFonts w:cs="Times New Roman"/>
          <w:sz w:val="20"/>
          <w:szCs w:val="20"/>
        </w:rPr>
        <w:t>An empirical examination of the determinants of mobile purchase.</w:t>
      </w:r>
      <w:proofErr w:type="gramEnd"/>
      <w:r w:rsidRPr="00BC081A">
        <w:rPr>
          <w:rFonts w:cs="Times New Roman"/>
          <w:sz w:val="20"/>
          <w:szCs w:val="20"/>
        </w:rPr>
        <w:t xml:space="preserve"> </w:t>
      </w:r>
      <w:r w:rsidRPr="00BC081A">
        <w:rPr>
          <w:rFonts w:cs="Times New Roman"/>
          <w:i/>
          <w:iCs/>
          <w:sz w:val="20"/>
          <w:szCs w:val="20"/>
        </w:rPr>
        <w:t>Personal and Ubiquitous Computing</w:t>
      </w:r>
      <w:r w:rsidRPr="00BC081A">
        <w:rPr>
          <w:rFonts w:cs="Times New Roman"/>
          <w:sz w:val="20"/>
          <w:szCs w:val="20"/>
        </w:rPr>
        <w:t xml:space="preserve">. </w:t>
      </w:r>
      <w:proofErr w:type="gramStart"/>
      <w:r w:rsidRPr="00BC081A">
        <w:rPr>
          <w:rFonts w:cs="Times New Roman"/>
          <w:sz w:val="20"/>
          <w:szCs w:val="20"/>
        </w:rPr>
        <w:t>doi:10.1007</w:t>
      </w:r>
      <w:proofErr w:type="gramEnd"/>
      <w:r w:rsidRPr="00BC081A">
        <w:rPr>
          <w:rFonts w:cs="Times New Roman"/>
          <w:sz w:val="20"/>
          <w:szCs w:val="20"/>
        </w:rPr>
        <w:t>/s00779-011-0485-y</w:t>
      </w:r>
    </w:p>
    <w:p w14:paraId="5862DF53" w14:textId="77777777" w:rsidR="00536F6A" w:rsidRPr="00BC081A" w:rsidRDefault="00536F6A" w:rsidP="00536F6A">
      <w:pPr>
        <w:spacing w:before="100" w:beforeAutospacing="1" w:after="100" w:afterAutospacing="1" w:line="240" w:lineRule="auto"/>
        <w:ind w:left="480" w:hanging="480"/>
        <w:rPr>
          <w:rFonts w:cs="Times New Roman"/>
          <w:sz w:val="20"/>
          <w:szCs w:val="20"/>
        </w:rPr>
      </w:pPr>
      <w:r w:rsidRPr="00BC081A">
        <w:rPr>
          <w:rFonts w:cs="Times New Roman"/>
          <w:sz w:val="20"/>
          <w:szCs w:val="20"/>
        </w:rPr>
        <w:t xml:space="preserve">* Zhou, T., &amp; Lu, Y. (2011). </w:t>
      </w:r>
      <w:proofErr w:type="gramStart"/>
      <w:r w:rsidRPr="00BC081A">
        <w:rPr>
          <w:rFonts w:cs="Times New Roman"/>
          <w:sz w:val="20"/>
          <w:szCs w:val="20"/>
        </w:rPr>
        <w:t>The effect of interactivity on the flow experience of mobile commerce user.</w:t>
      </w:r>
      <w:proofErr w:type="gramEnd"/>
      <w:r w:rsidRPr="00BC081A">
        <w:rPr>
          <w:rFonts w:cs="Times New Roman"/>
          <w:sz w:val="20"/>
          <w:szCs w:val="20"/>
        </w:rPr>
        <w:t xml:space="preserve"> </w:t>
      </w:r>
      <w:r w:rsidRPr="00BC081A">
        <w:rPr>
          <w:rFonts w:cs="Times New Roman"/>
          <w:i/>
          <w:iCs/>
          <w:sz w:val="20"/>
          <w:szCs w:val="20"/>
        </w:rPr>
        <w:t>International Journal of Mobile Communications</w:t>
      </w:r>
      <w:r w:rsidRPr="00BC081A">
        <w:rPr>
          <w:rFonts w:cs="Times New Roman"/>
          <w:sz w:val="20"/>
          <w:szCs w:val="20"/>
        </w:rPr>
        <w:t xml:space="preserve">, </w:t>
      </w:r>
      <w:r w:rsidRPr="00BC081A">
        <w:rPr>
          <w:rFonts w:cs="Times New Roman"/>
          <w:i/>
          <w:iCs/>
          <w:sz w:val="20"/>
          <w:szCs w:val="20"/>
        </w:rPr>
        <w:t>9</w:t>
      </w:r>
      <w:r w:rsidRPr="00BC081A">
        <w:rPr>
          <w:rFonts w:cs="Times New Roman"/>
          <w:sz w:val="20"/>
          <w:szCs w:val="20"/>
        </w:rPr>
        <w:t xml:space="preserve">(3), 225–242. </w:t>
      </w:r>
      <w:proofErr w:type="spellStart"/>
      <w:r w:rsidRPr="00BC081A">
        <w:rPr>
          <w:rFonts w:cs="Times New Roman"/>
          <w:sz w:val="20"/>
          <w:szCs w:val="20"/>
        </w:rPr>
        <w:t>Inderscience</w:t>
      </w:r>
      <w:proofErr w:type="spellEnd"/>
      <w:r w:rsidRPr="00BC081A">
        <w:rPr>
          <w:rFonts w:cs="Times New Roman"/>
          <w:sz w:val="20"/>
          <w:szCs w:val="20"/>
        </w:rPr>
        <w:t>.</w:t>
      </w:r>
    </w:p>
    <w:p w14:paraId="641E5442" w14:textId="77777777" w:rsidR="00536F6A" w:rsidRPr="00BC081A" w:rsidRDefault="00536F6A" w:rsidP="00536F6A">
      <w:pPr>
        <w:pStyle w:val="NormalWeb"/>
        <w:ind w:left="480" w:hanging="480"/>
        <w:rPr>
          <w:lang w:val="en-CA"/>
        </w:rPr>
      </w:pPr>
      <w:proofErr w:type="gramStart"/>
      <w:r w:rsidRPr="00BC081A">
        <w:rPr>
          <w:lang w:val="en-CA"/>
        </w:rPr>
        <w:t>de</w:t>
      </w:r>
      <w:proofErr w:type="gramEnd"/>
      <w:r w:rsidRPr="00BC081A">
        <w:rPr>
          <w:lang w:val="en-CA"/>
        </w:rPr>
        <w:t xml:space="preserve"> Guinea, A., &amp; Markus, M. L. (2009). Why break the habit of a lifetime? Rethinking the roles of intention, habit, and emotion in continuing information technology use. </w:t>
      </w:r>
      <w:proofErr w:type="gramStart"/>
      <w:r w:rsidRPr="00BC081A">
        <w:rPr>
          <w:i/>
          <w:iCs/>
          <w:lang w:val="en-CA"/>
        </w:rPr>
        <w:t>Management Information Systems Quarterly</w:t>
      </w:r>
      <w:r w:rsidRPr="00BC081A">
        <w:rPr>
          <w:lang w:val="en-CA"/>
        </w:rPr>
        <w:t xml:space="preserve">, </w:t>
      </w:r>
      <w:r w:rsidRPr="00BC081A">
        <w:rPr>
          <w:i/>
          <w:iCs/>
          <w:lang w:val="en-CA"/>
        </w:rPr>
        <w:t>33</w:t>
      </w:r>
      <w:r w:rsidRPr="00BC081A">
        <w:rPr>
          <w:lang w:val="en-CA"/>
        </w:rPr>
        <w:t>(3), 433-444.</w:t>
      </w:r>
      <w:proofErr w:type="gramEnd"/>
    </w:p>
    <w:p w14:paraId="74ABED8E" w14:textId="3F164014" w:rsidR="00FC38F5" w:rsidRPr="00BC081A" w:rsidRDefault="00FC38F5" w:rsidP="00FC38F5">
      <w:r w:rsidRPr="00BC081A">
        <w:br w:type="page"/>
      </w:r>
    </w:p>
    <w:p w14:paraId="6DC0A1B2" w14:textId="1342E09D" w:rsidR="00171A70" w:rsidRDefault="00842C10" w:rsidP="00842C10">
      <w:pPr>
        <w:pStyle w:val="AppendixHeading"/>
        <w:numPr>
          <w:ilvl w:val="0"/>
          <w:numId w:val="30"/>
        </w:numPr>
      </w:pPr>
      <w:r>
        <w:lastRenderedPageBreak/>
        <w:t>Pr</w:t>
      </w:r>
      <w:r w:rsidR="0096373C">
        <w:t>e</w:t>
      </w:r>
      <w:r>
        <w:t>liminary Study: Focus group + Longitudinal Survey</w:t>
      </w:r>
    </w:p>
    <w:p w14:paraId="2CB8310C" w14:textId="77777777" w:rsidR="00842C10" w:rsidRDefault="00842C10" w:rsidP="00171A70"/>
    <w:p w14:paraId="6D934AFB" w14:textId="2B84E570" w:rsidR="00171A70" w:rsidRPr="00BC081A" w:rsidRDefault="00171A70" w:rsidP="00171A70">
      <w:r w:rsidRPr="00BC081A">
        <w:t>In Winter 2012, a small focus group study was conducted</w:t>
      </w:r>
      <w:r w:rsidR="003C1542">
        <w:t xml:space="preserve"> with </w:t>
      </w:r>
      <w:r w:rsidR="00F24D21">
        <w:t>four graduate students</w:t>
      </w:r>
      <w:r w:rsidRPr="00BC081A">
        <w:t xml:space="preserve">. The participants were recruited from an MBA course in which students played a competitive game called </w:t>
      </w:r>
      <w:proofErr w:type="spellStart"/>
      <w:r w:rsidRPr="00BC081A">
        <w:t>ERPSim</w:t>
      </w:r>
      <w:proofErr w:type="spellEnd"/>
      <w:r w:rsidRPr="00BC081A">
        <w:t xml:space="preserve"> to learn to interact with SAP ERP system. This study supported the effectiveness of situational competitiveness in engaging students in the classroom. In this course, the instructor has been successful in using the informative feedback of competition and not valuing the outcomes excessively (the highest reward is 5% of the final mark), which increases intrinsic motivation among students while adding extrinsic rewards. </w:t>
      </w:r>
    </w:p>
    <w:p w14:paraId="50262B03" w14:textId="6E02D56A" w:rsidR="00A455B9" w:rsidRPr="00BC081A" w:rsidRDefault="00171A70" w:rsidP="008312E7">
      <w:r w:rsidRPr="00BC081A">
        <w:t xml:space="preserve">In the following year, informed by the focus group study’s </w:t>
      </w:r>
      <w:r w:rsidR="0017322A">
        <w:t xml:space="preserve">findings regarding the positive effect of competition in creating Flow during </w:t>
      </w:r>
      <w:proofErr w:type="spellStart"/>
      <w:r w:rsidR="0017322A">
        <w:t>ERPSim</w:t>
      </w:r>
      <w:proofErr w:type="spellEnd"/>
      <w:r w:rsidR="0017322A">
        <w:t xml:space="preserve"> sessions</w:t>
      </w:r>
      <w:r w:rsidRPr="00BC081A">
        <w:t xml:space="preserve">, the second stage </w:t>
      </w:r>
      <w:r>
        <w:t xml:space="preserve">of the </w:t>
      </w:r>
      <w:r w:rsidR="0017322A">
        <w:t xml:space="preserve">study (a </w:t>
      </w:r>
      <w:r w:rsidRPr="00BC081A">
        <w:t>longitudinal study</w:t>
      </w:r>
      <w:r w:rsidR="0017322A">
        <w:t>)</w:t>
      </w:r>
      <w:r w:rsidRPr="00BC081A">
        <w:t xml:space="preserve"> </w:t>
      </w:r>
      <w:r>
        <w:t xml:space="preserve">was conducted </w:t>
      </w:r>
      <w:r w:rsidRPr="00BC081A">
        <w:t xml:space="preserve">with another set of students taking the same course. The MBA course through which </w:t>
      </w:r>
      <w:proofErr w:type="spellStart"/>
      <w:r w:rsidRPr="00BC081A">
        <w:t>ERPsim</w:t>
      </w:r>
      <w:proofErr w:type="spellEnd"/>
      <w:r w:rsidRPr="00BC081A">
        <w:t xml:space="preserve"> was used is offered only once a year with less than 20 students, limiting the pool of participants. The participants were mature male and female students. To maintain the confidentiality of the participants (due to the small sample size), their demographic information</w:t>
      </w:r>
      <w:r w:rsidR="00D27F97">
        <w:t xml:space="preserve"> was not collected</w:t>
      </w:r>
      <w:r w:rsidRPr="00BC081A">
        <w:t xml:space="preserve">. In the longitudinal study </w:t>
      </w:r>
      <w:r w:rsidR="00D27F97">
        <w:t xml:space="preserve">it was </w:t>
      </w:r>
      <w:r w:rsidRPr="00BC081A">
        <w:t xml:space="preserve">sought to examine potential changes in participants’ perceptions about their engagement in the game as the game progressed and when they won or lost the game. In the studied course, students were divided into 4 randomly assigned teams and practiced with temporary </w:t>
      </w:r>
      <w:proofErr w:type="spellStart"/>
      <w:r w:rsidRPr="00BC081A">
        <w:t>ERPsim</w:t>
      </w:r>
      <w:proofErr w:type="spellEnd"/>
      <w:r w:rsidRPr="00BC081A">
        <w:t xml:space="preserve"> accounts for two weeks before starting the game. Students played 5 rounds of </w:t>
      </w:r>
      <w:proofErr w:type="spellStart"/>
      <w:r w:rsidRPr="00BC081A">
        <w:t>ERPsim</w:t>
      </w:r>
      <w:proofErr w:type="spellEnd"/>
      <w:r w:rsidRPr="00BC081A">
        <w:t xml:space="preserve"> over the span of 4 weeks. Each round of the game takes 30 minutes and represents 30 days of simulated business activity. The first round of the game had no effect on the final mark of the students. However, the last four round results could affect their marks. A longitudinal survey was given to the students after the first, fourth, </w:t>
      </w:r>
      <w:r w:rsidRPr="00BC081A">
        <w:lastRenderedPageBreak/>
        <w:t xml:space="preserve">and fifth rounds (played in the first, </w:t>
      </w:r>
      <w:r>
        <w:t>fourth</w:t>
      </w:r>
      <w:r w:rsidRPr="00BC081A">
        <w:t xml:space="preserve">, and fifth week after starting the game) to monitor the change of users’ perceptions throughout the </w:t>
      </w:r>
      <w:r>
        <w:t>gameplay</w:t>
      </w:r>
      <w:r w:rsidRPr="00BC081A">
        <w:t xml:space="preserve"> cycle. The findings of </w:t>
      </w:r>
      <w:r w:rsidR="009C0EC9">
        <w:t>the</w:t>
      </w:r>
      <w:r w:rsidRPr="00BC081A">
        <w:t xml:space="preserve"> longitudinal study provided some insightful information that helped in the design of </w:t>
      </w:r>
      <w:r w:rsidR="009C0EC9">
        <w:t>the</w:t>
      </w:r>
      <w:r w:rsidRPr="00BC081A">
        <w:t xml:space="preserve"> main study.</w:t>
      </w:r>
      <w:r w:rsidR="008312E7">
        <w:t xml:space="preserve"> </w:t>
      </w:r>
      <w:r w:rsidR="00A455B9" w:rsidRPr="008312E7">
        <w:t xml:space="preserve">The goal of </w:t>
      </w:r>
      <w:r w:rsidR="008312E7" w:rsidRPr="008312E7">
        <w:t xml:space="preserve">the longitudinal study </w:t>
      </w:r>
      <w:r w:rsidR="00A455B9" w:rsidRPr="008312E7">
        <w:t>was to better understand the foundational concept of this research and inform the design of the experiment. In particular, understanding the conceptualization of engagement as a Flow construct as well as identifying the ideal time for measuring engagement during a competitive video gameplay.</w:t>
      </w:r>
    </w:p>
    <w:p w14:paraId="1940386B" w14:textId="378172AC" w:rsidR="00A455B9" w:rsidRPr="00BC081A" w:rsidRDefault="00A455B9" w:rsidP="00A455B9">
      <w:r w:rsidRPr="00BC081A">
        <w:t xml:space="preserve">In the focus group and </w:t>
      </w:r>
      <w:r>
        <w:t xml:space="preserve">the </w:t>
      </w:r>
      <w:r w:rsidRPr="00BC081A">
        <w:t>longitudinal stud</w:t>
      </w:r>
      <w:r w:rsidR="003D40C4">
        <w:t>y</w:t>
      </w:r>
      <w:r w:rsidRPr="00BC081A">
        <w:t xml:space="preserve">, regardless of the outcome of the game, students reported the game to be highly engaging and informative prior </w:t>
      </w:r>
      <w:r>
        <w:t xml:space="preserve">to </w:t>
      </w:r>
      <w:r w:rsidRPr="00BC081A">
        <w:t xml:space="preserve">the end of the game. The results of the analysis showed that competition played an important role for students in the class that used </w:t>
      </w:r>
      <w:proofErr w:type="spellStart"/>
      <w:r w:rsidRPr="00BC081A">
        <w:t>ERPsim</w:t>
      </w:r>
      <w:proofErr w:type="spellEnd"/>
      <w:r w:rsidRPr="00BC081A">
        <w:t xml:space="preserve"> for training students to work with SAP ERP. In the longitudinal </w:t>
      </w:r>
      <w:r>
        <w:t xml:space="preserve">survey </w:t>
      </w:r>
      <w:r w:rsidRPr="00BC081A">
        <w:t xml:space="preserve">study potential changes in participants’ perceptions about their engagement throughout the game as they won or lost a round was examined. Students were divided into 4 teams in the course and practiced with temporary </w:t>
      </w:r>
      <w:proofErr w:type="spellStart"/>
      <w:r w:rsidRPr="00BC081A">
        <w:t>ERPsim</w:t>
      </w:r>
      <w:proofErr w:type="spellEnd"/>
      <w:r w:rsidRPr="00BC081A">
        <w:t xml:space="preserve"> accounts for two weeks before starting the game. Students played 5 rounds of </w:t>
      </w:r>
      <w:proofErr w:type="spellStart"/>
      <w:r w:rsidRPr="00BC081A">
        <w:t>ERPsim</w:t>
      </w:r>
      <w:proofErr w:type="spellEnd"/>
      <w:r w:rsidRPr="00BC081A">
        <w:t xml:space="preserve"> </w:t>
      </w:r>
      <w:r w:rsidR="0017322A">
        <w:t xml:space="preserve">(after the training periods) </w:t>
      </w:r>
      <w:r w:rsidRPr="00BC081A">
        <w:t xml:space="preserve">over the span of 4 weeks. Each round of the game takes 30 minutes and represents 30 days of simulated business activity. The first round of the game had no effect on the final mark of the students. However, the last four round results could affect their marks. The longitudinal survey was given to the students after the first, fourth, and fifth rounds (played in the first, third, and fifth week after starting the game and referred to here as T1, T2, and T3) to monitor the change of users’ perceptions as the significance of the results of the game increased. </w:t>
      </w:r>
    </w:p>
    <w:p w14:paraId="4FC13072" w14:textId="670C228F" w:rsidR="00A455B9" w:rsidRPr="00BC081A" w:rsidRDefault="00A455B9" w:rsidP="00A455B9">
      <w:r w:rsidRPr="00BC081A">
        <w:t xml:space="preserve">The main objective of the longitudinal </w:t>
      </w:r>
      <w:r>
        <w:t xml:space="preserve">survey </w:t>
      </w:r>
      <w:r w:rsidRPr="00BC081A">
        <w:t xml:space="preserve">study was to </w:t>
      </w:r>
      <w:r w:rsidR="00C41C90">
        <w:t>explore</w:t>
      </w:r>
      <w:r w:rsidR="00C41C90" w:rsidRPr="00BC081A">
        <w:t xml:space="preserve"> Flow and Engagement in competitive video gameplay </w:t>
      </w:r>
      <w:r w:rsidR="00C41C90">
        <w:t xml:space="preserve">and to </w:t>
      </w:r>
      <w:r w:rsidRPr="00BC081A">
        <w:t xml:space="preserve">gain an understanding of when to best ask </w:t>
      </w:r>
      <w:r w:rsidRPr="00BC081A">
        <w:lastRenderedPageBreak/>
        <w:t xml:space="preserve">participants about their engagement and enjoyment during gameplay. As has been previously shown, losing a competition can have negative consequences on people’s perception of their enjoyment of </w:t>
      </w:r>
      <w:r>
        <w:t>an</w:t>
      </w:r>
      <w:r w:rsidRPr="00BC081A">
        <w:t xml:space="preserve"> activity </w:t>
      </w:r>
      <w:r w:rsidRPr="00BC081A">
        <w:fldChar w:fldCharType="begin" w:fldLock="1"/>
      </w:r>
      <w:r w:rsidR="00AC1F7D">
        <w:instrText>ADDIN CSL_CITATION { "citationItems" : [ { "id" : "ITEM-1", "itemData" : { "author" : [ { "dropping-particle" : "", "family" : "Tauer", "given" : "John M", "non-dropping-particle" : "", "parse-names" : false, "suffix" : "" }, { "dropping-particle" : "", "family" : "Harackiewicz", "given" : "J.M.", "non-dropping-particle" : "", "parse-names" : false, "suffix" : "" } ], "container-title" : "Journal of Experimental Social Psychology", "id" : "ITEM-1", "issue" : "3", "issued" : { "date-parts" : [ [ "1999" ] ] }, "page" : "209\u2013238", "publisher" : "Elsevier", "title" : "Winning Isn't Everything: Competition, Achievement Orientation, and Intrinsic Motivation\u2022", "type" : "article-journal", "volume" : "35" }, "uris" : [ "http://www.mendeley.com/documents/?uuid=669190e1-5231-4889-86cb-1b0c24050f17" ] } ], "mendeley" : { "previouslyFormattedCitation" : "(Tauer &amp; Harackiewicz, 1999)" }, "properties" : { "noteIndex" : 0 }, "schema" : "https://github.com/citation-style-language/schema/raw/master/csl-citation.json" }</w:instrText>
      </w:r>
      <w:r w:rsidRPr="00BC081A">
        <w:fldChar w:fldCharType="separate"/>
      </w:r>
      <w:r w:rsidR="00AC1F7D" w:rsidRPr="00AC1F7D">
        <w:rPr>
          <w:noProof/>
        </w:rPr>
        <w:t>(Tauer &amp; Harackiewicz, 1999)</w:t>
      </w:r>
      <w:r w:rsidRPr="00BC081A">
        <w:fldChar w:fldCharType="end"/>
      </w:r>
      <w:r w:rsidRPr="00BC081A">
        <w:t xml:space="preserve">. Mean comparison of the latent variables across T1, T2, and T3 shows the variation of responses as the gameplay reached the end stage, in which participants had no more hope of playing and winning or losing the game. Among the studied variables, clear goals, skill, challenge, balance, </w:t>
      </w:r>
      <w:r>
        <w:t>Positive Affect (</w:t>
      </w:r>
      <w:r w:rsidRPr="00BC081A">
        <w:t>PA</w:t>
      </w:r>
      <w:r>
        <w:t>)</w:t>
      </w:r>
      <w:r w:rsidRPr="00BC081A">
        <w:t>, satisfaction, and Flow dimension of control had increasing means as shown in</w:t>
      </w:r>
      <w:r w:rsidR="002847AF">
        <w:t xml:space="preserve"> </w:t>
      </w:r>
      <w:r w:rsidR="002847AF">
        <w:fldChar w:fldCharType="begin"/>
      </w:r>
      <w:r w:rsidR="002847AF">
        <w:instrText xml:space="preserve"> REF _Ref267869057 \h </w:instrText>
      </w:r>
      <w:r w:rsidR="002847AF">
        <w:fldChar w:fldCharType="separate"/>
      </w:r>
      <w:r w:rsidR="008C71FB" w:rsidRPr="00BC081A">
        <w:t xml:space="preserve">Figure </w:t>
      </w:r>
      <w:r w:rsidR="008C71FB">
        <w:rPr>
          <w:noProof/>
        </w:rPr>
        <w:t>13</w:t>
      </w:r>
      <w:r w:rsidR="002847AF">
        <w:fldChar w:fldCharType="end"/>
      </w:r>
      <w:r w:rsidRPr="00BC081A">
        <w:t>.</w:t>
      </w:r>
    </w:p>
    <w:p w14:paraId="416C5B82" w14:textId="77777777" w:rsidR="00A455B9" w:rsidRPr="00BC081A" w:rsidRDefault="00A455B9" w:rsidP="00A455B9">
      <w:pPr>
        <w:pStyle w:val="Figure"/>
        <w:rPr>
          <w:lang w:val="en-CA"/>
        </w:rPr>
      </w:pPr>
      <w:r w:rsidRPr="00BC081A">
        <w:drawing>
          <wp:inline distT="0" distB="0" distL="0" distR="0" wp14:anchorId="1554808E" wp14:editId="65D48241">
            <wp:extent cx="3774469" cy="2569845"/>
            <wp:effectExtent l="0" t="0" r="35560" b="2095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FF58C0" w14:textId="77777777" w:rsidR="00A455B9" w:rsidRPr="00BC081A" w:rsidRDefault="00A455B9" w:rsidP="00C92D78">
      <w:pPr>
        <w:pStyle w:val="Caption"/>
      </w:pPr>
      <w:bookmarkStart w:id="141" w:name="_Ref267869057"/>
      <w:bookmarkStart w:id="142" w:name="_Toc278912303"/>
      <w:r w:rsidRPr="00BC081A">
        <w:t xml:space="preserve">Figure </w:t>
      </w:r>
      <w:r w:rsidR="007804FF">
        <w:fldChar w:fldCharType="begin"/>
      </w:r>
      <w:r w:rsidR="007804FF">
        <w:instrText xml:space="preserve"> SEQ Figure \* ARABIC </w:instrText>
      </w:r>
      <w:r w:rsidR="007804FF">
        <w:fldChar w:fldCharType="separate"/>
      </w:r>
      <w:r w:rsidR="008C71FB">
        <w:rPr>
          <w:noProof/>
        </w:rPr>
        <w:t>13</w:t>
      </w:r>
      <w:r w:rsidR="007804FF">
        <w:rPr>
          <w:noProof/>
        </w:rPr>
        <w:fldChar w:fldCharType="end"/>
      </w:r>
      <w:bookmarkEnd w:id="141"/>
      <w:r w:rsidRPr="00BC081A">
        <w:t xml:space="preserve"> – Variables with Increasing Means</w:t>
      </w:r>
      <w:bookmarkEnd w:id="142"/>
      <w:r w:rsidRPr="00BC081A">
        <w:t xml:space="preserve">  </w:t>
      </w:r>
    </w:p>
    <w:p w14:paraId="02FCA561" w14:textId="0F78FDA0" w:rsidR="00A455B9" w:rsidRPr="00BC081A" w:rsidRDefault="00A455B9" w:rsidP="00A455B9">
      <w:r w:rsidRPr="00BC081A">
        <w:t xml:space="preserve">Immediate feedback, </w:t>
      </w:r>
      <w:r>
        <w:t>Negative Affect (</w:t>
      </w:r>
      <w:r w:rsidRPr="00BC081A">
        <w:t>NA</w:t>
      </w:r>
      <w:r>
        <w:t>)</w:t>
      </w:r>
      <w:r w:rsidRPr="00BC081A">
        <w:t>, and Flow dimensions of focused attention, curiosity, and enjoyment, in addition to the aggregate variable of Flow did not change significantly over T1, T2, and T3. These variations are plotted in</w:t>
      </w:r>
      <w:r w:rsidR="002847AF">
        <w:t xml:space="preserve"> </w:t>
      </w:r>
      <w:r w:rsidR="002847AF">
        <w:fldChar w:fldCharType="begin"/>
      </w:r>
      <w:r w:rsidR="002847AF">
        <w:instrText xml:space="preserve"> REF _Ref267869095 \h </w:instrText>
      </w:r>
      <w:r w:rsidR="002847AF">
        <w:fldChar w:fldCharType="separate"/>
      </w:r>
      <w:r w:rsidR="008C71FB" w:rsidRPr="00BC081A">
        <w:t xml:space="preserve">Figure </w:t>
      </w:r>
      <w:r w:rsidR="008C71FB">
        <w:rPr>
          <w:noProof/>
        </w:rPr>
        <w:t>14</w:t>
      </w:r>
      <w:r w:rsidR="002847AF">
        <w:fldChar w:fldCharType="end"/>
      </w:r>
      <w:r w:rsidRPr="00BC081A">
        <w:t xml:space="preserve">. </w:t>
      </w:r>
    </w:p>
    <w:p w14:paraId="316135CF" w14:textId="77777777" w:rsidR="00A455B9" w:rsidRPr="00BC081A" w:rsidRDefault="00A455B9" w:rsidP="00A455B9">
      <w:pPr>
        <w:pStyle w:val="Figure"/>
        <w:rPr>
          <w:lang w:val="en-CA"/>
        </w:rPr>
      </w:pPr>
      <w:r w:rsidRPr="00BC081A">
        <w:lastRenderedPageBreak/>
        <w:drawing>
          <wp:inline distT="0" distB="0" distL="0" distR="0" wp14:anchorId="2495DA12" wp14:editId="23DBB1F1">
            <wp:extent cx="3774469" cy="2383861"/>
            <wp:effectExtent l="0" t="0" r="35560" b="2921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5A092F" w14:textId="77777777" w:rsidR="00A455B9" w:rsidRPr="00BC081A" w:rsidRDefault="00A455B9" w:rsidP="00C92D78">
      <w:pPr>
        <w:pStyle w:val="Caption"/>
      </w:pPr>
      <w:bookmarkStart w:id="143" w:name="_Ref267869095"/>
      <w:bookmarkStart w:id="144" w:name="_Toc278912304"/>
      <w:r w:rsidRPr="00BC081A">
        <w:t xml:space="preserve">Figure </w:t>
      </w:r>
      <w:r w:rsidR="007804FF">
        <w:fldChar w:fldCharType="begin"/>
      </w:r>
      <w:r w:rsidR="007804FF">
        <w:instrText xml:space="preserve"> SEQ Figure \* ARABIC </w:instrText>
      </w:r>
      <w:r w:rsidR="007804FF">
        <w:fldChar w:fldCharType="separate"/>
      </w:r>
      <w:r w:rsidR="008C71FB">
        <w:rPr>
          <w:noProof/>
        </w:rPr>
        <w:t>14</w:t>
      </w:r>
      <w:r w:rsidR="007804FF">
        <w:rPr>
          <w:noProof/>
        </w:rPr>
        <w:fldChar w:fldCharType="end"/>
      </w:r>
      <w:bookmarkEnd w:id="143"/>
      <w:r w:rsidRPr="00BC081A">
        <w:t xml:space="preserve"> – Variables with no Observable Mean Change</w:t>
      </w:r>
      <w:bookmarkEnd w:id="144"/>
    </w:p>
    <w:p w14:paraId="0E1F4FC1" w14:textId="77777777" w:rsidR="00A455B9" w:rsidRPr="00BC081A" w:rsidRDefault="00A455B9" w:rsidP="003D40C4">
      <w:pPr>
        <w:pStyle w:val="Heading3"/>
        <w:numPr>
          <w:ilvl w:val="0"/>
          <w:numId w:val="0"/>
        </w:numPr>
        <w:ind w:left="720"/>
      </w:pPr>
      <w:bookmarkStart w:id="145" w:name="_Toc275209864"/>
      <w:r w:rsidRPr="00BC081A">
        <w:t>Between Team Comparison</w:t>
      </w:r>
      <w:bookmarkEnd w:id="145"/>
    </w:p>
    <w:p w14:paraId="6243665E" w14:textId="3FBE6173" w:rsidR="00A455B9" w:rsidRPr="00BC081A" w:rsidRDefault="00A455B9" w:rsidP="00A455B9">
      <w:r w:rsidRPr="00BC081A">
        <w:t>In order to analyze the effect of winning and losing on different teams, differences in mean scores of each of the measured variables between the teams were compared. The teams’ ranking at the end o</w:t>
      </w:r>
      <w:r w:rsidR="002847AF">
        <w:t xml:space="preserve">f each round is shown in </w:t>
      </w:r>
      <w:r w:rsidR="002847AF">
        <w:fldChar w:fldCharType="begin"/>
      </w:r>
      <w:r w:rsidR="002847AF">
        <w:instrText xml:space="preserve"> REF _Ref275207221 \h </w:instrText>
      </w:r>
      <w:r w:rsidR="002847AF">
        <w:fldChar w:fldCharType="separate"/>
      </w:r>
      <w:r w:rsidR="008C71FB" w:rsidRPr="00BC081A">
        <w:t xml:space="preserve">Table </w:t>
      </w:r>
      <w:r w:rsidR="008C71FB">
        <w:rPr>
          <w:noProof/>
        </w:rPr>
        <w:t>20</w:t>
      </w:r>
      <w:r w:rsidR="002847AF">
        <w:fldChar w:fldCharType="end"/>
      </w:r>
      <w:r w:rsidRPr="00BC081A">
        <w:t>. As is shown, team Q has been mostly winning and team P mostly losing throughout the game.</w:t>
      </w:r>
    </w:p>
    <w:tbl>
      <w:tblPr>
        <w:tblW w:w="53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83"/>
        <w:gridCol w:w="1032"/>
        <w:gridCol w:w="850"/>
        <w:gridCol w:w="1166"/>
        <w:gridCol w:w="984"/>
      </w:tblGrid>
      <w:tr w:rsidR="00A455B9" w:rsidRPr="00BC081A" w14:paraId="129CE07F" w14:textId="77777777" w:rsidTr="00A455B9">
        <w:trPr>
          <w:trHeight w:hRule="exact" w:val="701"/>
          <w:jc w:val="center"/>
        </w:trPr>
        <w:tc>
          <w:tcPr>
            <w:tcW w:w="1283" w:type="dxa"/>
            <w:tcBorders>
              <w:tl2br w:val="single" w:sz="12" w:space="0" w:color="000000"/>
            </w:tcBorders>
            <w:shd w:val="clear" w:color="auto" w:fill="DDD9C3"/>
            <w:vAlign w:val="center"/>
          </w:tcPr>
          <w:p w14:paraId="4EBB1A62" w14:textId="77777777" w:rsidR="00A455B9" w:rsidRPr="00B40F44" w:rsidRDefault="00A455B9" w:rsidP="00A455B9">
            <w:pPr>
              <w:pStyle w:val="TableText"/>
              <w:rPr>
                <w:sz w:val="16"/>
                <w:szCs w:val="16"/>
                <w:lang w:val="en-CA"/>
              </w:rPr>
            </w:pPr>
            <w:r w:rsidRPr="00B40F44">
              <w:rPr>
                <w:lang w:val="en-CA"/>
              </w:rPr>
              <w:t xml:space="preserve">        </w:t>
            </w:r>
            <w:r w:rsidRPr="00B40F44">
              <w:rPr>
                <w:sz w:val="16"/>
                <w:szCs w:val="16"/>
                <w:lang w:val="en-CA"/>
              </w:rPr>
              <w:t>Team</w:t>
            </w:r>
          </w:p>
          <w:p w14:paraId="7AF01390" w14:textId="77777777" w:rsidR="00A455B9" w:rsidRPr="00BC081A" w:rsidRDefault="00A455B9" w:rsidP="00A455B9">
            <w:pPr>
              <w:pStyle w:val="TableText"/>
              <w:rPr>
                <w:lang w:val="en-CA"/>
              </w:rPr>
            </w:pPr>
            <w:r w:rsidRPr="00BC081A">
              <w:rPr>
                <w:lang w:val="en-CA"/>
              </w:rPr>
              <w:t>Round</w:t>
            </w:r>
          </w:p>
        </w:tc>
        <w:tc>
          <w:tcPr>
            <w:tcW w:w="1032" w:type="dxa"/>
            <w:shd w:val="clear" w:color="auto" w:fill="DDD9C3"/>
            <w:vAlign w:val="bottom"/>
          </w:tcPr>
          <w:p w14:paraId="672B8614" w14:textId="77777777" w:rsidR="00A455B9" w:rsidRPr="00BC081A" w:rsidRDefault="00A455B9" w:rsidP="00A455B9">
            <w:pPr>
              <w:pStyle w:val="TableText"/>
              <w:rPr>
                <w:lang w:val="en-CA"/>
              </w:rPr>
            </w:pPr>
            <w:r w:rsidRPr="00BC081A">
              <w:rPr>
                <w:lang w:val="en-CA"/>
              </w:rPr>
              <w:t>N</w:t>
            </w:r>
          </w:p>
        </w:tc>
        <w:tc>
          <w:tcPr>
            <w:tcW w:w="850" w:type="dxa"/>
            <w:shd w:val="clear" w:color="auto" w:fill="DDD9C3"/>
            <w:vAlign w:val="bottom"/>
          </w:tcPr>
          <w:p w14:paraId="0BC39665" w14:textId="77777777" w:rsidR="00A455B9" w:rsidRPr="00BC081A" w:rsidRDefault="00A455B9" w:rsidP="00A455B9">
            <w:pPr>
              <w:pStyle w:val="TableText"/>
              <w:rPr>
                <w:lang w:val="en-CA"/>
              </w:rPr>
            </w:pPr>
            <w:r w:rsidRPr="00BC081A">
              <w:rPr>
                <w:lang w:val="en-CA"/>
              </w:rPr>
              <w:t>O</w:t>
            </w:r>
          </w:p>
        </w:tc>
        <w:tc>
          <w:tcPr>
            <w:tcW w:w="1166" w:type="dxa"/>
            <w:shd w:val="clear" w:color="auto" w:fill="DDD9C3"/>
            <w:vAlign w:val="bottom"/>
          </w:tcPr>
          <w:p w14:paraId="696D4E19" w14:textId="77777777" w:rsidR="00A455B9" w:rsidRPr="00BC081A" w:rsidRDefault="00A455B9" w:rsidP="00A455B9">
            <w:pPr>
              <w:pStyle w:val="TableText"/>
              <w:rPr>
                <w:lang w:val="en-CA"/>
              </w:rPr>
            </w:pPr>
            <w:r w:rsidRPr="00BC081A">
              <w:rPr>
                <w:lang w:val="en-CA"/>
              </w:rPr>
              <w:t>P</w:t>
            </w:r>
          </w:p>
        </w:tc>
        <w:tc>
          <w:tcPr>
            <w:tcW w:w="984" w:type="dxa"/>
            <w:shd w:val="clear" w:color="auto" w:fill="DDD9C3"/>
            <w:vAlign w:val="bottom"/>
          </w:tcPr>
          <w:p w14:paraId="2159F1C5" w14:textId="77777777" w:rsidR="00A455B9" w:rsidRPr="00BC081A" w:rsidRDefault="00A455B9" w:rsidP="00A455B9">
            <w:pPr>
              <w:pStyle w:val="TableText"/>
              <w:rPr>
                <w:lang w:val="en-CA"/>
              </w:rPr>
            </w:pPr>
            <w:r w:rsidRPr="00BC081A">
              <w:rPr>
                <w:lang w:val="en-CA"/>
              </w:rPr>
              <w:t>Q</w:t>
            </w:r>
          </w:p>
        </w:tc>
      </w:tr>
      <w:tr w:rsidR="00A455B9" w:rsidRPr="00BC081A" w14:paraId="3D5F45D8" w14:textId="77777777" w:rsidTr="00A455B9">
        <w:trPr>
          <w:trHeight w:hRule="exact" w:val="384"/>
          <w:jc w:val="center"/>
        </w:trPr>
        <w:tc>
          <w:tcPr>
            <w:tcW w:w="1283" w:type="dxa"/>
            <w:shd w:val="clear" w:color="auto" w:fill="C6D9F1"/>
            <w:vAlign w:val="bottom"/>
          </w:tcPr>
          <w:p w14:paraId="275D1805" w14:textId="77777777" w:rsidR="00A455B9" w:rsidRPr="00BC081A" w:rsidRDefault="00A455B9" w:rsidP="00A455B9">
            <w:pPr>
              <w:pStyle w:val="TableText"/>
              <w:rPr>
                <w:lang w:val="en-CA"/>
              </w:rPr>
            </w:pPr>
            <w:r w:rsidRPr="00BC081A">
              <w:rPr>
                <w:lang w:val="en-CA"/>
              </w:rPr>
              <w:t>1 (T1)</w:t>
            </w:r>
          </w:p>
        </w:tc>
        <w:tc>
          <w:tcPr>
            <w:tcW w:w="1032" w:type="dxa"/>
          </w:tcPr>
          <w:p w14:paraId="396F2DEA" w14:textId="77777777" w:rsidR="00A455B9" w:rsidRPr="00BC081A" w:rsidRDefault="00A455B9" w:rsidP="00A455B9">
            <w:pPr>
              <w:pStyle w:val="TableText"/>
              <w:rPr>
                <w:lang w:val="en-CA"/>
              </w:rPr>
            </w:pPr>
            <w:r w:rsidRPr="00BC081A">
              <w:rPr>
                <w:lang w:val="en-CA"/>
              </w:rPr>
              <w:t>2</w:t>
            </w:r>
          </w:p>
        </w:tc>
        <w:tc>
          <w:tcPr>
            <w:tcW w:w="850" w:type="dxa"/>
          </w:tcPr>
          <w:p w14:paraId="79414963" w14:textId="77777777" w:rsidR="00A455B9" w:rsidRPr="00BC081A" w:rsidRDefault="00A455B9" w:rsidP="00A455B9">
            <w:pPr>
              <w:pStyle w:val="TableText"/>
              <w:rPr>
                <w:lang w:val="en-CA"/>
              </w:rPr>
            </w:pPr>
            <w:r w:rsidRPr="00BC081A">
              <w:rPr>
                <w:lang w:val="en-CA"/>
              </w:rPr>
              <w:t>3</w:t>
            </w:r>
          </w:p>
        </w:tc>
        <w:tc>
          <w:tcPr>
            <w:tcW w:w="1166" w:type="dxa"/>
          </w:tcPr>
          <w:p w14:paraId="58A963EF" w14:textId="77777777" w:rsidR="00A455B9" w:rsidRPr="00BC081A" w:rsidRDefault="00A455B9" w:rsidP="00A455B9">
            <w:pPr>
              <w:pStyle w:val="TableText"/>
              <w:rPr>
                <w:lang w:val="en-CA"/>
              </w:rPr>
            </w:pPr>
            <w:r w:rsidRPr="00BC081A">
              <w:rPr>
                <w:lang w:val="en-CA"/>
              </w:rPr>
              <w:t>4</w:t>
            </w:r>
          </w:p>
        </w:tc>
        <w:tc>
          <w:tcPr>
            <w:tcW w:w="984" w:type="dxa"/>
          </w:tcPr>
          <w:p w14:paraId="756BA329" w14:textId="77777777" w:rsidR="00A455B9" w:rsidRPr="00BC081A" w:rsidRDefault="00A455B9" w:rsidP="00A455B9">
            <w:pPr>
              <w:pStyle w:val="TableText"/>
              <w:rPr>
                <w:lang w:val="en-CA"/>
              </w:rPr>
            </w:pPr>
            <w:r w:rsidRPr="00BC081A">
              <w:rPr>
                <w:lang w:val="en-CA"/>
              </w:rPr>
              <w:t>1</w:t>
            </w:r>
          </w:p>
        </w:tc>
      </w:tr>
      <w:tr w:rsidR="00A455B9" w:rsidRPr="00BC081A" w14:paraId="2FADEEA1" w14:textId="77777777" w:rsidTr="00A455B9">
        <w:trPr>
          <w:trHeight w:hRule="exact" w:val="359"/>
          <w:jc w:val="center"/>
        </w:trPr>
        <w:tc>
          <w:tcPr>
            <w:tcW w:w="1283" w:type="dxa"/>
            <w:shd w:val="clear" w:color="auto" w:fill="C6D9F1"/>
            <w:vAlign w:val="bottom"/>
          </w:tcPr>
          <w:p w14:paraId="0B074351" w14:textId="77777777" w:rsidR="00A455B9" w:rsidRPr="00BC081A" w:rsidRDefault="00A455B9" w:rsidP="00A455B9">
            <w:pPr>
              <w:pStyle w:val="TableText"/>
              <w:rPr>
                <w:lang w:val="en-CA"/>
              </w:rPr>
            </w:pPr>
            <w:r w:rsidRPr="00BC081A">
              <w:rPr>
                <w:lang w:val="en-CA"/>
              </w:rPr>
              <w:t>2</w:t>
            </w:r>
          </w:p>
        </w:tc>
        <w:tc>
          <w:tcPr>
            <w:tcW w:w="1032" w:type="dxa"/>
          </w:tcPr>
          <w:p w14:paraId="30AE37B8" w14:textId="77777777" w:rsidR="00A455B9" w:rsidRPr="00BC081A" w:rsidRDefault="00A455B9" w:rsidP="00A455B9">
            <w:pPr>
              <w:pStyle w:val="TableText"/>
              <w:rPr>
                <w:lang w:val="en-CA"/>
              </w:rPr>
            </w:pPr>
            <w:r w:rsidRPr="00BC081A">
              <w:rPr>
                <w:lang w:val="en-CA"/>
              </w:rPr>
              <w:t>2</w:t>
            </w:r>
          </w:p>
        </w:tc>
        <w:tc>
          <w:tcPr>
            <w:tcW w:w="850" w:type="dxa"/>
          </w:tcPr>
          <w:p w14:paraId="269C57A6" w14:textId="77777777" w:rsidR="00A455B9" w:rsidRPr="00BC081A" w:rsidRDefault="00A455B9" w:rsidP="00A455B9">
            <w:pPr>
              <w:pStyle w:val="TableText"/>
              <w:rPr>
                <w:lang w:val="en-CA"/>
              </w:rPr>
            </w:pPr>
            <w:r w:rsidRPr="00BC081A">
              <w:rPr>
                <w:lang w:val="en-CA"/>
              </w:rPr>
              <w:t>3</w:t>
            </w:r>
          </w:p>
        </w:tc>
        <w:tc>
          <w:tcPr>
            <w:tcW w:w="1166" w:type="dxa"/>
          </w:tcPr>
          <w:p w14:paraId="56DB51EC" w14:textId="77777777" w:rsidR="00A455B9" w:rsidRPr="00BC081A" w:rsidRDefault="00A455B9" w:rsidP="00A455B9">
            <w:pPr>
              <w:pStyle w:val="TableText"/>
              <w:rPr>
                <w:lang w:val="en-CA"/>
              </w:rPr>
            </w:pPr>
            <w:r w:rsidRPr="00BC081A">
              <w:rPr>
                <w:lang w:val="en-CA"/>
              </w:rPr>
              <w:t>4</w:t>
            </w:r>
          </w:p>
        </w:tc>
        <w:tc>
          <w:tcPr>
            <w:tcW w:w="984" w:type="dxa"/>
          </w:tcPr>
          <w:p w14:paraId="36E2A3AD" w14:textId="77777777" w:rsidR="00A455B9" w:rsidRPr="00BC081A" w:rsidRDefault="00A455B9" w:rsidP="00A455B9">
            <w:pPr>
              <w:pStyle w:val="TableText"/>
              <w:rPr>
                <w:lang w:val="en-CA"/>
              </w:rPr>
            </w:pPr>
            <w:r w:rsidRPr="00BC081A">
              <w:rPr>
                <w:lang w:val="en-CA"/>
              </w:rPr>
              <w:t>1</w:t>
            </w:r>
          </w:p>
        </w:tc>
      </w:tr>
      <w:tr w:rsidR="00A455B9" w:rsidRPr="00BC081A" w14:paraId="1B1AAF22" w14:textId="77777777" w:rsidTr="00A455B9">
        <w:trPr>
          <w:trHeight w:hRule="exact" w:val="331"/>
          <w:jc w:val="center"/>
        </w:trPr>
        <w:tc>
          <w:tcPr>
            <w:tcW w:w="1283" w:type="dxa"/>
            <w:shd w:val="clear" w:color="auto" w:fill="C6D9F1"/>
            <w:vAlign w:val="bottom"/>
          </w:tcPr>
          <w:p w14:paraId="3EA8549B" w14:textId="77777777" w:rsidR="00A455B9" w:rsidRPr="00BC081A" w:rsidRDefault="00A455B9" w:rsidP="00A455B9">
            <w:pPr>
              <w:pStyle w:val="TableText"/>
              <w:rPr>
                <w:lang w:val="en-CA"/>
              </w:rPr>
            </w:pPr>
            <w:r w:rsidRPr="00BC081A">
              <w:rPr>
                <w:lang w:val="en-CA"/>
              </w:rPr>
              <w:t>3</w:t>
            </w:r>
          </w:p>
        </w:tc>
        <w:tc>
          <w:tcPr>
            <w:tcW w:w="1032" w:type="dxa"/>
          </w:tcPr>
          <w:p w14:paraId="5AC28809" w14:textId="77777777" w:rsidR="00A455B9" w:rsidRPr="00BC081A" w:rsidRDefault="00A455B9" w:rsidP="00A455B9">
            <w:pPr>
              <w:pStyle w:val="TableText"/>
              <w:rPr>
                <w:lang w:val="en-CA"/>
              </w:rPr>
            </w:pPr>
            <w:r w:rsidRPr="00BC081A">
              <w:rPr>
                <w:lang w:val="en-CA"/>
              </w:rPr>
              <w:t>3</w:t>
            </w:r>
          </w:p>
        </w:tc>
        <w:tc>
          <w:tcPr>
            <w:tcW w:w="850" w:type="dxa"/>
          </w:tcPr>
          <w:p w14:paraId="73E9B747" w14:textId="77777777" w:rsidR="00A455B9" w:rsidRPr="00BC081A" w:rsidRDefault="00A455B9" w:rsidP="00A455B9">
            <w:pPr>
              <w:pStyle w:val="TableText"/>
              <w:rPr>
                <w:lang w:val="en-CA"/>
              </w:rPr>
            </w:pPr>
            <w:r w:rsidRPr="00BC081A">
              <w:rPr>
                <w:lang w:val="en-CA"/>
              </w:rPr>
              <w:t>2</w:t>
            </w:r>
          </w:p>
        </w:tc>
        <w:tc>
          <w:tcPr>
            <w:tcW w:w="1166" w:type="dxa"/>
          </w:tcPr>
          <w:p w14:paraId="68292237" w14:textId="77777777" w:rsidR="00A455B9" w:rsidRPr="00BC081A" w:rsidRDefault="00A455B9" w:rsidP="00A455B9">
            <w:pPr>
              <w:pStyle w:val="TableText"/>
              <w:rPr>
                <w:lang w:val="en-CA"/>
              </w:rPr>
            </w:pPr>
            <w:r w:rsidRPr="00BC081A">
              <w:rPr>
                <w:lang w:val="en-CA"/>
              </w:rPr>
              <w:t>4</w:t>
            </w:r>
          </w:p>
        </w:tc>
        <w:tc>
          <w:tcPr>
            <w:tcW w:w="984" w:type="dxa"/>
          </w:tcPr>
          <w:p w14:paraId="0D1288E7" w14:textId="77777777" w:rsidR="00A455B9" w:rsidRPr="00BC081A" w:rsidRDefault="00A455B9" w:rsidP="00A455B9">
            <w:pPr>
              <w:pStyle w:val="TableText"/>
              <w:rPr>
                <w:lang w:val="en-CA"/>
              </w:rPr>
            </w:pPr>
            <w:r w:rsidRPr="00BC081A">
              <w:rPr>
                <w:lang w:val="en-CA"/>
              </w:rPr>
              <w:t>1</w:t>
            </w:r>
          </w:p>
        </w:tc>
      </w:tr>
      <w:tr w:rsidR="00A455B9" w:rsidRPr="00BC081A" w14:paraId="776F5DF2" w14:textId="77777777" w:rsidTr="00A455B9">
        <w:trPr>
          <w:trHeight w:hRule="exact" w:val="345"/>
          <w:jc w:val="center"/>
        </w:trPr>
        <w:tc>
          <w:tcPr>
            <w:tcW w:w="1283" w:type="dxa"/>
            <w:shd w:val="clear" w:color="auto" w:fill="C6D9F1"/>
            <w:vAlign w:val="bottom"/>
          </w:tcPr>
          <w:p w14:paraId="69BD5B14" w14:textId="77777777" w:rsidR="00A455B9" w:rsidRPr="00BC081A" w:rsidRDefault="00A455B9" w:rsidP="00A455B9">
            <w:pPr>
              <w:pStyle w:val="TableText"/>
              <w:rPr>
                <w:lang w:val="en-CA"/>
              </w:rPr>
            </w:pPr>
            <w:r w:rsidRPr="00BC081A">
              <w:rPr>
                <w:lang w:val="en-CA"/>
              </w:rPr>
              <w:t>4 (T2)</w:t>
            </w:r>
          </w:p>
        </w:tc>
        <w:tc>
          <w:tcPr>
            <w:tcW w:w="1032" w:type="dxa"/>
          </w:tcPr>
          <w:p w14:paraId="205C0328" w14:textId="77777777" w:rsidR="00A455B9" w:rsidRPr="00BC081A" w:rsidRDefault="00A455B9" w:rsidP="00A455B9">
            <w:pPr>
              <w:pStyle w:val="TableText"/>
              <w:rPr>
                <w:lang w:val="en-CA"/>
              </w:rPr>
            </w:pPr>
            <w:r w:rsidRPr="00BC081A">
              <w:rPr>
                <w:lang w:val="en-CA"/>
              </w:rPr>
              <w:t>3</w:t>
            </w:r>
          </w:p>
        </w:tc>
        <w:tc>
          <w:tcPr>
            <w:tcW w:w="850" w:type="dxa"/>
          </w:tcPr>
          <w:p w14:paraId="04F1D6CC" w14:textId="77777777" w:rsidR="00A455B9" w:rsidRPr="00BC081A" w:rsidRDefault="00A455B9" w:rsidP="00A455B9">
            <w:pPr>
              <w:pStyle w:val="TableText"/>
              <w:rPr>
                <w:lang w:val="en-CA"/>
              </w:rPr>
            </w:pPr>
            <w:r w:rsidRPr="00BC081A">
              <w:rPr>
                <w:lang w:val="en-CA"/>
              </w:rPr>
              <w:t>1</w:t>
            </w:r>
          </w:p>
        </w:tc>
        <w:tc>
          <w:tcPr>
            <w:tcW w:w="1166" w:type="dxa"/>
          </w:tcPr>
          <w:p w14:paraId="4CCA0B9A" w14:textId="77777777" w:rsidR="00A455B9" w:rsidRPr="00BC081A" w:rsidRDefault="00A455B9" w:rsidP="00A455B9">
            <w:pPr>
              <w:pStyle w:val="TableText"/>
              <w:rPr>
                <w:lang w:val="en-CA"/>
              </w:rPr>
            </w:pPr>
            <w:r w:rsidRPr="00BC081A">
              <w:rPr>
                <w:lang w:val="en-CA"/>
              </w:rPr>
              <w:t>4</w:t>
            </w:r>
          </w:p>
        </w:tc>
        <w:tc>
          <w:tcPr>
            <w:tcW w:w="984" w:type="dxa"/>
          </w:tcPr>
          <w:p w14:paraId="7E2BF553" w14:textId="77777777" w:rsidR="00A455B9" w:rsidRPr="00BC081A" w:rsidRDefault="00A455B9" w:rsidP="00A455B9">
            <w:pPr>
              <w:pStyle w:val="TableText"/>
              <w:rPr>
                <w:lang w:val="en-CA"/>
              </w:rPr>
            </w:pPr>
            <w:r w:rsidRPr="00BC081A">
              <w:rPr>
                <w:lang w:val="en-CA"/>
              </w:rPr>
              <w:t>2</w:t>
            </w:r>
          </w:p>
        </w:tc>
      </w:tr>
      <w:tr w:rsidR="00A455B9" w:rsidRPr="00BC081A" w14:paraId="4AB8797F" w14:textId="77777777" w:rsidTr="00A455B9">
        <w:trPr>
          <w:trHeight w:hRule="exact" w:val="398"/>
          <w:jc w:val="center"/>
        </w:trPr>
        <w:tc>
          <w:tcPr>
            <w:tcW w:w="1283" w:type="dxa"/>
            <w:shd w:val="clear" w:color="auto" w:fill="C6D9F1"/>
            <w:vAlign w:val="bottom"/>
          </w:tcPr>
          <w:p w14:paraId="0674033B" w14:textId="77777777" w:rsidR="00A455B9" w:rsidRPr="00BC081A" w:rsidRDefault="00A455B9" w:rsidP="00A455B9">
            <w:pPr>
              <w:pStyle w:val="TableText"/>
              <w:rPr>
                <w:lang w:val="en-CA"/>
              </w:rPr>
            </w:pPr>
            <w:r w:rsidRPr="00BC081A">
              <w:rPr>
                <w:lang w:val="en-CA"/>
              </w:rPr>
              <w:t>5 (T3)</w:t>
            </w:r>
          </w:p>
        </w:tc>
        <w:tc>
          <w:tcPr>
            <w:tcW w:w="1032" w:type="dxa"/>
          </w:tcPr>
          <w:p w14:paraId="2BAC9AB8" w14:textId="77777777" w:rsidR="00A455B9" w:rsidRPr="00BC081A" w:rsidRDefault="00A455B9" w:rsidP="00A455B9">
            <w:pPr>
              <w:pStyle w:val="TableText"/>
              <w:rPr>
                <w:lang w:val="en-CA"/>
              </w:rPr>
            </w:pPr>
            <w:r w:rsidRPr="00BC081A">
              <w:rPr>
                <w:lang w:val="en-CA"/>
              </w:rPr>
              <w:t>3</w:t>
            </w:r>
          </w:p>
        </w:tc>
        <w:tc>
          <w:tcPr>
            <w:tcW w:w="850" w:type="dxa"/>
          </w:tcPr>
          <w:p w14:paraId="17B845BC" w14:textId="77777777" w:rsidR="00A455B9" w:rsidRPr="00BC081A" w:rsidRDefault="00A455B9" w:rsidP="00A455B9">
            <w:pPr>
              <w:pStyle w:val="TableText"/>
              <w:rPr>
                <w:lang w:val="en-CA"/>
              </w:rPr>
            </w:pPr>
            <w:r w:rsidRPr="00BC081A">
              <w:rPr>
                <w:lang w:val="en-CA"/>
              </w:rPr>
              <w:t>1</w:t>
            </w:r>
          </w:p>
        </w:tc>
        <w:tc>
          <w:tcPr>
            <w:tcW w:w="1166" w:type="dxa"/>
          </w:tcPr>
          <w:p w14:paraId="1357FC51" w14:textId="77777777" w:rsidR="00A455B9" w:rsidRPr="00BC081A" w:rsidRDefault="00A455B9" w:rsidP="00A455B9">
            <w:pPr>
              <w:pStyle w:val="TableText"/>
              <w:rPr>
                <w:lang w:val="en-CA"/>
              </w:rPr>
            </w:pPr>
            <w:r w:rsidRPr="00BC081A">
              <w:rPr>
                <w:lang w:val="en-CA"/>
              </w:rPr>
              <w:t>4</w:t>
            </w:r>
          </w:p>
        </w:tc>
        <w:tc>
          <w:tcPr>
            <w:tcW w:w="984" w:type="dxa"/>
          </w:tcPr>
          <w:p w14:paraId="317759B0" w14:textId="77777777" w:rsidR="00A455B9" w:rsidRPr="00BC081A" w:rsidRDefault="00A455B9" w:rsidP="00A455B9">
            <w:pPr>
              <w:pStyle w:val="TableText"/>
              <w:rPr>
                <w:lang w:val="en-CA"/>
              </w:rPr>
            </w:pPr>
            <w:r w:rsidRPr="00BC081A">
              <w:rPr>
                <w:lang w:val="en-CA"/>
              </w:rPr>
              <w:t>2</w:t>
            </w:r>
          </w:p>
        </w:tc>
      </w:tr>
      <w:tr w:rsidR="00A455B9" w:rsidRPr="00BC081A" w14:paraId="22387DF7" w14:textId="77777777" w:rsidTr="00A455B9">
        <w:trPr>
          <w:trHeight w:hRule="exact" w:val="384"/>
          <w:jc w:val="center"/>
        </w:trPr>
        <w:tc>
          <w:tcPr>
            <w:tcW w:w="1283" w:type="dxa"/>
            <w:shd w:val="clear" w:color="auto" w:fill="C6D9F1"/>
            <w:vAlign w:val="bottom"/>
          </w:tcPr>
          <w:p w14:paraId="2219DEB2" w14:textId="77777777" w:rsidR="00A455B9" w:rsidRPr="00BC081A" w:rsidRDefault="00A455B9" w:rsidP="00A455B9">
            <w:pPr>
              <w:pStyle w:val="TableText"/>
              <w:rPr>
                <w:lang w:val="en-CA"/>
              </w:rPr>
            </w:pPr>
            <w:r w:rsidRPr="00BC081A">
              <w:rPr>
                <w:lang w:val="en-CA"/>
              </w:rPr>
              <w:t>Average</w:t>
            </w:r>
          </w:p>
        </w:tc>
        <w:tc>
          <w:tcPr>
            <w:tcW w:w="1032" w:type="dxa"/>
            <w:shd w:val="clear" w:color="auto" w:fill="EAF1DD"/>
          </w:tcPr>
          <w:p w14:paraId="5581192C" w14:textId="77777777" w:rsidR="00A455B9" w:rsidRPr="00BC081A" w:rsidRDefault="00A455B9" w:rsidP="00A455B9">
            <w:pPr>
              <w:pStyle w:val="TableText"/>
              <w:rPr>
                <w:lang w:val="en-CA"/>
              </w:rPr>
            </w:pPr>
            <w:r w:rsidRPr="00BC081A">
              <w:rPr>
                <w:lang w:val="en-CA"/>
              </w:rPr>
              <w:t>2.6</w:t>
            </w:r>
          </w:p>
        </w:tc>
        <w:tc>
          <w:tcPr>
            <w:tcW w:w="850" w:type="dxa"/>
            <w:shd w:val="clear" w:color="auto" w:fill="EAF1DD"/>
          </w:tcPr>
          <w:p w14:paraId="54AF83E6" w14:textId="77777777" w:rsidR="00A455B9" w:rsidRPr="00BC081A" w:rsidRDefault="00A455B9" w:rsidP="00A455B9">
            <w:pPr>
              <w:pStyle w:val="TableText"/>
              <w:rPr>
                <w:lang w:val="en-CA"/>
              </w:rPr>
            </w:pPr>
            <w:r w:rsidRPr="00BC081A">
              <w:rPr>
                <w:lang w:val="en-CA"/>
              </w:rPr>
              <w:t>2</w:t>
            </w:r>
          </w:p>
        </w:tc>
        <w:tc>
          <w:tcPr>
            <w:tcW w:w="1166" w:type="dxa"/>
            <w:shd w:val="clear" w:color="auto" w:fill="EAF1DD"/>
          </w:tcPr>
          <w:p w14:paraId="6C64035E" w14:textId="77777777" w:rsidR="00A455B9" w:rsidRPr="00BC081A" w:rsidRDefault="00A455B9" w:rsidP="00A455B9">
            <w:pPr>
              <w:pStyle w:val="TableText"/>
              <w:rPr>
                <w:lang w:val="en-CA"/>
              </w:rPr>
            </w:pPr>
            <w:r w:rsidRPr="00BC081A">
              <w:rPr>
                <w:lang w:val="en-CA"/>
              </w:rPr>
              <w:t>4</w:t>
            </w:r>
          </w:p>
        </w:tc>
        <w:tc>
          <w:tcPr>
            <w:tcW w:w="984" w:type="dxa"/>
            <w:shd w:val="clear" w:color="auto" w:fill="EAF1DD"/>
          </w:tcPr>
          <w:p w14:paraId="53E20DCE" w14:textId="77777777" w:rsidR="00A455B9" w:rsidRPr="00BC081A" w:rsidRDefault="00A455B9" w:rsidP="00A455B9">
            <w:pPr>
              <w:pStyle w:val="TableText"/>
              <w:rPr>
                <w:lang w:val="en-CA"/>
              </w:rPr>
            </w:pPr>
            <w:r w:rsidRPr="00BC081A">
              <w:rPr>
                <w:lang w:val="en-CA"/>
              </w:rPr>
              <w:t>1.4</w:t>
            </w:r>
          </w:p>
        </w:tc>
      </w:tr>
    </w:tbl>
    <w:p w14:paraId="6C45364F" w14:textId="77777777" w:rsidR="00A455B9" w:rsidRPr="00BC081A" w:rsidRDefault="00A455B9" w:rsidP="00C92D78">
      <w:pPr>
        <w:pStyle w:val="Caption"/>
      </w:pPr>
      <w:bookmarkStart w:id="146" w:name="_Ref275207221"/>
      <w:bookmarkStart w:id="147" w:name="_Toc275209778"/>
      <w:proofErr w:type="gramStart"/>
      <w:r w:rsidRPr="00BC081A">
        <w:t xml:space="preserve">Table </w:t>
      </w:r>
      <w:r w:rsidR="007804FF">
        <w:fldChar w:fldCharType="begin"/>
      </w:r>
      <w:r w:rsidR="007804FF">
        <w:instrText xml:space="preserve"> SEQ Table \* ARABIC </w:instrText>
      </w:r>
      <w:r w:rsidR="007804FF">
        <w:fldChar w:fldCharType="separate"/>
      </w:r>
      <w:r w:rsidR="008C71FB">
        <w:rPr>
          <w:noProof/>
        </w:rPr>
        <w:t>20</w:t>
      </w:r>
      <w:r w:rsidR="007804FF">
        <w:rPr>
          <w:noProof/>
        </w:rPr>
        <w:fldChar w:fldCharType="end"/>
      </w:r>
      <w:bookmarkEnd w:id="146"/>
      <w:r w:rsidRPr="00BC081A">
        <w:t>.</w:t>
      </w:r>
      <w:proofErr w:type="gramEnd"/>
      <w:r w:rsidRPr="00BC081A">
        <w:t xml:space="preserve"> Teams Ranking at each Round</w:t>
      </w:r>
      <w:bookmarkEnd w:id="147"/>
    </w:p>
    <w:p w14:paraId="36415CC7" w14:textId="77777777" w:rsidR="00A455B9" w:rsidRPr="00BC081A" w:rsidRDefault="00A455B9" w:rsidP="00A455B9">
      <w:r w:rsidRPr="00BC081A">
        <w:t xml:space="preserve">Based on the teams rankings, for the purpose of this experiment only, teams were labeled as: </w:t>
      </w:r>
      <w:r w:rsidRPr="00BC081A">
        <w:rPr>
          <w:i/>
        </w:rPr>
        <w:t>Q</w:t>
      </w:r>
      <w:r w:rsidRPr="00BC081A">
        <w:t xml:space="preserve">: </w:t>
      </w:r>
      <w:r w:rsidRPr="00BC081A">
        <w:rPr>
          <w:i/>
        </w:rPr>
        <w:t>Early Leader-to-Second Place</w:t>
      </w:r>
      <w:r w:rsidRPr="00BC081A">
        <w:t xml:space="preserve">, </w:t>
      </w:r>
      <w:r w:rsidRPr="00BC081A">
        <w:rPr>
          <w:i/>
        </w:rPr>
        <w:t>P</w:t>
      </w:r>
      <w:r w:rsidRPr="00BC081A">
        <w:t xml:space="preserve">: </w:t>
      </w:r>
      <w:r w:rsidRPr="00BC081A">
        <w:rPr>
          <w:i/>
        </w:rPr>
        <w:t>Lowest Rank, O</w:t>
      </w:r>
      <w:r w:rsidRPr="00BC081A">
        <w:t xml:space="preserve">: </w:t>
      </w:r>
      <w:r w:rsidRPr="00BC081A">
        <w:rPr>
          <w:i/>
        </w:rPr>
        <w:t xml:space="preserve">Most Improved-to-Winners, </w:t>
      </w:r>
      <w:r w:rsidRPr="00BC081A">
        <w:t xml:space="preserve">and </w:t>
      </w:r>
      <w:r w:rsidRPr="00BC081A">
        <w:rPr>
          <w:i/>
        </w:rPr>
        <w:t>N</w:t>
      </w:r>
      <w:r w:rsidRPr="00BC081A">
        <w:t xml:space="preserve">: </w:t>
      </w:r>
      <w:r w:rsidRPr="00BC081A">
        <w:rPr>
          <w:i/>
        </w:rPr>
        <w:t>Mid-achievers.</w:t>
      </w:r>
    </w:p>
    <w:p w14:paraId="0490FD50" w14:textId="77777777" w:rsidR="00A455B9" w:rsidRPr="00BC081A" w:rsidRDefault="00A455B9" w:rsidP="00A455B9">
      <w:r w:rsidRPr="00BC081A">
        <w:lastRenderedPageBreak/>
        <w:t>The most significantly large differences between teams were in the levels of skill, balance, PA, and satisfaction. Among these, skill showed the highest difference between teams, which had one-way analysis of variance (ANOVA) of difference significant at p&lt;0.05</w:t>
      </w:r>
      <w:r w:rsidRPr="00BC081A">
        <w:rPr>
          <w:rStyle w:val="FootnoteReference"/>
        </w:rPr>
        <w:footnoteReference w:id="25"/>
      </w:r>
      <w:r w:rsidRPr="00BC081A">
        <w:t xml:space="preserve"> for the pooled data and at T1 and T2. This difference diminished at T3 (refer to Table 3). Team Q (the Early Leader team) expressed that their members had the highest levels of skill and team P (the Lowest Ranked team) the lowest. Similarly, the difference in the levels of balance reported started at high margins and at T3 the difference was not very high. Regarding satisfaction, the differences were moderately high and significant at all time periods. PA does not have the same level of difference as the other variables, but considering that it is measured with 5-point Likert scale, the reported differences are considerable. At all times, the highest difference reported was between the team that was first in that round of game and the team that was the last. In the pooled data, team Q (Early Leader) reported the highest and team P (Lowest Rank) the lowest in PA. </w:t>
      </w:r>
    </w:p>
    <w:tbl>
      <w:tblPr>
        <w:tblW w:w="607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83"/>
        <w:gridCol w:w="1134"/>
        <w:gridCol w:w="1134"/>
        <w:gridCol w:w="1228"/>
        <w:gridCol w:w="1197"/>
      </w:tblGrid>
      <w:tr w:rsidR="00A455B9" w:rsidRPr="00BC081A" w14:paraId="60CC200D" w14:textId="77777777" w:rsidTr="0017322A">
        <w:trPr>
          <w:trHeight w:hRule="exact" w:val="518"/>
          <w:jc w:val="center"/>
        </w:trPr>
        <w:tc>
          <w:tcPr>
            <w:tcW w:w="1383" w:type="dxa"/>
            <w:shd w:val="clear" w:color="auto" w:fill="DDD9C3"/>
          </w:tcPr>
          <w:p w14:paraId="49529052" w14:textId="77777777" w:rsidR="00A455B9" w:rsidRPr="00BC081A" w:rsidRDefault="00A455B9" w:rsidP="00A455B9">
            <w:pPr>
              <w:pStyle w:val="TableText"/>
              <w:rPr>
                <w:lang w:val="en-CA"/>
              </w:rPr>
            </w:pPr>
          </w:p>
        </w:tc>
        <w:tc>
          <w:tcPr>
            <w:tcW w:w="1134" w:type="dxa"/>
            <w:shd w:val="clear" w:color="auto" w:fill="DDD9C3"/>
          </w:tcPr>
          <w:p w14:paraId="7F7784B5" w14:textId="77777777" w:rsidR="00A455B9" w:rsidRPr="00BC081A" w:rsidRDefault="00A455B9" w:rsidP="00A455B9">
            <w:pPr>
              <w:pStyle w:val="TableText"/>
              <w:rPr>
                <w:lang w:val="en-CA"/>
              </w:rPr>
            </w:pPr>
            <w:r w:rsidRPr="00BC081A">
              <w:rPr>
                <w:lang w:val="en-CA"/>
              </w:rPr>
              <w:t>T1</w:t>
            </w:r>
          </w:p>
        </w:tc>
        <w:tc>
          <w:tcPr>
            <w:tcW w:w="1134" w:type="dxa"/>
            <w:shd w:val="clear" w:color="auto" w:fill="DDD9C3"/>
          </w:tcPr>
          <w:p w14:paraId="272B1BAD" w14:textId="77777777" w:rsidR="00A455B9" w:rsidRPr="00BC081A" w:rsidRDefault="00A455B9" w:rsidP="00A455B9">
            <w:pPr>
              <w:pStyle w:val="TableText"/>
              <w:rPr>
                <w:lang w:val="en-CA"/>
              </w:rPr>
            </w:pPr>
            <w:r w:rsidRPr="00BC081A">
              <w:rPr>
                <w:lang w:val="en-CA"/>
              </w:rPr>
              <w:t>T2</w:t>
            </w:r>
          </w:p>
        </w:tc>
        <w:tc>
          <w:tcPr>
            <w:tcW w:w="1228" w:type="dxa"/>
            <w:shd w:val="clear" w:color="auto" w:fill="DDD9C3"/>
          </w:tcPr>
          <w:p w14:paraId="3BD18281" w14:textId="77777777" w:rsidR="00A455B9" w:rsidRPr="00BC081A" w:rsidRDefault="00A455B9" w:rsidP="00A455B9">
            <w:pPr>
              <w:pStyle w:val="TableText"/>
              <w:rPr>
                <w:lang w:val="en-CA"/>
              </w:rPr>
            </w:pPr>
            <w:r w:rsidRPr="00BC081A">
              <w:rPr>
                <w:lang w:val="en-CA"/>
              </w:rPr>
              <w:t>T3</w:t>
            </w:r>
          </w:p>
        </w:tc>
        <w:tc>
          <w:tcPr>
            <w:tcW w:w="1197" w:type="dxa"/>
            <w:shd w:val="clear" w:color="auto" w:fill="DDD9C3"/>
          </w:tcPr>
          <w:p w14:paraId="6F8873B7" w14:textId="77777777" w:rsidR="00A455B9" w:rsidRPr="00BC081A" w:rsidRDefault="00A455B9" w:rsidP="00A455B9">
            <w:pPr>
              <w:pStyle w:val="TableText"/>
              <w:rPr>
                <w:lang w:val="en-CA"/>
              </w:rPr>
            </w:pPr>
            <w:r w:rsidRPr="00BC081A">
              <w:rPr>
                <w:lang w:val="en-CA"/>
              </w:rPr>
              <w:t>Pooled</w:t>
            </w:r>
          </w:p>
        </w:tc>
      </w:tr>
      <w:tr w:rsidR="00A455B9" w:rsidRPr="00BC081A" w14:paraId="28D6DEC7" w14:textId="77777777" w:rsidTr="0017322A">
        <w:trPr>
          <w:trHeight w:hRule="exact" w:val="516"/>
          <w:jc w:val="center"/>
        </w:trPr>
        <w:tc>
          <w:tcPr>
            <w:tcW w:w="1383" w:type="dxa"/>
            <w:shd w:val="clear" w:color="auto" w:fill="C6D9F1"/>
          </w:tcPr>
          <w:p w14:paraId="11F67435" w14:textId="77777777" w:rsidR="00A455B9" w:rsidRPr="00BC081A" w:rsidRDefault="00A455B9" w:rsidP="00A455B9">
            <w:pPr>
              <w:pStyle w:val="TableText"/>
              <w:rPr>
                <w:lang w:val="en-CA"/>
              </w:rPr>
            </w:pPr>
            <w:r w:rsidRPr="00BC081A">
              <w:rPr>
                <w:lang w:val="en-CA"/>
              </w:rPr>
              <w:t>Skill</w:t>
            </w:r>
          </w:p>
        </w:tc>
        <w:tc>
          <w:tcPr>
            <w:tcW w:w="1134" w:type="dxa"/>
          </w:tcPr>
          <w:p w14:paraId="36D4D4CB" w14:textId="77777777" w:rsidR="00A455B9" w:rsidRPr="00BC081A" w:rsidRDefault="00A455B9" w:rsidP="00A455B9">
            <w:pPr>
              <w:pStyle w:val="TableText"/>
              <w:rPr>
                <w:lang w:val="en-CA"/>
              </w:rPr>
            </w:pPr>
            <w:r w:rsidRPr="00BC081A">
              <w:rPr>
                <w:lang w:val="en-CA"/>
              </w:rPr>
              <w:t>3.44</w:t>
            </w:r>
          </w:p>
        </w:tc>
        <w:tc>
          <w:tcPr>
            <w:tcW w:w="1134" w:type="dxa"/>
          </w:tcPr>
          <w:p w14:paraId="1DF44AC9" w14:textId="77777777" w:rsidR="00A455B9" w:rsidRPr="00BC081A" w:rsidRDefault="00A455B9" w:rsidP="00A455B9">
            <w:pPr>
              <w:pStyle w:val="TableText"/>
              <w:rPr>
                <w:lang w:val="en-CA"/>
              </w:rPr>
            </w:pPr>
            <w:r w:rsidRPr="00BC081A">
              <w:rPr>
                <w:lang w:val="en-CA"/>
              </w:rPr>
              <w:t>3.08</w:t>
            </w:r>
          </w:p>
        </w:tc>
        <w:tc>
          <w:tcPr>
            <w:tcW w:w="1228" w:type="dxa"/>
          </w:tcPr>
          <w:p w14:paraId="3FE5CF18" w14:textId="77777777" w:rsidR="00A455B9" w:rsidRPr="00BC081A" w:rsidRDefault="00A455B9" w:rsidP="00A455B9">
            <w:pPr>
              <w:pStyle w:val="TableText"/>
              <w:rPr>
                <w:lang w:val="en-CA"/>
              </w:rPr>
            </w:pPr>
            <w:r w:rsidRPr="00BC081A">
              <w:rPr>
                <w:lang w:val="en-CA"/>
              </w:rPr>
              <w:t>1.75(</w:t>
            </w:r>
            <w:proofErr w:type="spellStart"/>
            <w:r w:rsidRPr="00BC081A">
              <w:rPr>
                <w:lang w:val="en-CA"/>
              </w:rPr>
              <w:t>n.s</w:t>
            </w:r>
            <w:proofErr w:type="spellEnd"/>
            <w:r w:rsidRPr="00BC081A">
              <w:rPr>
                <w:lang w:val="en-CA"/>
              </w:rPr>
              <w:t>.)</w:t>
            </w:r>
            <w:r w:rsidRPr="00BC081A">
              <w:rPr>
                <w:rStyle w:val="FootnoteReference"/>
                <w:sz w:val="18"/>
                <w:lang w:val="en-CA"/>
              </w:rPr>
              <w:footnoteReference w:id="26"/>
            </w:r>
          </w:p>
        </w:tc>
        <w:tc>
          <w:tcPr>
            <w:tcW w:w="1197" w:type="dxa"/>
          </w:tcPr>
          <w:p w14:paraId="6E46AFE5" w14:textId="77777777" w:rsidR="00A455B9" w:rsidRPr="00BC081A" w:rsidRDefault="00A455B9" w:rsidP="00A455B9">
            <w:pPr>
              <w:pStyle w:val="TableText"/>
              <w:rPr>
                <w:lang w:val="en-CA"/>
              </w:rPr>
            </w:pPr>
            <w:r w:rsidRPr="00BC081A">
              <w:rPr>
                <w:lang w:val="en-CA"/>
              </w:rPr>
              <w:t>2.86</w:t>
            </w:r>
          </w:p>
        </w:tc>
      </w:tr>
      <w:tr w:rsidR="00A455B9" w:rsidRPr="00BC081A" w14:paraId="57C61A86" w14:textId="77777777" w:rsidTr="0017322A">
        <w:trPr>
          <w:trHeight w:hRule="exact" w:val="518"/>
          <w:jc w:val="center"/>
        </w:trPr>
        <w:tc>
          <w:tcPr>
            <w:tcW w:w="1383" w:type="dxa"/>
            <w:shd w:val="clear" w:color="auto" w:fill="C6D9F1"/>
          </w:tcPr>
          <w:p w14:paraId="562D3210" w14:textId="77777777" w:rsidR="00A455B9" w:rsidRPr="00BC081A" w:rsidRDefault="00A455B9" w:rsidP="00A455B9">
            <w:pPr>
              <w:pStyle w:val="TableText"/>
              <w:rPr>
                <w:lang w:val="en-CA"/>
              </w:rPr>
            </w:pPr>
            <w:r w:rsidRPr="00BC081A">
              <w:rPr>
                <w:lang w:val="en-CA"/>
              </w:rPr>
              <w:t>Balance</w:t>
            </w:r>
          </w:p>
        </w:tc>
        <w:tc>
          <w:tcPr>
            <w:tcW w:w="1134" w:type="dxa"/>
          </w:tcPr>
          <w:p w14:paraId="1EE66B61" w14:textId="77777777" w:rsidR="00A455B9" w:rsidRPr="00BC081A" w:rsidRDefault="00A455B9" w:rsidP="00A455B9">
            <w:pPr>
              <w:pStyle w:val="TableText"/>
              <w:rPr>
                <w:lang w:val="en-CA"/>
              </w:rPr>
            </w:pPr>
            <w:r w:rsidRPr="00BC081A">
              <w:rPr>
                <w:lang w:val="en-CA"/>
              </w:rPr>
              <w:t>2.04</w:t>
            </w:r>
          </w:p>
        </w:tc>
        <w:tc>
          <w:tcPr>
            <w:tcW w:w="1134" w:type="dxa"/>
          </w:tcPr>
          <w:p w14:paraId="08B21A5E" w14:textId="77777777" w:rsidR="00A455B9" w:rsidRPr="00BC081A" w:rsidRDefault="00A455B9" w:rsidP="00A455B9">
            <w:pPr>
              <w:pStyle w:val="TableText"/>
              <w:rPr>
                <w:lang w:val="en-CA"/>
              </w:rPr>
            </w:pPr>
            <w:r w:rsidRPr="00BC081A">
              <w:rPr>
                <w:lang w:val="en-CA"/>
              </w:rPr>
              <w:t>1.75</w:t>
            </w:r>
          </w:p>
        </w:tc>
        <w:tc>
          <w:tcPr>
            <w:tcW w:w="1228" w:type="dxa"/>
          </w:tcPr>
          <w:p w14:paraId="33AA4F7B" w14:textId="77777777" w:rsidR="00A455B9" w:rsidRPr="00BC081A" w:rsidRDefault="00A455B9" w:rsidP="00A455B9">
            <w:pPr>
              <w:pStyle w:val="TableText"/>
              <w:rPr>
                <w:lang w:val="en-CA"/>
              </w:rPr>
            </w:pPr>
            <w:r w:rsidRPr="00BC081A">
              <w:rPr>
                <w:lang w:val="en-CA"/>
              </w:rPr>
              <w:t>1</w:t>
            </w:r>
          </w:p>
        </w:tc>
        <w:tc>
          <w:tcPr>
            <w:tcW w:w="1197" w:type="dxa"/>
          </w:tcPr>
          <w:p w14:paraId="27B7F887" w14:textId="77777777" w:rsidR="00A455B9" w:rsidRPr="00BC081A" w:rsidRDefault="00A455B9" w:rsidP="00A455B9">
            <w:pPr>
              <w:pStyle w:val="TableText"/>
              <w:rPr>
                <w:lang w:val="en-CA"/>
              </w:rPr>
            </w:pPr>
            <w:r w:rsidRPr="00BC081A">
              <w:rPr>
                <w:lang w:val="en-CA"/>
              </w:rPr>
              <w:t>1.69</w:t>
            </w:r>
          </w:p>
        </w:tc>
      </w:tr>
      <w:tr w:rsidR="00A455B9" w:rsidRPr="00BC081A" w14:paraId="4F798E5D" w14:textId="77777777" w:rsidTr="0017322A">
        <w:trPr>
          <w:trHeight w:hRule="exact" w:val="434"/>
          <w:jc w:val="center"/>
        </w:trPr>
        <w:tc>
          <w:tcPr>
            <w:tcW w:w="1383" w:type="dxa"/>
            <w:shd w:val="clear" w:color="auto" w:fill="C6D9F1"/>
          </w:tcPr>
          <w:p w14:paraId="65F46B75" w14:textId="77777777" w:rsidR="00A455B9" w:rsidRPr="00BC081A" w:rsidRDefault="00A455B9" w:rsidP="00A455B9">
            <w:pPr>
              <w:pStyle w:val="TableText"/>
              <w:rPr>
                <w:lang w:val="en-CA"/>
              </w:rPr>
            </w:pPr>
            <w:r w:rsidRPr="00BC081A">
              <w:rPr>
                <w:lang w:val="en-CA"/>
              </w:rPr>
              <w:t>Satisfaction</w:t>
            </w:r>
          </w:p>
        </w:tc>
        <w:tc>
          <w:tcPr>
            <w:tcW w:w="1134" w:type="dxa"/>
          </w:tcPr>
          <w:p w14:paraId="6CCB4D1B" w14:textId="77777777" w:rsidR="00A455B9" w:rsidRPr="00BC081A" w:rsidRDefault="00A455B9" w:rsidP="00A455B9">
            <w:pPr>
              <w:pStyle w:val="TableText"/>
              <w:rPr>
                <w:lang w:val="en-CA"/>
              </w:rPr>
            </w:pPr>
            <w:r w:rsidRPr="00BC081A">
              <w:rPr>
                <w:lang w:val="en-CA"/>
              </w:rPr>
              <w:t>2.5</w:t>
            </w:r>
          </w:p>
        </w:tc>
        <w:tc>
          <w:tcPr>
            <w:tcW w:w="1134" w:type="dxa"/>
          </w:tcPr>
          <w:p w14:paraId="4E59EA56" w14:textId="77777777" w:rsidR="00A455B9" w:rsidRPr="00BC081A" w:rsidRDefault="00A455B9" w:rsidP="00A455B9">
            <w:pPr>
              <w:pStyle w:val="TableText"/>
              <w:rPr>
                <w:lang w:val="en-CA"/>
              </w:rPr>
            </w:pPr>
            <w:r w:rsidRPr="00BC081A">
              <w:rPr>
                <w:lang w:val="en-CA"/>
              </w:rPr>
              <w:t>2</w:t>
            </w:r>
          </w:p>
        </w:tc>
        <w:tc>
          <w:tcPr>
            <w:tcW w:w="1228" w:type="dxa"/>
          </w:tcPr>
          <w:p w14:paraId="6A7FC3E0" w14:textId="77777777" w:rsidR="00A455B9" w:rsidRPr="00BC081A" w:rsidRDefault="00A455B9" w:rsidP="00A455B9">
            <w:pPr>
              <w:pStyle w:val="TableText"/>
              <w:rPr>
                <w:lang w:val="en-CA"/>
              </w:rPr>
            </w:pPr>
            <w:r w:rsidRPr="00BC081A">
              <w:rPr>
                <w:lang w:val="en-CA"/>
              </w:rPr>
              <w:t>2.12</w:t>
            </w:r>
          </w:p>
        </w:tc>
        <w:tc>
          <w:tcPr>
            <w:tcW w:w="1197" w:type="dxa"/>
          </w:tcPr>
          <w:p w14:paraId="428A5206" w14:textId="77777777" w:rsidR="00A455B9" w:rsidRPr="00BC081A" w:rsidRDefault="00A455B9" w:rsidP="00A455B9">
            <w:pPr>
              <w:pStyle w:val="TableText"/>
              <w:rPr>
                <w:lang w:val="en-CA"/>
              </w:rPr>
            </w:pPr>
            <w:r w:rsidRPr="00BC081A">
              <w:rPr>
                <w:lang w:val="en-CA"/>
              </w:rPr>
              <w:t>2.3</w:t>
            </w:r>
          </w:p>
        </w:tc>
      </w:tr>
      <w:tr w:rsidR="00A455B9" w:rsidRPr="00BC081A" w14:paraId="42221BB1" w14:textId="77777777" w:rsidTr="0017322A">
        <w:trPr>
          <w:trHeight w:hRule="exact" w:val="402"/>
          <w:jc w:val="center"/>
        </w:trPr>
        <w:tc>
          <w:tcPr>
            <w:tcW w:w="1383" w:type="dxa"/>
            <w:shd w:val="clear" w:color="auto" w:fill="C6D9F1"/>
          </w:tcPr>
          <w:p w14:paraId="05576BFE" w14:textId="77777777" w:rsidR="00A455B9" w:rsidRPr="00BC081A" w:rsidRDefault="00A455B9" w:rsidP="00A455B9">
            <w:pPr>
              <w:pStyle w:val="TableText"/>
              <w:rPr>
                <w:lang w:val="en-CA"/>
              </w:rPr>
            </w:pPr>
            <w:r w:rsidRPr="00BC081A">
              <w:rPr>
                <w:lang w:val="en-CA"/>
              </w:rPr>
              <w:t>PA</w:t>
            </w:r>
          </w:p>
        </w:tc>
        <w:tc>
          <w:tcPr>
            <w:tcW w:w="1134" w:type="dxa"/>
          </w:tcPr>
          <w:p w14:paraId="05D69976" w14:textId="77777777" w:rsidR="00A455B9" w:rsidRPr="00BC081A" w:rsidRDefault="00A455B9" w:rsidP="00A455B9">
            <w:pPr>
              <w:pStyle w:val="TableText"/>
              <w:rPr>
                <w:lang w:val="en-CA"/>
              </w:rPr>
            </w:pPr>
            <w:r w:rsidRPr="00BC081A">
              <w:rPr>
                <w:lang w:val="en-CA"/>
              </w:rPr>
              <w:t>0.83(</w:t>
            </w:r>
            <w:proofErr w:type="spellStart"/>
            <w:r w:rsidRPr="00BC081A">
              <w:rPr>
                <w:lang w:val="en-CA"/>
              </w:rPr>
              <w:t>n.s</w:t>
            </w:r>
            <w:proofErr w:type="spellEnd"/>
            <w:r w:rsidRPr="00BC081A">
              <w:rPr>
                <w:lang w:val="en-CA"/>
              </w:rPr>
              <w:t>.)</w:t>
            </w:r>
          </w:p>
        </w:tc>
        <w:tc>
          <w:tcPr>
            <w:tcW w:w="1134" w:type="dxa"/>
          </w:tcPr>
          <w:p w14:paraId="14CA0176" w14:textId="77777777" w:rsidR="00A455B9" w:rsidRPr="00BC081A" w:rsidRDefault="00A455B9" w:rsidP="00A455B9">
            <w:pPr>
              <w:pStyle w:val="TableText"/>
              <w:rPr>
                <w:lang w:val="en-CA"/>
              </w:rPr>
            </w:pPr>
            <w:r w:rsidRPr="00BC081A">
              <w:rPr>
                <w:lang w:val="en-CA"/>
              </w:rPr>
              <w:t>1.02</w:t>
            </w:r>
          </w:p>
        </w:tc>
        <w:tc>
          <w:tcPr>
            <w:tcW w:w="1228" w:type="dxa"/>
          </w:tcPr>
          <w:p w14:paraId="24A6CB2F" w14:textId="77777777" w:rsidR="00A455B9" w:rsidRPr="00BC081A" w:rsidRDefault="00A455B9" w:rsidP="00A455B9">
            <w:pPr>
              <w:pStyle w:val="TableText"/>
              <w:rPr>
                <w:lang w:val="en-CA"/>
              </w:rPr>
            </w:pPr>
            <w:r w:rsidRPr="00BC081A">
              <w:rPr>
                <w:lang w:val="en-CA"/>
              </w:rPr>
              <w:t>1.8</w:t>
            </w:r>
          </w:p>
        </w:tc>
        <w:tc>
          <w:tcPr>
            <w:tcW w:w="1197" w:type="dxa"/>
          </w:tcPr>
          <w:p w14:paraId="2DCD9035" w14:textId="77777777" w:rsidR="00A455B9" w:rsidRPr="00BC081A" w:rsidRDefault="00A455B9" w:rsidP="00A455B9">
            <w:pPr>
              <w:pStyle w:val="TableText"/>
              <w:rPr>
                <w:lang w:val="en-CA"/>
              </w:rPr>
            </w:pPr>
            <w:r w:rsidRPr="00BC081A">
              <w:rPr>
                <w:lang w:val="en-CA"/>
              </w:rPr>
              <w:t>0.89</w:t>
            </w:r>
          </w:p>
        </w:tc>
      </w:tr>
    </w:tbl>
    <w:p w14:paraId="318D385B" w14:textId="77777777" w:rsidR="00A455B9" w:rsidRPr="00BC081A" w:rsidRDefault="00A455B9" w:rsidP="00C92D78">
      <w:pPr>
        <w:pStyle w:val="Caption"/>
      </w:pPr>
      <w:bookmarkStart w:id="148" w:name="_Toc275209779"/>
      <w:proofErr w:type="gramStart"/>
      <w:r w:rsidRPr="00BC081A">
        <w:lastRenderedPageBreak/>
        <w:t xml:space="preserve">Table </w:t>
      </w:r>
      <w:r w:rsidR="007804FF">
        <w:fldChar w:fldCharType="begin"/>
      </w:r>
      <w:r w:rsidR="007804FF">
        <w:instrText xml:space="preserve"> SEQ Table \* ARABIC </w:instrText>
      </w:r>
      <w:r w:rsidR="007804FF">
        <w:fldChar w:fldCharType="separate"/>
      </w:r>
      <w:r w:rsidR="008C71FB">
        <w:rPr>
          <w:noProof/>
        </w:rPr>
        <w:t>21</w:t>
      </w:r>
      <w:r w:rsidR="007804FF">
        <w:rPr>
          <w:noProof/>
        </w:rPr>
        <w:fldChar w:fldCharType="end"/>
      </w:r>
      <w:r w:rsidRPr="00BC081A">
        <w:t>.</w:t>
      </w:r>
      <w:proofErr w:type="gramEnd"/>
      <w:r w:rsidRPr="00BC081A">
        <w:t xml:space="preserve"> Largest Differences Between Teams</w:t>
      </w:r>
      <w:bookmarkEnd w:id="148"/>
      <w:r w:rsidRPr="00BC081A">
        <w:t xml:space="preserve"> </w:t>
      </w:r>
    </w:p>
    <w:p w14:paraId="11B7D9D9" w14:textId="37E2CEDB" w:rsidR="00A455B9" w:rsidRPr="00BC081A" w:rsidRDefault="002847AF" w:rsidP="00A455B9">
      <w:r>
        <w:fldChar w:fldCharType="begin"/>
      </w:r>
      <w:r>
        <w:instrText xml:space="preserve"> REF _Ref275207259 \h </w:instrText>
      </w:r>
      <w:r>
        <w:fldChar w:fldCharType="separate"/>
      </w:r>
      <w:r w:rsidR="008C71FB" w:rsidRPr="00BC081A">
        <w:t xml:space="preserve">Figure </w:t>
      </w:r>
      <w:r w:rsidR="008C71FB">
        <w:rPr>
          <w:noProof/>
        </w:rPr>
        <w:t>15</w:t>
      </w:r>
      <w:r>
        <w:fldChar w:fldCharType="end"/>
      </w:r>
      <w:r w:rsidR="00A455B9" w:rsidRPr="00BC081A">
        <w:t xml:space="preserve"> further clarifies the differences in the above-mentioned variables among the four teams. As the graphs show, the narrowing gap is mainly due to the increase in the average reported values by Team O (Most Improved team) that mostly reported the lowest values.</w:t>
      </w:r>
    </w:p>
    <w:p w14:paraId="552D04B1" w14:textId="77777777" w:rsidR="00A455B9" w:rsidRPr="00BC081A" w:rsidRDefault="00A455B9" w:rsidP="00A455B9">
      <w:r w:rsidRPr="00BC081A">
        <w:t>Moreover, the differences between the reported levels of focus, feedback, control, curiosity, NA, and enjoyment were at some points significant, but this difference is not very high. However, no significant (or significant but small) difference in Flow or challenge between teams was observed. The results showed that the state of teams in the game did not have a large impact on how challenging the task is or how much users would be in the state of Flow.</w:t>
      </w:r>
    </w:p>
    <w:tbl>
      <w:tblPr>
        <w:tblW w:w="779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5"/>
      </w:tblGrid>
      <w:tr w:rsidR="00A455B9" w:rsidRPr="00BC081A" w14:paraId="6856C179" w14:textId="77777777" w:rsidTr="00A455B9">
        <w:trPr>
          <w:trHeight w:val="3818"/>
          <w:jc w:val="center"/>
        </w:trPr>
        <w:tc>
          <w:tcPr>
            <w:tcW w:w="7795" w:type="dxa"/>
            <w:shd w:val="clear" w:color="auto" w:fill="auto"/>
          </w:tcPr>
          <w:p w14:paraId="3B19D03F" w14:textId="77777777" w:rsidR="00A455B9" w:rsidRPr="00BC081A" w:rsidRDefault="00A455B9" w:rsidP="00A455B9">
            <w:pPr>
              <w:pStyle w:val="TableContext"/>
              <w:rPr>
                <w:lang w:val="en-CA"/>
              </w:rPr>
            </w:pPr>
            <w:r w:rsidRPr="00BC081A">
              <w:rPr>
                <w:noProof/>
              </w:rPr>
              <w:drawing>
                <wp:inline distT="0" distB="0" distL="0" distR="0" wp14:anchorId="3E463661" wp14:editId="26A0FA30">
                  <wp:extent cx="4572000" cy="2207941"/>
                  <wp:effectExtent l="0" t="0" r="25400" b="273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455B9" w:rsidRPr="00BC081A" w14:paraId="099635C3" w14:textId="77777777" w:rsidTr="00A455B9">
        <w:trPr>
          <w:trHeight w:val="3815"/>
          <w:jc w:val="center"/>
        </w:trPr>
        <w:tc>
          <w:tcPr>
            <w:tcW w:w="7795" w:type="dxa"/>
            <w:shd w:val="clear" w:color="auto" w:fill="auto"/>
          </w:tcPr>
          <w:p w14:paraId="63492ED3" w14:textId="77777777" w:rsidR="00A455B9" w:rsidRPr="00BC081A" w:rsidRDefault="00A455B9" w:rsidP="00A455B9">
            <w:pPr>
              <w:pStyle w:val="TableContext"/>
              <w:rPr>
                <w:lang w:val="en-CA"/>
              </w:rPr>
            </w:pPr>
            <w:r w:rsidRPr="00BC081A">
              <w:rPr>
                <w:noProof/>
              </w:rPr>
              <w:drawing>
                <wp:inline distT="0" distB="0" distL="0" distR="0" wp14:anchorId="08AAB9D7" wp14:editId="18A81BA3">
                  <wp:extent cx="4572000" cy="2177276"/>
                  <wp:effectExtent l="0" t="0" r="25400" b="330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455B9" w:rsidRPr="00BC081A" w14:paraId="2BC23333" w14:textId="77777777" w:rsidTr="00A455B9">
        <w:trPr>
          <w:trHeight w:val="3809"/>
          <w:jc w:val="center"/>
        </w:trPr>
        <w:tc>
          <w:tcPr>
            <w:tcW w:w="7795" w:type="dxa"/>
            <w:shd w:val="clear" w:color="auto" w:fill="auto"/>
          </w:tcPr>
          <w:p w14:paraId="62993CE6" w14:textId="77777777" w:rsidR="00A455B9" w:rsidRPr="00BC081A" w:rsidRDefault="00A455B9" w:rsidP="00A455B9">
            <w:pPr>
              <w:pStyle w:val="TableContext"/>
              <w:rPr>
                <w:noProof/>
                <w:lang w:val="en-CA"/>
              </w:rPr>
            </w:pPr>
            <w:r w:rsidRPr="00BC081A">
              <w:rPr>
                <w:noProof/>
              </w:rPr>
              <w:lastRenderedPageBreak/>
              <w:drawing>
                <wp:inline distT="0" distB="0" distL="0" distR="0" wp14:anchorId="04390E57" wp14:editId="1BE7D615">
                  <wp:extent cx="4572000" cy="2191215"/>
                  <wp:effectExtent l="0" t="0" r="2540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455B9" w:rsidRPr="00BC081A" w14:paraId="4256905C" w14:textId="77777777" w:rsidTr="00A455B9">
        <w:trPr>
          <w:trHeight w:val="3809"/>
          <w:jc w:val="center"/>
        </w:trPr>
        <w:tc>
          <w:tcPr>
            <w:tcW w:w="7795" w:type="dxa"/>
            <w:shd w:val="clear" w:color="auto" w:fill="auto"/>
          </w:tcPr>
          <w:p w14:paraId="5432F7BA" w14:textId="77777777" w:rsidR="00A455B9" w:rsidRPr="00BC081A" w:rsidRDefault="00A455B9" w:rsidP="00A455B9">
            <w:pPr>
              <w:pStyle w:val="TableContext"/>
              <w:rPr>
                <w:noProof/>
                <w:lang w:val="en-CA"/>
              </w:rPr>
            </w:pPr>
            <w:r w:rsidRPr="00BC081A">
              <w:rPr>
                <w:noProof/>
              </w:rPr>
              <w:drawing>
                <wp:inline distT="0" distB="0" distL="0" distR="0" wp14:anchorId="280C9921" wp14:editId="065B54FE">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0DECE195" w14:textId="77777777" w:rsidR="00A455B9" w:rsidRPr="00BC081A" w:rsidRDefault="00A455B9" w:rsidP="00C92D78">
      <w:pPr>
        <w:pStyle w:val="Caption"/>
      </w:pPr>
      <w:bookmarkStart w:id="149" w:name="_Ref275207259"/>
      <w:bookmarkStart w:id="150" w:name="_Toc278912305"/>
      <w:proofErr w:type="gramStart"/>
      <w:r w:rsidRPr="00BC081A">
        <w:t xml:space="preserve">Figure </w:t>
      </w:r>
      <w:r w:rsidR="007804FF">
        <w:fldChar w:fldCharType="begin"/>
      </w:r>
      <w:r w:rsidR="007804FF">
        <w:instrText xml:space="preserve"> SEQ Figure \* ARABIC </w:instrText>
      </w:r>
      <w:r w:rsidR="007804FF">
        <w:fldChar w:fldCharType="separate"/>
      </w:r>
      <w:r w:rsidR="008C71FB">
        <w:rPr>
          <w:noProof/>
        </w:rPr>
        <w:t>15</w:t>
      </w:r>
      <w:r w:rsidR="007804FF">
        <w:rPr>
          <w:noProof/>
        </w:rPr>
        <w:fldChar w:fldCharType="end"/>
      </w:r>
      <w:bookmarkEnd w:id="149"/>
      <w:r w:rsidRPr="00BC081A">
        <w:t>.</w:t>
      </w:r>
      <w:proofErr w:type="gramEnd"/>
      <w:r w:rsidRPr="00BC081A">
        <w:t xml:space="preserve"> Variation of Team's Average Score for the Variables with the Largest Differences from T1 to T3</w:t>
      </w:r>
      <w:bookmarkEnd w:id="150"/>
    </w:p>
    <w:p w14:paraId="5396C188" w14:textId="181C077D" w:rsidR="00A455B9" w:rsidRPr="00BC081A" w:rsidRDefault="002847AF" w:rsidP="00A455B9">
      <w:r>
        <w:fldChar w:fldCharType="begin"/>
      </w:r>
      <w:r>
        <w:instrText xml:space="preserve"> REF _Ref275207274 \h </w:instrText>
      </w:r>
      <w:r>
        <w:fldChar w:fldCharType="separate"/>
      </w:r>
      <w:r w:rsidR="008C71FB" w:rsidRPr="00BC081A">
        <w:t xml:space="preserve">Figure </w:t>
      </w:r>
      <w:r w:rsidR="008C71FB">
        <w:rPr>
          <w:noProof/>
        </w:rPr>
        <w:t>16</w:t>
      </w:r>
      <w:r>
        <w:fldChar w:fldCharType="end"/>
      </w:r>
      <w:r>
        <w:t xml:space="preserve"> </w:t>
      </w:r>
      <w:r w:rsidR="00A455B9" w:rsidRPr="00BC081A">
        <w:t xml:space="preserve">further shows the relationship between the rankings of teams and their reported scores. The x-axis is the team with ranking from 1 to 4 and y-axis is the corresponding average for a team with that ranking at T1, T2, or T3. It can be interpreted from these charts that there is almost a negative linear relationship between ranking of teams and their evaluation of their level of Skill, Balance, Satisfaction, and PA. </w:t>
      </w:r>
    </w:p>
    <w:tbl>
      <w:tblPr>
        <w:tblW w:w="7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3"/>
      </w:tblGrid>
      <w:tr w:rsidR="00A455B9" w:rsidRPr="00BC081A" w14:paraId="53B9640E" w14:textId="77777777" w:rsidTr="00A455B9">
        <w:trPr>
          <w:trHeight w:val="2066"/>
          <w:jc w:val="center"/>
        </w:trPr>
        <w:tc>
          <w:tcPr>
            <w:tcW w:w="7533" w:type="dxa"/>
            <w:shd w:val="clear" w:color="auto" w:fill="auto"/>
            <w:vAlign w:val="center"/>
          </w:tcPr>
          <w:p w14:paraId="598B6548" w14:textId="77777777" w:rsidR="00A455B9" w:rsidRPr="00BC081A" w:rsidRDefault="00A455B9" w:rsidP="00A455B9">
            <w:pPr>
              <w:pStyle w:val="TableContext"/>
              <w:rPr>
                <w:noProof/>
                <w:lang w:val="en-CA"/>
              </w:rPr>
            </w:pPr>
            <w:r w:rsidRPr="00BC081A">
              <w:rPr>
                <w:noProof/>
              </w:rPr>
              <w:lastRenderedPageBreak/>
              <w:drawing>
                <wp:inline distT="0" distB="0" distL="0" distR="0" wp14:anchorId="78D84B1E" wp14:editId="1CC6BC9B">
                  <wp:extent cx="4572000" cy="2168912"/>
                  <wp:effectExtent l="0" t="0" r="2540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455B9" w:rsidRPr="00BC081A" w14:paraId="60A2B01C" w14:textId="77777777" w:rsidTr="00A455B9">
        <w:trPr>
          <w:trHeight w:val="2066"/>
          <w:jc w:val="center"/>
        </w:trPr>
        <w:tc>
          <w:tcPr>
            <w:tcW w:w="7533" w:type="dxa"/>
            <w:shd w:val="clear" w:color="auto" w:fill="auto"/>
            <w:vAlign w:val="center"/>
          </w:tcPr>
          <w:p w14:paraId="0A405251" w14:textId="77777777" w:rsidR="00A455B9" w:rsidRPr="00BC081A" w:rsidRDefault="00A455B9" w:rsidP="00A455B9">
            <w:pPr>
              <w:pStyle w:val="TableContext"/>
              <w:rPr>
                <w:noProof/>
                <w:lang w:val="en-CA"/>
              </w:rPr>
            </w:pPr>
            <w:r w:rsidRPr="00BC081A">
              <w:rPr>
                <w:noProof/>
              </w:rPr>
              <w:drawing>
                <wp:inline distT="0" distB="0" distL="0" distR="0" wp14:anchorId="0F3E3FC8" wp14:editId="62219B58">
                  <wp:extent cx="4572000" cy="2207941"/>
                  <wp:effectExtent l="0" t="0" r="25400" b="273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455B9" w:rsidRPr="00BC081A" w14:paraId="477E650D" w14:textId="77777777" w:rsidTr="00A455B9">
        <w:trPr>
          <w:trHeight w:val="2066"/>
          <w:jc w:val="center"/>
        </w:trPr>
        <w:tc>
          <w:tcPr>
            <w:tcW w:w="7533" w:type="dxa"/>
            <w:shd w:val="clear" w:color="auto" w:fill="auto"/>
            <w:vAlign w:val="center"/>
          </w:tcPr>
          <w:p w14:paraId="5C4B1556" w14:textId="77777777" w:rsidR="00A455B9" w:rsidRPr="00BC081A" w:rsidRDefault="00A455B9" w:rsidP="00A455B9">
            <w:pPr>
              <w:pStyle w:val="TableContext"/>
              <w:rPr>
                <w:lang w:val="en-CA"/>
              </w:rPr>
            </w:pPr>
            <w:r w:rsidRPr="00BC081A">
              <w:rPr>
                <w:noProof/>
              </w:rPr>
              <w:drawing>
                <wp:inline distT="0" distB="0" distL="0" distR="0" wp14:anchorId="3E5167F2" wp14:editId="540D74BF">
                  <wp:extent cx="4572000" cy="2269273"/>
                  <wp:effectExtent l="0" t="0" r="25400" b="1714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455B9" w:rsidRPr="00BC081A" w14:paraId="6DC16431" w14:textId="77777777" w:rsidTr="00A455B9">
        <w:trPr>
          <w:trHeight w:val="2009"/>
          <w:jc w:val="center"/>
        </w:trPr>
        <w:tc>
          <w:tcPr>
            <w:tcW w:w="7533" w:type="dxa"/>
            <w:shd w:val="clear" w:color="auto" w:fill="auto"/>
            <w:vAlign w:val="center"/>
          </w:tcPr>
          <w:p w14:paraId="56F77146" w14:textId="77777777" w:rsidR="00A455B9" w:rsidRPr="00BC081A" w:rsidRDefault="00A455B9" w:rsidP="00A455B9">
            <w:pPr>
              <w:pStyle w:val="TableContext"/>
              <w:jc w:val="left"/>
              <w:rPr>
                <w:lang w:val="en-CA"/>
              </w:rPr>
            </w:pPr>
            <w:r w:rsidRPr="00BC081A">
              <w:rPr>
                <w:noProof/>
              </w:rPr>
              <w:lastRenderedPageBreak/>
              <w:drawing>
                <wp:inline distT="0" distB="0" distL="0" distR="0" wp14:anchorId="2344A851" wp14:editId="1BF9F89B">
                  <wp:extent cx="4572000" cy="2168912"/>
                  <wp:effectExtent l="0" t="0" r="25400" b="158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2F2D9CDE" w14:textId="77777777" w:rsidR="00A455B9" w:rsidRPr="00BC081A" w:rsidRDefault="00A455B9" w:rsidP="00C92D78">
      <w:pPr>
        <w:pStyle w:val="Caption"/>
      </w:pPr>
      <w:bookmarkStart w:id="151" w:name="_Ref275207274"/>
      <w:bookmarkStart w:id="152" w:name="_Toc278912306"/>
      <w:proofErr w:type="gramStart"/>
      <w:r w:rsidRPr="00BC081A">
        <w:t xml:space="preserve">Figure </w:t>
      </w:r>
      <w:r w:rsidR="007804FF">
        <w:fldChar w:fldCharType="begin"/>
      </w:r>
      <w:r w:rsidR="007804FF">
        <w:instrText xml:space="preserve"> SEQ Figure \* ARABIC </w:instrText>
      </w:r>
      <w:r w:rsidR="007804FF">
        <w:fldChar w:fldCharType="separate"/>
      </w:r>
      <w:r w:rsidR="008C71FB">
        <w:rPr>
          <w:noProof/>
        </w:rPr>
        <w:t>16</w:t>
      </w:r>
      <w:r w:rsidR="007804FF">
        <w:rPr>
          <w:noProof/>
        </w:rPr>
        <w:fldChar w:fldCharType="end"/>
      </w:r>
      <w:bookmarkEnd w:id="151"/>
      <w:r w:rsidRPr="00BC081A">
        <w:t>.</w:t>
      </w:r>
      <w:proofErr w:type="gramEnd"/>
      <w:r w:rsidRPr="00BC081A">
        <w:t xml:space="preserve"> Average Values for Each Team at T1, T2, and T3 Based on Their Rankings</w:t>
      </w:r>
      <w:bookmarkEnd w:id="152"/>
    </w:p>
    <w:p w14:paraId="03E7CE3D" w14:textId="77777777" w:rsidR="00A455B9" w:rsidRPr="00BC081A" w:rsidRDefault="00A455B9" w:rsidP="00A455B9">
      <w:r w:rsidRPr="00BC081A">
        <w:t>In sum, the longitudinal study shows that at the end of competition, students would have increased their skills, and therefore achieved a better balance of skill and challenge in the game. However, because of the negative emotions result</w:t>
      </w:r>
      <w:r>
        <w:t>ing</w:t>
      </w:r>
      <w:r w:rsidRPr="00BC081A">
        <w:t xml:space="preserve"> from losing, the bottom ranked teams may feel less satisfied, less skilful, and less enjoy</w:t>
      </w:r>
      <w:r>
        <w:t>ment</w:t>
      </w:r>
      <w:r w:rsidRPr="00BC081A">
        <w:t xml:space="preserve"> with the game. On the other hand, at the beginning of the game</w:t>
      </w:r>
      <w:r>
        <w:t>,</w:t>
      </w:r>
      <w:r w:rsidRPr="00BC081A">
        <w:t xml:space="preserve"> players are not aware of their skill level relative to their opponents and cannot form a proper judgement of the state of the game. As a result, the ideal time for asking the participants about their (Flow) experience through the gameplay is midway through the competition. </w:t>
      </w:r>
    </w:p>
    <w:p w14:paraId="6030C507" w14:textId="22540AD0" w:rsidR="00171A70" w:rsidRPr="00A455B9" w:rsidRDefault="00A455B9" w:rsidP="00A455B9">
      <w:r w:rsidRPr="00BC081A">
        <w:t xml:space="preserve">The longitudinal </w:t>
      </w:r>
      <w:r>
        <w:t xml:space="preserve">survey </w:t>
      </w:r>
      <w:r w:rsidRPr="00BC081A">
        <w:t xml:space="preserve">study also enabled us to perform some preliminary examination of the relationships between the antecedents of Flow and itself. The results showed that the previously developed measure of “balance of skill and challenge” does not properly measure the construct, as it has no effect on Flow beyond the effect of skill. Furthermore, this study showed that Flow </w:t>
      </w:r>
      <w:proofErr w:type="gramStart"/>
      <w:r w:rsidRPr="00BC081A">
        <w:t>can</w:t>
      </w:r>
      <w:proofErr w:type="gramEnd"/>
      <w:r w:rsidRPr="00BC081A">
        <w:t xml:space="preserve"> be measured as a multidimensional construct. </w:t>
      </w:r>
      <w:r w:rsidR="00B40F44">
        <w:t>In this research</w:t>
      </w:r>
      <w:r w:rsidRPr="00BC081A">
        <w:t>, Control has a very weak relationship with Flow and lowers its reliability significantly. Thus, Control was deemed to be an inappropriate construct in this context.</w:t>
      </w:r>
      <w:r w:rsidR="00171A70">
        <w:br w:type="page"/>
      </w:r>
    </w:p>
    <w:p w14:paraId="37765E26" w14:textId="5A8C86F3" w:rsidR="002D18A6" w:rsidRPr="00BC081A" w:rsidRDefault="00757325" w:rsidP="00536F6A">
      <w:pPr>
        <w:pStyle w:val="AppendixHeading"/>
        <w:numPr>
          <w:ilvl w:val="0"/>
          <w:numId w:val="30"/>
        </w:numPr>
      </w:pPr>
      <w:r w:rsidRPr="00BC081A">
        <w:lastRenderedPageBreak/>
        <w:t>Main Study’s Experiment Documents</w:t>
      </w:r>
    </w:p>
    <w:p w14:paraId="53069804" w14:textId="77777777" w:rsidR="002D18A6" w:rsidRPr="00BC081A" w:rsidRDefault="002D18A6" w:rsidP="008312E7">
      <w:pPr>
        <w:pStyle w:val="Heading2"/>
        <w:numPr>
          <w:ilvl w:val="0"/>
          <w:numId w:val="0"/>
        </w:numPr>
        <w:ind w:left="576"/>
      </w:pPr>
      <w:bookmarkStart w:id="153" w:name="_Ref264685964"/>
      <w:bookmarkStart w:id="154" w:name="_Toc275209865"/>
      <w:r w:rsidRPr="00BC081A">
        <w:t>Experiment Guideline</w:t>
      </w:r>
      <w:bookmarkEnd w:id="153"/>
      <w:bookmarkEnd w:id="154"/>
    </w:p>
    <w:p w14:paraId="3F02C4D8" w14:textId="77777777" w:rsidR="002D18A6" w:rsidRPr="00BC081A" w:rsidRDefault="002D18A6" w:rsidP="002D18A6">
      <w:pPr>
        <w:ind w:firstLine="0"/>
      </w:pPr>
      <w:r w:rsidRPr="00BC081A">
        <w:t>These are the steps that each facilitator should follow in the experiments:</w:t>
      </w:r>
    </w:p>
    <w:p w14:paraId="684661D1" w14:textId="77777777" w:rsidR="002D18A6" w:rsidRPr="00BC081A" w:rsidRDefault="002D18A6" w:rsidP="002D18A6">
      <w:pPr>
        <w:ind w:firstLine="0"/>
      </w:pPr>
      <w:r w:rsidRPr="00BC081A">
        <w:rPr>
          <w:b/>
        </w:rPr>
        <w:t>Before the experiment:</w:t>
      </w:r>
    </w:p>
    <w:p w14:paraId="6F237679" w14:textId="77777777" w:rsidR="002D18A6" w:rsidRPr="00BC081A" w:rsidRDefault="002D18A6" w:rsidP="002D18A6">
      <w:pPr>
        <w:pStyle w:val="ListParagraph"/>
        <w:numPr>
          <w:ilvl w:val="0"/>
          <w:numId w:val="2"/>
        </w:numPr>
        <w:spacing w:after="120"/>
        <w:jc w:val="both"/>
      </w:pPr>
      <w:r w:rsidRPr="00BC081A">
        <w:t>First check with the other facilitator what mode of the game (no competition/playing by themselves, playing against computer, and playing against a person) the participants are going to be assigned to.</w:t>
      </w:r>
    </w:p>
    <w:p w14:paraId="3E850135" w14:textId="77777777" w:rsidR="002D18A6" w:rsidRPr="00BC081A" w:rsidRDefault="002D18A6" w:rsidP="002D18A6">
      <w:pPr>
        <w:pStyle w:val="ListParagraph"/>
        <w:numPr>
          <w:ilvl w:val="0"/>
          <w:numId w:val="2"/>
        </w:numPr>
        <w:spacing w:after="120"/>
        <w:jc w:val="both"/>
      </w:pPr>
      <w:r w:rsidRPr="00BC081A">
        <w:t>Sync both devices (Q-sensors for measuring skin responses) with the computers they are using with.</w:t>
      </w:r>
    </w:p>
    <w:p w14:paraId="0F8C34D6" w14:textId="77777777" w:rsidR="002D18A6" w:rsidRPr="00BC081A" w:rsidRDefault="002D18A6" w:rsidP="002D18A6">
      <w:pPr>
        <w:pStyle w:val="ListParagraph"/>
        <w:numPr>
          <w:ilvl w:val="0"/>
          <w:numId w:val="2"/>
        </w:numPr>
        <w:spacing w:after="120"/>
        <w:jc w:val="both"/>
      </w:pPr>
      <w:r w:rsidRPr="00BC081A">
        <w:t>If the mode is competing with someone, only one side should be logged in with Sepandar’s universal username (that is the same for everyone and does not identify participants) and the other side should have the link to follow.</w:t>
      </w:r>
    </w:p>
    <w:p w14:paraId="10D39C69" w14:textId="77777777" w:rsidR="002D18A6" w:rsidRPr="00BC081A" w:rsidRDefault="002D18A6" w:rsidP="002D18A6">
      <w:pPr>
        <w:pStyle w:val="ListParagraph"/>
        <w:numPr>
          <w:ilvl w:val="0"/>
          <w:numId w:val="2"/>
        </w:numPr>
        <w:spacing w:after="120"/>
        <w:jc w:val="both"/>
      </w:pPr>
      <w:r w:rsidRPr="00BC081A">
        <w:t>Have a notepad for taking notes (taking as many notes as possible can be useful).  Especially if something goes wrong or forget to press the marker button on the Q-sensor.</w:t>
      </w:r>
    </w:p>
    <w:p w14:paraId="21241122" w14:textId="77777777" w:rsidR="002D18A6" w:rsidRPr="00BC081A" w:rsidRDefault="002D18A6" w:rsidP="002D18A6">
      <w:pPr>
        <w:pStyle w:val="ListParagraph"/>
        <w:numPr>
          <w:ilvl w:val="0"/>
          <w:numId w:val="2"/>
        </w:numPr>
        <w:spacing w:after="120"/>
        <w:jc w:val="both"/>
      </w:pPr>
      <w:r w:rsidRPr="00BC081A">
        <w:t>Have your cellphone in reach to communicate with the other facilitator.</w:t>
      </w:r>
    </w:p>
    <w:p w14:paraId="7FB20689" w14:textId="77777777" w:rsidR="002D18A6" w:rsidRPr="00BC081A" w:rsidRDefault="002D18A6" w:rsidP="002D18A6">
      <w:pPr>
        <w:pStyle w:val="ListParagraph"/>
        <w:numPr>
          <w:ilvl w:val="0"/>
          <w:numId w:val="2"/>
        </w:numPr>
        <w:spacing w:after="120"/>
        <w:jc w:val="both"/>
      </w:pPr>
      <w:r w:rsidRPr="00BC081A">
        <w:t xml:space="preserve">Make sure both devices have the page for racing each other open. </w:t>
      </w:r>
    </w:p>
    <w:p w14:paraId="6BB1B705" w14:textId="77777777" w:rsidR="002D18A6" w:rsidRPr="00BC081A" w:rsidRDefault="002D18A6" w:rsidP="002D18A6">
      <w:pPr>
        <w:pStyle w:val="ListParagraph"/>
        <w:numPr>
          <w:ilvl w:val="0"/>
          <w:numId w:val="2"/>
        </w:numPr>
        <w:spacing w:after="120"/>
        <w:jc w:val="both"/>
        <w:rPr>
          <w:b/>
        </w:rPr>
      </w:pPr>
      <w:r w:rsidRPr="00BC081A">
        <w:rPr>
          <w:b/>
        </w:rPr>
        <w:t>Make sure the recording application is running and all the survey pages and the game website are open.</w:t>
      </w:r>
    </w:p>
    <w:p w14:paraId="1BC72165" w14:textId="77777777" w:rsidR="002D18A6" w:rsidRPr="00BC081A" w:rsidRDefault="002D18A6" w:rsidP="002D18A6">
      <w:pPr>
        <w:pStyle w:val="ListParagraph"/>
        <w:numPr>
          <w:ilvl w:val="0"/>
          <w:numId w:val="2"/>
        </w:numPr>
        <w:spacing w:after="120"/>
        <w:jc w:val="both"/>
      </w:pPr>
      <w:r w:rsidRPr="00BC081A">
        <w:t>Have an ID for each participant. For the mini surveys, besides the ID take note of the round of the game.</w:t>
      </w:r>
    </w:p>
    <w:p w14:paraId="4158ECCB" w14:textId="77777777" w:rsidR="002D18A6" w:rsidRPr="00BC081A" w:rsidRDefault="002D18A6" w:rsidP="002D18A6">
      <w:pPr>
        <w:pStyle w:val="ListParagraph"/>
        <w:numPr>
          <w:ilvl w:val="0"/>
          <w:numId w:val="2"/>
        </w:numPr>
        <w:spacing w:after="120"/>
        <w:jc w:val="both"/>
      </w:pPr>
      <w:r w:rsidRPr="00BC081A">
        <w:t xml:space="preserve">When both the participants are in the separate rooms (check via cellphone with the other facilitator), start the experiment. </w:t>
      </w:r>
    </w:p>
    <w:p w14:paraId="0B80FE11" w14:textId="77777777" w:rsidR="002D18A6" w:rsidRPr="00BC081A" w:rsidRDefault="002D18A6" w:rsidP="002D18A6">
      <w:pPr>
        <w:pStyle w:val="ListParagraph"/>
        <w:numPr>
          <w:ilvl w:val="0"/>
          <w:numId w:val="2"/>
        </w:numPr>
        <w:spacing w:after="120"/>
        <w:jc w:val="both"/>
      </w:pPr>
      <w:r w:rsidRPr="00BC081A">
        <w:lastRenderedPageBreak/>
        <w:t xml:space="preserve">During the experiment take note of the length of the text in each game (how many lines it is) and </w:t>
      </w:r>
      <w:r w:rsidRPr="00BC081A">
        <w:rPr>
          <w:b/>
        </w:rPr>
        <w:t>WPM</w:t>
      </w:r>
      <w:r w:rsidRPr="00BC081A">
        <w:t xml:space="preserve"> (word-per minute; used for measuring game scores) of the participants at the end of each round.</w:t>
      </w:r>
    </w:p>
    <w:p w14:paraId="6E9F8F3D" w14:textId="77777777" w:rsidR="002D18A6" w:rsidRPr="00BC081A" w:rsidRDefault="002D18A6" w:rsidP="002D18A6">
      <w:pPr>
        <w:pStyle w:val="ListParagraph"/>
        <w:numPr>
          <w:ilvl w:val="0"/>
          <w:numId w:val="2"/>
        </w:numPr>
        <w:spacing w:after="120"/>
        <w:jc w:val="both"/>
      </w:pPr>
      <w:r w:rsidRPr="00BC081A">
        <w:t>Note the general mood/condition of the participant (stressed, relaxed, has a cold, etc.)</w:t>
      </w:r>
    </w:p>
    <w:p w14:paraId="7A4718C8" w14:textId="77777777" w:rsidR="002D18A6" w:rsidRPr="00BC081A" w:rsidRDefault="002D18A6" w:rsidP="002D18A6">
      <w:pPr>
        <w:rPr>
          <w:b/>
        </w:rPr>
      </w:pPr>
      <w:r w:rsidRPr="00BC081A">
        <w:rPr>
          <w:b/>
        </w:rPr>
        <w:t>Experiment – Intro:</w:t>
      </w:r>
    </w:p>
    <w:p w14:paraId="148EBA27" w14:textId="77777777" w:rsidR="002D18A6" w:rsidRPr="00BC081A" w:rsidRDefault="002D18A6" w:rsidP="00536F6A">
      <w:pPr>
        <w:pStyle w:val="ListParagraph"/>
        <w:numPr>
          <w:ilvl w:val="0"/>
          <w:numId w:val="24"/>
        </w:numPr>
        <w:spacing w:after="120"/>
        <w:jc w:val="both"/>
        <w:rPr>
          <w:b/>
        </w:rPr>
      </w:pPr>
      <w:r w:rsidRPr="00BC081A">
        <w:rPr>
          <w:b/>
        </w:rPr>
        <w:t>Start the screen-recording app to record the screen (Before the participant comes in the room).</w:t>
      </w:r>
    </w:p>
    <w:p w14:paraId="428829A2" w14:textId="77777777" w:rsidR="002D18A6" w:rsidRPr="00BC081A" w:rsidRDefault="002D18A6" w:rsidP="00536F6A">
      <w:pPr>
        <w:pStyle w:val="ListParagraph"/>
        <w:numPr>
          <w:ilvl w:val="0"/>
          <w:numId w:val="24"/>
        </w:numPr>
        <w:spacing w:after="120"/>
        <w:jc w:val="both"/>
      </w:pPr>
      <w:r w:rsidRPr="00BC081A">
        <w:t xml:space="preserve">Welcome the participants and thank them for coming. </w:t>
      </w:r>
    </w:p>
    <w:p w14:paraId="7CB1FFEB" w14:textId="77777777" w:rsidR="002D18A6" w:rsidRPr="00BC081A" w:rsidRDefault="002D18A6" w:rsidP="00536F6A">
      <w:pPr>
        <w:pStyle w:val="ListParagraph"/>
        <w:numPr>
          <w:ilvl w:val="0"/>
          <w:numId w:val="24"/>
        </w:numPr>
        <w:spacing w:after="120"/>
        <w:jc w:val="both"/>
      </w:pPr>
      <w:r w:rsidRPr="00BC081A">
        <w:t xml:space="preserve">Consent form is given (2min). Remind them that if they feel they have to leave the experiment at any time they can simply let you know and leave. </w:t>
      </w:r>
    </w:p>
    <w:p w14:paraId="53B3D2EE" w14:textId="77777777" w:rsidR="002D18A6" w:rsidRPr="00BC081A" w:rsidRDefault="002D18A6" w:rsidP="00536F6A">
      <w:pPr>
        <w:pStyle w:val="ListParagraph"/>
        <w:numPr>
          <w:ilvl w:val="0"/>
          <w:numId w:val="24"/>
        </w:numPr>
        <w:spacing w:after="120"/>
        <w:jc w:val="both"/>
      </w:pPr>
      <w:r w:rsidRPr="00BC081A">
        <w:t>Brief about using the Q-Sensor device (preferably while fitting the device), then the device is fitted to their arms. (1min)</w:t>
      </w:r>
    </w:p>
    <w:p w14:paraId="34AFD857" w14:textId="77777777" w:rsidR="002D18A6" w:rsidRPr="00BC081A" w:rsidRDefault="002D18A6" w:rsidP="00536F6A">
      <w:pPr>
        <w:pStyle w:val="ListParagraph"/>
        <w:numPr>
          <w:ilvl w:val="1"/>
          <w:numId w:val="24"/>
        </w:numPr>
        <w:spacing w:after="120"/>
        <w:jc w:val="both"/>
      </w:pPr>
      <w:r w:rsidRPr="00BC081A">
        <w:t xml:space="preserve">Briefing script: “Please let me put this device around your arms. This device, as briefly described in the consent form, is used to measure your excitement/arousal level. </w:t>
      </w:r>
      <w:r w:rsidRPr="00BC081A">
        <w:rPr>
          <w:u w:val="single"/>
        </w:rPr>
        <w:t>The signals are recorded on the device to analyze later, so we cannot monitor the data live.</w:t>
      </w:r>
      <w:r w:rsidRPr="00BC081A">
        <w:t xml:space="preserve"> In a minute, we will give you a short article to read that would more precisely explain how this device works.”</w:t>
      </w:r>
    </w:p>
    <w:p w14:paraId="590B6050" w14:textId="77777777" w:rsidR="002D18A6" w:rsidRPr="00BC081A" w:rsidRDefault="002D18A6" w:rsidP="00536F6A">
      <w:pPr>
        <w:pStyle w:val="ListParagraph"/>
        <w:numPr>
          <w:ilvl w:val="0"/>
          <w:numId w:val="24"/>
        </w:numPr>
        <w:spacing w:after="120"/>
        <w:jc w:val="both"/>
      </w:pPr>
      <w:r w:rsidRPr="00BC081A">
        <w:t>Press the marker button twice. Also explain what is the purpose of the marker and ask them to press it themselves during the experiment.</w:t>
      </w:r>
    </w:p>
    <w:p w14:paraId="247ACDAF" w14:textId="06A5E819" w:rsidR="002D18A6" w:rsidRPr="00BC081A" w:rsidRDefault="002D18A6" w:rsidP="00536F6A">
      <w:pPr>
        <w:pStyle w:val="ListParagraph"/>
        <w:numPr>
          <w:ilvl w:val="1"/>
          <w:numId w:val="24"/>
        </w:numPr>
        <w:spacing w:after="120"/>
        <w:jc w:val="both"/>
      </w:pPr>
      <w:r w:rsidRPr="00BC081A">
        <w:t xml:space="preserve">Briefing script: “When we press this button, it adds a marker on the signal in </w:t>
      </w:r>
      <w:r w:rsidR="009C0EC9">
        <w:t>the collected</w:t>
      </w:r>
      <w:r w:rsidRPr="00BC081A">
        <w:t xml:space="preserve"> data in order to identify what point during the experiment we are. We will ask you to press the marker later during the experiment, before and after each round of the game.” </w:t>
      </w:r>
    </w:p>
    <w:p w14:paraId="16316647" w14:textId="77777777" w:rsidR="002D18A6" w:rsidRPr="00BC081A" w:rsidRDefault="002D18A6" w:rsidP="00536F6A">
      <w:pPr>
        <w:pStyle w:val="ListParagraph"/>
        <w:numPr>
          <w:ilvl w:val="0"/>
          <w:numId w:val="24"/>
        </w:numPr>
        <w:spacing w:after="120"/>
        <w:jc w:val="both"/>
      </w:pPr>
      <w:r w:rsidRPr="00BC081A">
        <w:lastRenderedPageBreak/>
        <w:t>Give the participants the first part of the survey on demographics. (~2min)</w:t>
      </w:r>
    </w:p>
    <w:p w14:paraId="002D7203" w14:textId="77777777" w:rsidR="002D18A6" w:rsidRPr="00BC081A" w:rsidRDefault="002D18A6" w:rsidP="00536F6A">
      <w:pPr>
        <w:pStyle w:val="ListParagraph"/>
        <w:numPr>
          <w:ilvl w:val="0"/>
          <w:numId w:val="24"/>
        </w:numPr>
        <w:spacing w:after="120"/>
        <w:jc w:val="both"/>
      </w:pPr>
      <w:r w:rsidRPr="00BC081A">
        <w:t>Ask the participants to read the article on EDA and theory just for 10 minutes (10min).</w:t>
      </w:r>
    </w:p>
    <w:p w14:paraId="6A7B83C0" w14:textId="77777777" w:rsidR="002D18A6" w:rsidRPr="00BC081A" w:rsidRDefault="002D18A6" w:rsidP="00536F6A">
      <w:pPr>
        <w:pStyle w:val="ListParagraph"/>
        <w:numPr>
          <w:ilvl w:val="1"/>
          <w:numId w:val="24"/>
        </w:numPr>
        <w:spacing w:after="120"/>
        <w:jc w:val="both"/>
      </w:pPr>
      <w:r w:rsidRPr="00BC081A">
        <w:t xml:space="preserve">Briefing script: “This device needs about 10 minutes to warm up and pick up the right signals. Therefore, we ask you to please spend about 10 minutes reading these articles that are related to the device and some other random articles.” </w:t>
      </w:r>
    </w:p>
    <w:p w14:paraId="1F7A5277" w14:textId="77777777" w:rsidR="002D18A6" w:rsidRPr="00BC081A" w:rsidRDefault="002D18A6" w:rsidP="00536F6A">
      <w:pPr>
        <w:pStyle w:val="ListParagraph"/>
        <w:numPr>
          <w:ilvl w:val="0"/>
          <w:numId w:val="24"/>
        </w:numPr>
        <w:spacing w:after="120"/>
        <w:jc w:val="both"/>
      </w:pPr>
      <w:r w:rsidRPr="00BC081A">
        <w:t>Brief them about the experiment.</w:t>
      </w:r>
    </w:p>
    <w:p w14:paraId="32BA6ECE" w14:textId="77777777" w:rsidR="002D18A6" w:rsidRPr="00BC081A" w:rsidRDefault="002D18A6" w:rsidP="00536F6A">
      <w:pPr>
        <w:pStyle w:val="ListParagraph"/>
        <w:numPr>
          <w:ilvl w:val="1"/>
          <w:numId w:val="24"/>
        </w:numPr>
        <w:spacing w:after="120"/>
        <w:jc w:val="both"/>
      </w:pPr>
      <w:r w:rsidRPr="00BC081A">
        <w:t xml:space="preserve">Briefing script: “In this experiment, we are going to give you a small typing game to play for 5 rounds. Before that, you have two rounds of practice to learn how to play the game." </w:t>
      </w:r>
    </w:p>
    <w:p w14:paraId="3539AAEE" w14:textId="77777777" w:rsidR="002D18A6" w:rsidRPr="00BC081A" w:rsidRDefault="002D18A6" w:rsidP="00536F6A">
      <w:pPr>
        <w:pStyle w:val="ListParagraph"/>
        <w:numPr>
          <w:ilvl w:val="0"/>
          <w:numId w:val="24"/>
        </w:numPr>
        <w:spacing w:after="120"/>
        <w:jc w:val="both"/>
      </w:pPr>
      <w:r w:rsidRPr="00BC081A">
        <w:t xml:space="preserve">Show them the options of </w:t>
      </w:r>
      <w:proofErr w:type="spellStart"/>
      <w:r w:rsidRPr="00BC081A">
        <w:t>typeracer</w:t>
      </w:r>
      <w:proofErr w:type="spellEnd"/>
      <w:r w:rsidRPr="00BC081A">
        <w:t xml:space="preserve"> (racing real world, practice, racing with friends) and briefly explain what each does.</w:t>
      </w:r>
    </w:p>
    <w:p w14:paraId="005F3AFD" w14:textId="77777777" w:rsidR="002D18A6" w:rsidRPr="00BC081A" w:rsidRDefault="002D18A6" w:rsidP="00536F6A">
      <w:pPr>
        <w:pStyle w:val="ListParagraph"/>
        <w:numPr>
          <w:ilvl w:val="0"/>
          <w:numId w:val="24"/>
        </w:numPr>
        <w:spacing w:after="120"/>
        <w:jc w:val="both"/>
      </w:pPr>
      <w:r w:rsidRPr="00BC081A">
        <w:t xml:space="preserve">Explain how the game works clearly by going to “practice” option. Show them the </w:t>
      </w:r>
      <w:r w:rsidRPr="00BC081A">
        <w:rPr>
          <w:u w:val="single"/>
        </w:rPr>
        <w:t xml:space="preserve">car </w:t>
      </w:r>
      <w:r w:rsidRPr="00BC081A">
        <w:t xml:space="preserve">and the score (explain </w:t>
      </w:r>
      <w:r w:rsidRPr="00BC081A">
        <w:rPr>
          <w:u w:val="single"/>
        </w:rPr>
        <w:t>WPM</w:t>
      </w:r>
      <w:r w:rsidRPr="00BC081A">
        <w:t xml:space="preserve">), and explain that they have to type exactly the sentence and avoid getting red text. </w:t>
      </w:r>
    </w:p>
    <w:p w14:paraId="6066BD2C" w14:textId="77777777" w:rsidR="002D18A6" w:rsidRPr="00BC081A" w:rsidRDefault="002D18A6" w:rsidP="00536F6A">
      <w:pPr>
        <w:pStyle w:val="ListParagraph"/>
        <w:numPr>
          <w:ilvl w:val="0"/>
          <w:numId w:val="24"/>
        </w:numPr>
        <w:spacing w:after="120"/>
        <w:jc w:val="both"/>
      </w:pPr>
      <w:r w:rsidRPr="00BC081A">
        <w:t xml:space="preserve">Let them play two rounds on their own. </w:t>
      </w:r>
    </w:p>
    <w:p w14:paraId="607422D7" w14:textId="77777777" w:rsidR="002D18A6" w:rsidRPr="00BC081A" w:rsidRDefault="002D18A6" w:rsidP="002D18A6">
      <w:pPr>
        <w:ind w:firstLine="0"/>
      </w:pPr>
    </w:p>
    <w:p w14:paraId="626982DF" w14:textId="77777777" w:rsidR="002D18A6" w:rsidRPr="00BC081A" w:rsidRDefault="002D18A6" w:rsidP="002D18A6">
      <w:pPr>
        <w:ind w:firstLine="0"/>
      </w:pPr>
      <w:r w:rsidRPr="00BC081A">
        <w:t xml:space="preserve">Based on the randomization, each participant has been assigned to one of the following treatments. Follow the instruction for the corresponding treatment. </w:t>
      </w:r>
    </w:p>
    <w:p w14:paraId="04CE8D04" w14:textId="77777777" w:rsidR="002D18A6" w:rsidRPr="00BC081A" w:rsidRDefault="002D18A6" w:rsidP="002D18A6">
      <w:pPr>
        <w:ind w:firstLine="0"/>
        <w:rPr>
          <w:b/>
        </w:rPr>
      </w:pPr>
    </w:p>
    <w:p w14:paraId="03048A6E" w14:textId="77777777" w:rsidR="002D18A6" w:rsidRPr="00BC081A" w:rsidRDefault="002D18A6" w:rsidP="002D18A6">
      <w:pPr>
        <w:ind w:firstLine="0"/>
        <w:rPr>
          <w:b/>
        </w:rPr>
      </w:pPr>
      <w:r w:rsidRPr="00BC081A">
        <w:rPr>
          <w:b/>
        </w:rPr>
        <w:t>Experiment – Treatment A: No Competition (competing against self)</w:t>
      </w:r>
    </w:p>
    <w:p w14:paraId="603F455F" w14:textId="77777777" w:rsidR="002D18A6" w:rsidRPr="00BC081A" w:rsidRDefault="002D18A6" w:rsidP="00536F6A">
      <w:pPr>
        <w:pStyle w:val="ListParagraph"/>
        <w:numPr>
          <w:ilvl w:val="0"/>
          <w:numId w:val="25"/>
        </w:numPr>
        <w:spacing w:after="120"/>
        <w:jc w:val="both"/>
      </w:pPr>
      <w:r w:rsidRPr="00BC081A">
        <w:t>Brief them about the process of this mode.</w:t>
      </w:r>
    </w:p>
    <w:p w14:paraId="76553C2E" w14:textId="77777777" w:rsidR="002D18A6" w:rsidRPr="00BC081A" w:rsidRDefault="002D18A6" w:rsidP="00536F6A">
      <w:pPr>
        <w:pStyle w:val="ListParagraph"/>
        <w:numPr>
          <w:ilvl w:val="1"/>
          <w:numId w:val="25"/>
        </w:numPr>
        <w:spacing w:after="120"/>
        <w:jc w:val="both"/>
      </w:pPr>
      <w:r w:rsidRPr="00BC081A">
        <w:lastRenderedPageBreak/>
        <w:t>Briefing script: “in this mode of gameplay, you will play by yourself like the practice rounds for another 5 rounds, and we will ask you to kindly fill a short survey after each time you play the game, and once a longer survey.”</w:t>
      </w:r>
    </w:p>
    <w:p w14:paraId="3EF2AC6B" w14:textId="77777777" w:rsidR="002D18A6" w:rsidRPr="00BC081A" w:rsidRDefault="002D18A6" w:rsidP="00536F6A">
      <w:pPr>
        <w:pStyle w:val="ListParagraph"/>
        <w:numPr>
          <w:ilvl w:val="0"/>
          <w:numId w:val="25"/>
        </w:numPr>
        <w:spacing w:after="120"/>
        <w:jc w:val="both"/>
      </w:pPr>
      <w:r w:rsidRPr="00BC081A">
        <w:t>Let them play the single player (competing against themselves that is “practice” option in the game) mode for 5 rounds. After each round give them the mini survey (Appendix-C – Part 2) to complete. (~10min: for the 5 rounds of gameplay and 5 mini surveys)</w:t>
      </w:r>
    </w:p>
    <w:p w14:paraId="7ECD5A83" w14:textId="77777777" w:rsidR="002D18A6" w:rsidRPr="00BC081A" w:rsidRDefault="002D18A6" w:rsidP="00536F6A">
      <w:pPr>
        <w:pStyle w:val="ListParagraph"/>
        <w:numPr>
          <w:ilvl w:val="1"/>
          <w:numId w:val="25"/>
        </w:numPr>
        <w:spacing w:after="120"/>
        <w:jc w:val="both"/>
      </w:pPr>
      <w:r w:rsidRPr="00BC081A">
        <w:t xml:space="preserve">Give the mini survey and </w:t>
      </w:r>
      <w:r w:rsidRPr="00BC081A">
        <w:rPr>
          <w:u w:val="single"/>
        </w:rPr>
        <w:t xml:space="preserve">the complete survey 1 </w:t>
      </w:r>
      <w:r w:rsidRPr="00BC081A">
        <w:t>(Appendix-C – Part 3) to fill after the 3</w:t>
      </w:r>
      <w:r w:rsidRPr="00BC081A">
        <w:rPr>
          <w:vertAlign w:val="superscript"/>
        </w:rPr>
        <w:t>rd</w:t>
      </w:r>
      <w:r w:rsidRPr="00BC081A">
        <w:t xml:space="preserve"> round. (~10min: to fill out the complete survey)</w:t>
      </w:r>
    </w:p>
    <w:p w14:paraId="27164508" w14:textId="77777777" w:rsidR="002D18A6" w:rsidRPr="00BC081A" w:rsidRDefault="002D18A6" w:rsidP="002D18A6">
      <w:pPr>
        <w:ind w:firstLine="0"/>
        <w:rPr>
          <w:b/>
        </w:rPr>
      </w:pPr>
    </w:p>
    <w:p w14:paraId="1C631E0C" w14:textId="77777777" w:rsidR="002D18A6" w:rsidRPr="00BC081A" w:rsidRDefault="002D18A6" w:rsidP="002D18A6">
      <w:pPr>
        <w:ind w:firstLine="0"/>
        <w:rPr>
          <w:b/>
        </w:rPr>
      </w:pPr>
      <w:r w:rsidRPr="00BC081A">
        <w:rPr>
          <w:b/>
        </w:rPr>
        <w:t>Experiment – Treatment B: Competing against computer</w:t>
      </w:r>
    </w:p>
    <w:p w14:paraId="2184798B" w14:textId="77777777" w:rsidR="002D18A6" w:rsidRPr="00BC081A" w:rsidRDefault="002D18A6" w:rsidP="002D18A6">
      <w:pPr>
        <w:pStyle w:val="ListParagraph"/>
        <w:numPr>
          <w:ilvl w:val="0"/>
          <w:numId w:val="7"/>
        </w:numPr>
        <w:spacing w:after="120"/>
        <w:jc w:val="both"/>
      </w:pPr>
      <w:r w:rsidRPr="00BC081A">
        <w:t>Brief them about the process of this mode.</w:t>
      </w:r>
    </w:p>
    <w:p w14:paraId="72379266" w14:textId="77777777" w:rsidR="002D18A6" w:rsidRPr="00BC081A" w:rsidRDefault="002D18A6" w:rsidP="002D18A6">
      <w:pPr>
        <w:pStyle w:val="ListParagraph"/>
        <w:numPr>
          <w:ilvl w:val="1"/>
          <w:numId w:val="7"/>
        </w:numPr>
        <w:spacing w:after="120"/>
        <w:jc w:val="both"/>
      </w:pPr>
      <w:r w:rsidRPr="00BC081A">
        <w:t>Briefing script: “in this experiment, you will play against the computer for 5 rounds, and we will ask you to kindly fill a short survey after each time you play the game, and once a longer survey.”</w:t>
      </w:r>
    </w:p>
    <w:p w14:paraId="58F84924" w14:textId="77777777" w:rsidR="002D18A6" w:rsidRPr="00BC081A" w:rsidRDefault="002D18A6" w:rsidP="002D18A6">
      <w:pPr>
        <w:pStyle w:val="ListParagraph"/>
        <w:numPr>
          <w:ilvl w:val="0"/>
          <w:numId w:val="7"/>
        </w:numPr>
        <w:spacing w:after="120"/>
        <w:jc w:val="both"/>
      </w:pPr>
      <w:r w:rsidRPr="00BC081A">
        <w:t xml:space="preserve">Set the competition against computer mode for them to play for 5 rounds. </w:t>
      </w:r>
    </w:p>
    <w:p w14:paraId="481ACE1B" w14:textId="77777777" w:rsidR="002D18A6" w:rsidRPr="00BC081A" w:rsidRDefault="002D18A6" w:rsidP="002D18A6">
      <w:pPr>
        <w:pStyle w:val="ListParagraph"/>
        <w:numPr>
          <w:ilvl w:val="1"/>
          <w:numId w:val="7"/>
        </w:numPr>
        <w:spacing w:after="120"/>
        <w:jc w:val="both"/>
      </w:pPr>
      <w:r w:rsidRPr="00BC081A">
        <w:t xml:space="preserve">On one side, the first facilitator with the participant sets the “race your friends” option for the participant. The other side starts the computer simulator to run against the person, based on his/her typing speed. Make sure to test this option beforehand. This can perhaps be done via one facilitator only. </w:t>
      </w:r>
    </w:p>
    <w:p w14:paraId="4761CE74" w14:textId="77777777" w:rsidR="002D18A6" w:rsidRPr="00BC081A" w:rsidRDefault="002D18A6" w:rsidP="002D18A6">
      <w:pPr>
        <w:pStyle w:val="ListParagraph"/>
        <w:numPr>
          <w:ilvl w:val="0"/>
          <w:numId w:val="7"/>
        </w:numPr>
        <w:spacing w:after="120"/>
        <w:jc w:val="both"/>
      </w:pPr>
      <w:r w:rsidRPr="00BC081A">
        <w:t>After each round give them the mini survey to complete (Appendix-C – Part 2). (10min)</w:t>
      </w:r>
    </w:p>
    <w:p w14:paraId="0E3A2085" w14:textId="77777777" w:rsidR="002D18A6" w:rsidRPr="00BC081A" w:rsidRDefault="002D18A6" w:rsidP="002D18A6">
      <w:pPr>
        <w:pStyle w:val="ListParagraph"/>
        <w:numPr>
          <w:ilvl w:val="1"/>
          <w:numId w:val="7"/>
        </w:numPr>
        <w:spacing w:after="120"/>
        <w:jc w:val="both"/>
      </w:pPr>
      <w:r w:rsidRPr="00BC081A">
        <w:t xml:space="preserve">Give the mini survey and </w:t>
      </w:r>
      <w:r w:rsidRPr="00BC081A">
        <w:rPr>
          <w:u w:val="single"/>
        </w:rPr>
        <w:t>the complete survey 2</w:t>
      </w:r>
      <w:r w:rsidRPr="00BC081A">
        <w:t xml:space="preserve"> (Appendix-C – Part 3) to fill after the 3</w:t>
      </w:r>
      <w:r w:rsidRPr="00BC081A">
        <w:rPr>
          <w:vertAlign w:val="superscript"/>
        </w:rPr>
        <w:t>rd</w:t>
      </w:r>
      <w:r w:rsidRPr="00BC081A">
        <w:t xml:space="preserve"> round. (~10min to fill out the complete survey)</w:t>
      </w:r>
    </w:p>
    <w:p w14:paraId="66FE42C4" w14:textId="77777777" w:rsidR="002D18A6" w:rsidRPr="00BC081A" w:rsidRDefault="002D18A6" w:rsidP="002D18A6">
      <w:pPr>
        <w:ind w:firstLine="0"/>
        <w:rPr>
          <w:b/>
        </w:rPr>
      </w:pPr>
    </w:p>
    <w:p w14:paraId="435438BD" w14:textId="77777777" w:rsidR="002D18A6" w:rsidRPr="00BC081A" w:rsidRDefault="002D18A6" w:rsidP="002D18A6">
      <w:pPr>
        <w:ind w:firstLine="0"/>
        <w:rPr>
          <w:b/>
        </w:rPr>
      </w:pPr>
      <w:r w:rsidRPr="00BC081A">
        <w:rPr>
          <w:b/>
        </w:rPr>
        <w:lastRenderedPageBreak/>
        <w:t>Experiment – Treatment C: Competing against a person</w:t>
      </w:r>
    </w:p>
    <w:p w14:paraId="111174D8" w14:textId="77777777" w:rsidR="002D18A6" w:rsidRPr="00BC081A" w:rsidRDefault="002D18A6" w:rsidP="002D18A6">
      <w:pPr>
        <w:pStyle w:val="ListParagraph"/>
        <w:numPr>
          <w:ilvl w:val="0"/>
          <w:numId w:val="8"/>
        </w:numPr>
        <w:spacing w:after="120"/>
        <w:jc w:val="both"/>
      </w:pPr>
      <w:r w:rsidRPr="00BC081A">
        <w:t>Brief them about the process of this mode.</w:t>
      </w:r>
    </w:p>
    <w:p w14:paraId="65BC2F33" w14:textId="77777777" w:rsidR="002D18A6" w:rsidRPr="00BC081A" w:rsidRDefault="002D18A6" w:rsidP="002D18A6">
      <w:pPr>
        <w:pStyle w:val="ListParagraph"/>
        <w:numPr>
          <w:ilvl w:val="1"/>
          <w:numId w:val="8"/>
        </w:numPr>
        <w:spacing w:after="120"/>
        <w:jc w:val="both"/>
      </w:pPr>
      <w:r w:rsidRPr="00BC081A">
        <w:t>Briefing script: “in this experiment, you will play against another person for 5 rounds, and we will ask you to kindly fill a short survey after each time you play the game, and once a longer survey.”</w:t>
      </w:r>
    </w:p>
    <w:p w14:paraId="7F6BA239" w14:textId="77777777" w:rsidR="002D18A6" w:rsidRPr="00BC081A" w:rsidRDefault="002D18A6" w:rsidP="002D18A6">
      <w:pPr>
        <w:pStyle w:val="ListParagraph"/>
        <w:numPr>
          <w:ilvl w:val="0"/>
          <w:numId w:val="8"/>
        </w:numPr>
        <w:spacing w:after="120"/>
        <w:jc w:val="both"/>
      </w:pPr>
      <w:r w:rsidRPr="00BC081A">
        <w:t xml:space="preserve">Let them know that they are playing against someone else by saying: “in this mode you are going to play against another participant who is sitting in the other room.” </w:t>
      </w:r>
    </w:p>
    <w:p w14:paraId="5F3B57B8" w14:textId="77777777" w:rsidR="002D18A6" w:rsidRPr="00BC081A" w:rsidRDefault="002D18A6" w:rsidP="002D18A6">
      <w:pPr>
        <w:pStyle w:val="ListParagraph"/>
        <w:numPr>
          <w:ilvl w:val="0"/>
          <w:numId w:val="8"/>
        </w:numPr>
        <w:spacing w:after="120"/>
        <w:jc w:val="both"/>
      </w:pPr>
      <w:r w:rsidRPr="00BC081A">
        <w:t>Make sure the other facilitator is ready (via cellphone).</w:t>
      </w:r>
    </w:p>
    <w:p w14:paraId="02A12728" w14:textId="77777777" w:rsidR="002D18A6" w:rsidRPr="00BC081A" w:rsidRDefault="002D18A6" w:rsidP="002D18A6">
      <w:pPr>
        <w:pStyle w:val="ListParagraph"/>
        <w:numPr>
          <w:ilvl w:val="0"/>
          <w:numId w:val="8"/>
        </w:numPr>
        <w:spacing w:after="120"/>
        <w:jc w:val="both"/>
      </w:pPr>
      <w:r w:rsidRPr="00BC081A">
        <w:t>Select playing against your friend option and allow the participants to play for 5 rounds. After each round give them the mini survey to complete (Appendix-C – Part 2). (10min)</w:t>
      </w:r>
    </w:p>
    <w:p w14:paraId="7B67DFED" w14:textId="77777777" w:rsidR="002D18A6" w:rsidRPr="00BC081A" w:rsidRDefault="002D18A6" w:rsidP="002D18A6">
      <w:pPr>
        <w:pStyle w:val="ListParagraph"/>
        <w:numPr>
          <w:ilvl w:val="1"/>
          <w:numId w:val="8"/>
        </w:numPr>
        <w:spacing w:after="120"/>
        <w:jc w:val="both"/>
      </w:pPr>
      <w:r w:rsidRPr="00BC081A">
        <w:t>Give the complete survey to fill after round 3 (Appendix-C – Part 3). (~10min)</w:t>
      </w:r>
    </w:p>
    <w:p w14:paraId="5B06825B" w14:textId="77777777" w:rsidR="002D18A6" w:rsidRPr="00BC081A" w:rsidRDefault="002D18A6" w:rsidP="002D18A6">
      <w:pPr>
        <w:ind w:firstLine="0"/>
      </w:pPr>
    </w:p>
    <w:p w14:paraId="23C3C62F" w14:textId="77777777" w:rsidR="002D18A6" w:rsidRPr="00BC081A" w:rsidRDefault="002D18A6" w:rsidP="002D18A6">
      <w:pPr>
        <w:ind w:firstLine="0"/>
        <w:rPr>
          <w:b/>
        </w:rPr>
      </w:pPr>
      <w:r w:rsidRPr="00BC081A">
        <w:rPr>
          <w:b/>
        </w:rPr>
        <w:t>Experiment – Closure:</w:t>
      </w:r>
    </w:p>
    <w:p w14:paraId="2896CCD9" w14:textId="77777777" w:rsidR="002D18A6" w:rsidRPr="00BC081A" w:rsidRDefault="002D18A6" w:rsidP="00536F6A">
      <w:pPr>
        <w:pStyle w:val="ListParagraph"/>
        <w:numPr>
          <w:ilvl w:val="0"/>
          <w:numId w:val="26"/>
        </w:numPr>
        <w:spacing w:after="120"/>
        <w:jc w:val="both"/>
      </w:pPr>
      <w:r w:rsidRPr="00BC081A">
        <w:t>At the end of the experiment, tell the participants that they have to stay there for 5minutes as you leave the room “to check if everything was recorded properly and bring back their gift card.” Show them the options of the game (racing real world or playing by themselves) and say that they can feel free to play any of them.</w:t>
      </w:r>
    </w:p>
    <w:p w14:paraId="3C3D5728" w14:textId="77777777" w:rsidR="002D18A6" w:rsidRPr="00BC081A" w:rsidRDefault="002D18A6" w:rsidP="00536F6A">
      <w:pPr>
        <w:pStyle w:val="ListParagraph"/>
        <w:numPr>
          <w:ilvl w:val="0"/>
          <w:numId w:val="26"/>
        </w:numPr>
        <w:spacing w:after="120"/>
        <w:jc w:val="both"/>
      </w:pPr>
      <w:r w:rsidRPr="00BC081A">
        <w:t>When you go back in, thank them for participating in the study and give them their gift cards.</w:t>
      </w:r>
    </w:p>
    <w:p w14:paraId="18456776" w14:textId="77777777" w:rsidR="002D18A6" w:rsidRPr="00BC081A" w:rsidRDefault="002D18A6" w:rsidP="008312E7">
      <w:pPr>
        <w:pStyle w:val="Heading2"/>
        <w:numPr>
          <w:ilvl w:val="0"/>
          <w:numId w:val="0"/>
        </w:numPr>
        <w:ind w:left="576"/>
      </w:pPr>
      <w:bookmarkStart w:id="155" w:name="_Toc275209866"/>
      <w:r w:rsidRPr="00BC081A">
        <w:t>Experiment document – Articles To read 1</w:t>
      </w:r>
      <w:bookmarkEnd w:id="155"/>
    </w:p>
    <w:p w14:paraId="399EC9BF" w14:textId="77777777" w:rsidR="002D18A6" w:rsidRPr="00BC081A" w:rsidRDefault="002D18A6" w:rsidP="002D18A6">
      <w:pPr>
        <w:widowControl w:val="0"/>
        <w:autoSpaceDE w:val="0"/>
        <w:autoSpaceDN w:val="0"/>
        <w:adjustRightInd w:val="0"/>
        <w:spacing w:after="240" w:line="240" w:lineRule="auto"/>
        <w:ind w:firstLine="0"/>
        <w:rPr>
          <w:rFonts w:cs="Times"/>
          <w:sz w:val="32"/>
          <w:szCs w:val="32"/>
        </w:rPr>
      </w:pPr>
      <w:r w:rsidRPr="00BC081A">
        <w:rPr>
          <w:rFonts w:cs="Helvetica"/>
          <w:b/>
          <w:bCs/>
          <w:sz w:val="32"/>
          <w:szCs w:val="32"/>
        </w:rPr>
        <w:t xml:space="preserve">The power of </w:t>
      </w:r>
      <w:proofErr w:type="spellStart"/>
      <w:r w:rsidRPr="00BC081A">
        <w:rPr>
          <w:rFonts w:cs="Helvetica"/>
          <w:b/>
          <w:bCs/>
          <w:sz w:val="32"/>
          <w:szCs w:val="32"/>
        </w:rPr>
        <w:t>electrodermal</w:t>
      </w:r>
      <w:proofErr w:type="spellEnd"/>
      <w:r w:rsidRPr="00BC081A">
        <w:rPr>
          <w:rFonts w:cs="Helvetica"/>
          <w:b/>
          <w:bCs/>
          <w:sz w:val="32"/>
          <w:szCs w:val="32"/>
        </w:rPr>
        <w:t xml:space="preserve"> activity (EDA)</w:t>
      </w:r>
    </w:p>
    <w:p w14:paraId="1BAE80DA"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 xml:space="preserve">EDA has been studied for over a century; it is not new. What </w:t>
      </w:r>
      <w:r w:rsidRPr="00BC081A">
        <w:rPr>
          <w:rFonts w:cs="Helvetica"/>
          <w:i/>
          <w:iCs/>
        </w:rPr>
        <w:t xml:space="preserve">is </w:t>
      </w:r>
      <w:r w:rsidRPr="00BC081A">
        <w:rPr>
          <w:rFonts w:cs="Helvetica"/>
        </w:rPr>
        <w:t xml:space="preserve">new is that now you can do </w:t>
      </w:r>
      <w:r w:rsidRPr="00BC081A">
        <w:rPr>
          <w:rFonts w:cs="Helvetica"/>
        </w:rPr>
        <w:lastRenderedPageBreak/>
        <w:t>things with it that could never be done before: Measure and communicate it continuously in the wild, on a child climbing a rock wall, in an audience at the theatre, on a patient undergoing 24/7 testing, in a focus group, on a couple interacting, and more, easily and without wires.</w:t>
      </w:r>
    </w:p>
    <w:p w14:paraId="1091E438"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EDA is the phenomenon whereby the skin’s electrical properties change when activated by various brain circuits. For example, when your brain detects a stressful event, it triggers the sweat glands to fill. Even if the glands don’t fill to the point where your skin feels “sweaty,” while your skin feels dry to the touch, an electrical signal measured across the skin can still register a change.</w:t>
      </w:r>
    </w:p>
    <w:p w14:paraId="47ECF496"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The most common measure of EDA is skin conductance, which captures one of the main dimensions of emotion: the “arousal” dimension. Skin conductance usually increases when a person is more aroused – whether engaged, stressed, or excited. Skin conductance tends to stay low or drop when a person is less aroused – disengaged, bored, or calm.</w:t>
      </w:r>
    </w:p>
    <w:p w14:paraId="686FF9D4"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For example, researchers at the MIT Media Lab measured a large audience during a daylong set of presentations</w:t>
      </w:r>
      <w:proofErr w:type="spellStart"/>
      <w:r w:rsidRPr="00BC081A">
        <w:rPr>
          <w:rFonts w:cs="Helvetica"/>
          <w:position w:val="13"/>
        </w:rPr>
        <w:t>i</w:t>
      </w:r>
      <w:proofErr w:type="spellEnd"/>
      <w:r w:rsidRPr="00BC081A">
        <w:rPr>
          <w:rFonts w:cs="Helvetica"/>
        </w:rPr>
        <w:t>. They found that audience skin conductance increased when a new speaker came onstage, when there was laughter, and during live demonstrations or question-and-answer periods; however, each time there was a lengthy PowerPoint presentation the audience skin conductance dropped, steadily downward, with an exponential decay.</w:t>
      </w:r>
    </w:p>
    <w:p w14:paraId="2AD023F7"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 xml:space="preserve">Almost all scientific studies of EDA have used old-style measurement devices that require taping gelled electrodes to the fingers or to the soles of the feet. While such measurement has been considered the “gold standard” and gives a very sensitive reading, it has been nearly impossible to use it to measure EDA long-term. For example, you can’t easily wash your hands when the </w:t>
      </w:r>
      <w:r w:rsidRPr="00BC081A">
        <w:rPr>
          <w:rFonts w:cs="Helvetica"/>
        </w:rPr>
        <w:lastRenderedPageBreak/>
        <w:t>old sensor is taped to your fingertips, and walking messes with the signal on the soles of your feet. Also, the gooey gels break down over time. Consequently, most studies on EDA have only examined data for short periods of time, usually in labs. But emotion can be very different outside the lab in real life, where relationships, events, and experiences really matter to a person.</w:t>
      </w:r>
    </w:p>
    <w:p w14:paraId="0E008E6E"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Questionnaires are commonly used for measuring emotion but responses are inherently subjective, and vary enormously depending on one’s ability to convey feelings to words or numbers. What’s more, people often forget what they felt, even moments ago. A questionnaire is an imperfect snapshot of emotion, like representing Beethoven’s Ninth Symphony using just ten notes.</w:t>
      </w:r>
    </w:p>
    <w:p w14:paraId="4664C151" w14:textId="77777777" w:rsidR="002D18A6" w:rsidRPr="00BC081A" w:rsidRDefault="002D18A6" w:rsidP="00E803BD">
      <w:pPr>
        <w:widowControl w:val="0"/>
        <w:autoSpaceDE w:val="0"/>
        <w:autoSpaceDN w:val="0"/>
        <w:adjustRightInd w:val="0"/>
        <w:spacing w:after="240"/>
        <w:ind w:firstLine="0"/>
        <w:rPr>
          <w:rFonts w:cs="Times"/>
        </w:rPr>
      </w:pPr>
      <w:r w:rsidRPr="00BC081A">
        <w:rPr>
          <w:rFonts w:cs="Helvetica"/>
        </w:rPr>
        <w:t>By capturing EDA in a new way, researchers are able to objectively characterize people’s bodily responses to a variety of emotional, cognitive, and physical experiences, and do so continuously for long or short periods of time, without interrupting the experience.</w:t>
      </w:r>
    </w:p>
    <w:p w14:paraId="22591279" w14:textId="77777777" w:rsidR="002D18A6" w:rsidRPr="00BC081A" w:rsidRDefault="002D18A6" w:rsidP="002D18A6">
      <w:pPr>
        <w:widowControl w:val="0"/>
        <w:autoSpaceDE w:val="0"/>
        <w:autoSpaceDN w:val="0"/>
        <w:adjustRightInd w:val="0"/>
        <w:spacing w:after="240" w:line="240" w:lineRule="auto"/>
        <w:ind w:firstLine="0"/>
        <w:rPr>
          <w:rFonts w:cs="Times"/>
          <w:sz w:val="32"/>
          <w:szCs w:val="32"/>
        </w:rPr>
      </w:pPr>
      <w:r w:rsidRPr="00BC081A">
        <w:rPr>
          <w:rFonts w:ascii="Helvetica" w:hAnsi="Helvetica" w:cs="Helvetica"/>
          <w:b/>
          <w:bCs/>
          <w:sz w:val="32"/>
          <w:szCs w:val="32"/>
        </w:rPr>
        <w:t>What is the QTM Sensor?</w:t>
      </w:r>
    </w:p>
    <w:p w14:paraId="4E2681D3" w14:textId="77777777" w:rsidR="002D18A6" w:rsidRPr="00BC081A" w:rsidRDefault="002D18A6" w:rsidP="00E803BD">
      <w:pPr>
        <w:rPr>
          <w:rFonts w:cs="Times"/>
        </w:rPr>
      </w:pPr>
      <w:proofErr w:type="spellStart"/>
      <w:r w:rsidRPr="00BC081A">
        <w:t>Affectiva’s</w:t>
      </w:r>
      <w:proofErr w:type="spellEnd"/>
      <w:r w:rsidRPr="00BC081A">
        <w:t xml:space="preserve"> QTM sensor is a small electronic device that can be comfortably worn long-term on the surface of the skin, where it measures three kinds of data:</w:t>
      </w:r>
    </w:p>
    <w:p w14:paraId="364F5BA3" w14:textId="77777777" w:rsidR="002D18A6" w:rsidRPr="00BC081A" w:rsidRDefault="002D18A6" w:rsidP="00E803BD">
      <w:pPr>
        <w:rPr>
          <w:rFonts w:cs="Times"/>
        </w:rPr>
      </w:pPr>
      <w:r w:rsidRPr="00BC081A">
        <w:rPr>
          <w:rFonts w:cs="Symbol"/>
        </w:rPr>
        <w:t xml:space="preserve">• </w:t>
      </w:r>
      <w:r w:rsidRPr="00BC081A">
        <w:t>Skin conductance </w:t>
      </w:r>
      <w:r w:rsidRPr="00BC081A">
        <w:rPr>
          <w:rFonts w:cs="Symbol"/>
        </w:rPr>
        <w:t xml:space="preserve">• </w:t>
      </w:r>
      <w:r w:rsidRPr="00BC081A">
        <w:t>Skin temperature </w:t>
      </w:r>
      <w:r w:rsidRPr="00BC081A">
        <w:rPr>
          <w:rFonts w:cs="Symbol"/>
        </w:rPr>
        <w:t xml:space="preserve">• </w:t>
      </w:r>
      <w:r w:rsidRPr="00BC081A">
        <w:t>Acceleration (3 signals: one for each of the X</w:t>
      </w:r>
      <w:proofErr w:type="gramStart"/>
      <w:r w:rsidRPr="00BC081A">
        <w:t>,Y</w:t>
      </w:r>
      <w:proofErr w:type="gramEnd"/>
      <w:r w:rsidRPr="00BC081A">
        <w:t>, and Z axes)</w:t>
      </w:r>
    </w:p>
    <w:p w14:paraId="1D7B49D8" w14:textId="77777777" w:rsidR="002D18A6" w:rsidRPr="00BC081A" w:rsidRDefault="002D18A6" w:rsidP="00E803BD">
      <w:pPr>
        <w:rPr>
          <w:rFonts w:cs="Times"/>
        </w:rPr>
      </w:pPr>
      <w:r w:rsidRPr="00BC081A">
        <w:rPr>
          <w:i/>
          <w:iCs/>
        </w:rPr>
        <w:t>Skin conductance</w:t>
      </w:r>
      <w:r w:rsidRPr="00BC081A">
        <w:t>, in addition to representing the arousal dimension of emotion, is also of use for measuring cognitive load as well as for measuring stressors – whether positive or negative. This measure has many applications (see examples below.)</w:t>
      </w:r>
    </w:p>
    <w:p w14:paraId="1DCC9DD7" w14:textId="77777777" w:rsidR="002D18A6" w:rsidRPr="00BC081A" w:rsidRDefault="002D18A6" w:rsidP="00E803BD">
      <w:pPr>
        <w:rPr>
          <w:rFonts w:cs="Times"/>
        </w:rPr>
      </w:pPr>
      <w:r w:rsidRPr="00BC081A">
        <w:rPr>
          <w:i/>
          <w:iCs/>
        </w:rPr>
        <w:t xml:space="preserve">Skin temperature </w:t>
      </w:r>
      <w:r w:rsidRPr="00BC081A">
        <w:t xml:space="preserve">helps identify events during the day such as when you were in the cold conference room, got into a hot car, or crawled into a warm bed. Usually temperature does not </w:t>
      </w:r>
      <w:r w:rsidRPr="00BC081A">
        <w:lastRenderedPageBreak/>
        <w:t>affect skin conductance, unless temperature changes dramatically. Skin temperature 24/7 can show patterns in a person’s lifestyle – like what time each day you climb out of that warm bed. Sometimes skin temperature marks drug use, for example, becoming unusually cool with vasoconstriction.</w:t>
      </w:r>
    </w:p>
    <w:p w14:paraId="4DD007B0" w14:textId="77777777" w:rsidR="002D18A6" w:rsidRPr="00BC081A" w:rsidRDefault="002D18A6" w:rsidP="00E803BD">
      <w:pPr>
        <w:rPr>
          <w:rFonts w:cs="Times"/>
        </w:rPr>
      </w:pPr>
      <w:r w:rsidRPr="00BC081A">
        <w:rPr>
          <w:i/>
          <w:iCs/>
        </w:rPr>
        <w:t xml:space="preserve">Accelerometers </w:t>
      </w:r>
      <w:r w:rsidRPr="00BC081A">
        <w:t>on the sensor register motion changes in three directions and can provide “</w:t>
      </w:r>
      <w:proofErr w:type="spellStart"/>
      <w:r w:rsidRPr="00BC081A">
        <w:t>actigraphy</w:t>
      </w:r>
      <w:proofErr w:type="spellEnd"/>
      <w:r w:rsidRPr="00BC081A">
        <w:t xml:space="preserve">,” a measure used in sleep research to guess that you’re asleep if you don’t move for long periods of time. The accelerometer data can also quantify when and how much an audience is fidgeting. Accelerometer patterns have interest in many medical conditions, for example, characterizing repetitive movements such as arm flapping in autism. Q’s </w:t>
      </w:r>
      <w:proofErr w:type="spellStart"/>
      <w:r w:rsidRPr="00BC081A">
        <w:t>acclerometer</w:t>
      </w:r>
      <w:proofErr w:type="spellEnd"/>
      <w:r w:rsidRPr="00BC081A">
        <w:t xml:space="preserve"> data can also be used to characterize physical activity like running, walking, or other forms of exercise. Product test researchers use the Q motion information to zoom in on physical activities like combing hair, washing dishes, shaving, or counting how many times your hand went in and out of that bag of delicious M&amp;M’s.</w:t>
      </w:r>
    </w:p>
    <w:p w14:paraId="40C3C8D3" w14:textId="77777777" w:rsidR="002D18A6" w:rsidRPr="00BC081A" w:rsidRDefault="002D18A6" w:rsidP="00E803BD">
      <w:pPr>
        <w:rPr>
          <w:rFonts w:cs="Times"/>
        </w:rPr>
      </w:pPr>
      <w:r w:rsidRPr="00BC081A">
        <w:t>Many applications benefit from combining the measures above. For example, severe seizures usually contain patterns of both skin conductance and motion changes, and certain kinds of drugs can also affect all three measures.</w:t>
      </w:r>
    </w:p>
    <w:p w14:paraId="31FC10FB" w14:textId="77777777" w:rsidR="002D18A6" w:rsidRPr="00BC081A" w:rsidRDefault="002D18A6" w:rsidP="008312E7">
      <w:pPr>
        <w:pStyle w:val="Heading2"/>
        <w:numPr>
          <w:ilvl w:val="0"/>
          <w:numId w:val="0"/>
        </w:numPr>
        <w:ind w:left="576"/>
      </w:pPr>
      <w:bookmarkStart w:id="156" w:name="_Toc275209867"/>
      <w:r w:rsidRPr="00BC081A">
        <w:t>Experiment document – Articles To read 2</w:t>
      </w:r>
      <w:bookmarkEnd w:id="156"/>
    </w:p>
    <w:tbl>
      <w:tblPr>
        <w:tblW w:w="9000" w:type="dxa"/>
        <w:jc w:val="center"/>
        <w:tblCellSpacing w:w="0" w:type="dxa"/>
        <w:tblCellMar>
          <w:left w:w="0" w:type="dxa"/>
          <w:right w:w="0" w:type="dxa"/>
        </w:tblCellMar>
        <w:tblLook w:val="04A0" w:firstRow="1" w:lastRow="0" w:firstColumn="1" w:lastColumn="0" w:noHBand="0" w:noVBand="1"/>
      </w:tblPr>
      <w:tblGrid>
        <w:gridCol w:w="8730"/>
        <w:gridCol w:w="270"/>
      </w:tblGrid>
      <w:tr w:rsidR="002D18A6" w:rsidRPr="00BC081A" w14:paraId="386932B8" w14:textId="77777777" w:rsidTr="002D18A6">
        <w:trPr>
          <w:tblCellSpacing w:w="0" w:type="dxa"/>
          <w:jc w:val="center"/>
        </w:trPr>
        <w:tc>
          <w:tcPr>
            <w:tcW w:w="0" w:type="auto"/>
            <w:shd w:val="clear" w:color="auto" w:fill="FFFFFF"/>
            <w:vAlign w:val="center"/>
            <w:hideMark/>
          </w:tcPr>
          <w:p w14:paraId="2E244E38" w14:textId="77777777" w:rsidR="002D18A6" w:rsidRPr="00BC081A" w:rsidRDefault="002D18A6" w:rsidP="00E803BD">
            <w:r w:rsidRPr="00BC081A">
              <w:rPr>
                <w:b/>
              </w:rPr>
              <w:t>Gestalt</w:t>
            </w:r>
            <w:r w:rsidRPr="00BC081A">
              <w:t xml:space="preserve"> is a general description for the concepts that make unity and variety possible in design. It is a German word that roughly translates as "whole" or "form." Gestalt theory is involved with visual perception and the psychology of art among other things. It is concerned with the relationship between the parts and the whole of a composition.</w:t>
            </w:r>
          </w:p>
          <w:p w14:paraId="41D97670" w14:textId="77777777" w:rsidR="002D18A6" w:rsidRPr="00BC081A" w:rsidRDefault="002D18A6" w:rsidP="00E803BD">
            <w:r w:rsidRPr="00BC081A">
              <w:lastRenderedPageBreak/>
              <w:t>In this section you will study five gestalt concepts:</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569"/>
              <w:gridCol w:w="1651"/>
              <w:gridCol w:w="6510"/>
            </w:tblGrid>
            <w:tr w:rsidR="002D18A6" w:rsidRPr="00BC081A" w14:paraId="2B873494" w14:textId="77777777" w:rsidTr="002D18A6">
              <w:trPr>
                <w:tblCellSpacing w:w="15" w:type="dxa"/>
              </w:trPr>
              <w:tc>
                <w:tcPr>
                  <w:tcW w:w="350" w:type="pct"/>
                  <w:vAlign w:val="center"/>
                  <w:hideMark/>
                </w:tcPr>
                <w:p w14:paraId="4EA17416"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850" w:type="pct"/>
                  <w:hideMark/>
                </w:tcPr>
                <w:p w14:paraId="22EF622F" w14:textId="77777777" w:rsidR="002D18A6" w:rsidRPr="00BC081A" w:rsidRDefault="00D517AC" w:rsidP="002D18A6">
                  <w:pPr>
                    <w:spacing w:line="240" w:lineRule="auto"/>
                    <w:ind w:firstLine="0"/>
                    <w:rPr>
                      <w:rFonts w:ascii="Times New Roman" w:eastAsia="Times New Roman" w:hAnsi="Times New Roman" w:cs="Times New Roman"/>
                    </w:rPr>
                  </w:pPr>
                  <w:hyperlink r:id="rId35" w:anchor="anchor1123302" w:history="1">
                    <w:r w:rsidR="002D18A6" w:rsidRPr="00BC081A">
                      <w:rPr>
                        <w:rFonts w:ascii="Times New Roman" w:eastAsia="Times New Roman" w:hAnsi="Times New Roman" w:cs="Times New Roman"/>
                        <w:b/>
                        <w:bCs/>
                        <w:color w:val="0000FF"/>
                        <w:sz w:val="27"/>
                        <w:szCs w:val="27"/>
                        <w:u w:val="single"/>
                      </w:rPr>
                      <w:t>Closure</w:t>
                    </w:r>
                  </w:hyperlink>
                </w:p>
              </w:tc>
              <w:tc>
                <w:tcPr>
                  <w:tcW w:w="3800" w:type="pct"/>
                  <w:hideMark/>
                </w:tcPr>
                <w:p w14:paraId="54967805" w14:textId="77777777" w:rsidR="002D18A6" w:rsidRPr="00BC081A" w:rsidRDefault="002D18A6" w:rsidP="002D18A6">
                  <w:pPr>
                    <w:spacing w:line="240" w:lineRule="auto"/>
                    <w:ind w:firstLine="0"/>
                    <w:rPr>
                      <w:rFonts w:ascii="Times New Roman" w:eastAsia="Times New Roman" w:hAnsi="Times New Roman" w:cs="Times New Roman"/>
                    </w:rPr>
                  </w:pPr>
                  <w:proofErr w:type="gramStart"/>
                  <w:r w:rsidRPr="00BC081A">
                    <w:rPr>
                      <w:rFonts w:ascii="Times New Roman" w:eastAsia="Times New Roman" w:hAnsi="Times New Roman" w:cs="Times New Roman"/>
                      <w:b/>
                      <w:bCs/>
                      <w:sz w:val="27"/>
                      <w:szCs w:val="27"/>
                    </w:rPr>
                    <w:t>the</w:t>
                  </w:r>
                  <w:proofErr w:type="gramEnd"/>
                  <w:r w:rsidRPr="00BC081A">
                    <w:rPr>
                      <w:rFonts w:ascii="Times New Roman" w:eastAsia="Times New Roman" w:hAnsi="Times New Roman" w:cs="Times New Roman"/>
                      <w:b/>
                      <w:bCs/>
                      <w:sz w:val="27"/>
                      <w:szCs w:val="27"/>
                    </w:rPr>
                    <w:t xml:space="preserve"> mind supplies the missing pieces in a composition</w:t>
                  </w:r>
                </w:p>
              </w:tc>
            </w:tr>
            <w:tr w:rsidR="002D18A6" w:rsidRPr="00BC081A" w14:paraId="5A2F4052" w14:textId="77777777" w:rsidTr="002D18A6">
              <w:trPr>
                <w:tblCellSpacing w:w="15" w:type="dxa"/>
              </w:trPr>
              <w:tc>
                <w:tcPr>
                  <w:tcW w:w="350" w:type="pct"/>
                  <w:vAlign w:val="center"/>
                  <w:hideMark/>
                </w:tcPr>
                <w:p w14:paraId="7CF8E6A8"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850" w:type="pct"/>
                  <w:hideMark/>
                </w:tcPr>
                <w:p w14:paraId="73B5B383" w14:textId="77777777" w:rsidR="002D18A6" w:rsidRPr="00BC081A" w:rsidRDefault="00D517AC" w:rsidP="002D18A6">
                  <w:pPr>
                    <w:spacing w:line="240" w:lineRule="auto"/>
                    <w:ind w:firstLine="0"/>
                    <w:rPr>
                      <w:rFonts w:ascii="Times New Roman" w:eastAsia="Times New Roman" w:hAnsi="Times New Roman" w:cs="Times New Roman"/>
                    </w:rPr>
                  </w:pPr>
                  <w:hyperlink r:id="rId36" w:anchor="anchor1130271" w:history="1">
                    <w:r w:rsidR="002D18A6" w:rsidRPr="00BC081A">
                      <w:rPr>
                        <w:rFonts w:ascii="Times New Roman" w:eastAsia="Times New Roman" w:hAnsi="Times New Roman" w:cs="Times New Roman"/>
                        <w:b/>
                        <w:bCs/>
                        <w:color w:val="0000FF"/>
                        <w:sz w:val="27"/>
                        <w:szCs w:val="27"/>
                        <w:u w:val="single"/>
                      </w:rPr>
                      <w:t>Continuance</w:t>
                    </w:r>
                  </w:hyperlink>
                </w:p>
              </w:tc>
              <w:tc>
                <w:tcPr>
                  <w:tcW w:w="3800" w:type="pct"/>
                  <w:hideMark/>
                </w:tcPr>
                <w:p w14:paraId="1CB4ABCB" w14:textId="77777777" w:rsidR="002D18A6" w:rsidRPr="00BC081A" w:rsidRDefault="002D18A6" w:rsidP="002D18A6">
                  <w:pPr>
                    <w:spacing w:line="240" w:lineRule="auto"/>
                    <w:ind w:firstLine="0"/>
                    <w:rPr>
                      <w:rFonts w:ascii="Times New Roman" w:eastAsia="Times New Roman" w:hAnsi="Times New Roman" w:cs="Times New Roman"/>
                    </w:rPr>
                  </w:pPr>
                  <w:proofErr w:type="gramStart"/>
                  <w:r w:rsidRPr="00BC081A">
                    <w:rPr>
                      <w:rFonts w:ascii="Times New Roman" w:eastAsia="Times New Roman" w:hAnsi="Times New Roman" w:cs="Times New Roman"/>
                      <w:b/>
                      <w:bCs/>
                      <w:sz w:val="27"/>
                      <w:szCs w:val="27"/>
                    </w:rPr>
                    <w:t>the</w:t>
                  </w:r>
                  <w:proofErr w:type="gramEnd"/>
                  <w:r w:rsidRPr="00BC081A">
                    <w:rPr>
                      <w:rFonts w:ascii="Times New Roman" w:eastAsia="Times New Roman" w:hAnsi="Times New Roman" w:cs="Times New Roman"/>
                      <w:b/>
                      <w:bCs/>
                      <w:sz w:val="27"/>
                      <w:szCs w:val="27"/>
                    </w:rPr>
                    <w:t xml:space="preserve"> eye continues in the direction it is going</w:t>
                  </w:r>
                </w:p>
              </w:tc>
            </w:tr>
            <w:tr w:rsidR="002D18A6" w:rsidRPr="00BC081A" w14:paraId="38269891" w14:textId="77777777" w:rsidTr="002D18A6">
              <w:trPr>
                <w:tblCellSpacing w:w="15" w:type="dxa"/>
              </w:trPr>
              <w:tc>
                <w:tcPr>
                  <w:tcW w:w="350" w:type="pct"/>
                  <w:vAlign w:val="center"/>
                  <w:hideMark/>
                </w:tcPr>
                <w:p w14:paraId="61C35EC2"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850" w:type="pct"/>
                  <w:hideMark/>
                </w:tcPr>
                <w:p w14:paraId="1F171192" w14:textId="77777777" w:rsidR="002D18A6" w:rsidRPr="00BC081A" w:rsidRDefault="00D517AC" w:rsidP="002D18A6">
                  <w:pPr>
                    <w:spacing w:line="240" w:lineRule="auto"/>
                    <w:ind w:firstLine="0"/>
                    <w:rPr>
                      <w:rFonts w:ascii="Times New Roman" w:eastAsia="Times New Roman" w:hAnsi="Times New Roman" w:cs="Times New Roman"/>
                    </w:rPr>
                  </w:pPr>
                  <w:hyperlink r:id="rId37" w:anchor="anchor1135564" w:history="1">
                    <w:r w:rsidR="002D18A6" w:rsidRPr="00BC081A">
                      <w:rPr>
                        <w:rFonts w:ascii="Times New Roman" w:eastAsia="Times New Roman" w:hAnsi="Times New Roman" w:cs="Times New Roman"/>
                        <w:b/>
                        <w:bCs/>
                        <w:color w:val="0000FF"/>
                        <w:sz w:val="27"/>
                        <w:szCs w:val="27"/>
                        <w:u w:val="single"/>
                      </w:rPr>
                      <w:t>Similarity</w:t>
                    </w:r>
                  </w:hyperlink>
                </w:p>
              </w:tc>
              <w:tc>
                <w:tcPr>
                  <w:tcW w:w="3800" w:type="pct"/>
                  <w:hideMark/>
                </w:tcPr>
                <w:p w14:paraId="5309C064" w14:textId="77777777" w:rsidR="002D18A6" w:rsidRPr="00BC081A" w:rsidRDefault="002D18A6" w:rsidP="002D18A6">
                  <w:pPr>
                    <w:spacing w:line="240" w:lineRule="auto"/>
                    <w:ind w:firstLine="0"/>
                    <w:rPr>
                      <w:rFonts w:ascii="Times New Roman" w:eastAsia="Times New Roman" w:hAnsi="Times New Roman" w:cs="Times New Roman"/>
                    </w:rPr>
                  </w:pPr>
                  <w:proofErr w:type="gramStart"/>
                  <w:r w:rsidRPr="00BC081A">
                    <w:rPr>
                      <w:rFonts w:ascii="Times New Roman" w:eastAsia="Times New Roman" w:hAnsi="Times New Roman" w:cs="Times New Roman"/>
                      <w:b/>
                      <w:bCs/>
                      <w:sz w:val="27"/>
                      <w:szCs w:val="27"/>
                    </w:rPr>
                    <w:t>what</w:t>
                  </w:r>
                  <w:proofErr w:type="gramEnd"/>
                  <w:r w:rsidRPr="00BC081A">
                    <w:rPr>
                      <w:rFonts w:ascii="Times New Roman" w:eastAsia="Times New Roman" w:hAnsi="Times New Roman" w:cs="Times New Roman"/>
                      <w:b/>
                      <w:bCs/>
                      <w:sz w:val="27"/>
                      <w:szCs w:val="27"/>
                    </w:rPr>
                    <w:t xml:space="preserve"> an items looks like and how that effects gestalt</w:t>
                  </w:r>
                </w:p>
              </w:tc>
            </w:tr>
            <w:tr w:rsidR="002D18A6" w:rsidRPr="00BC081A" w14:paraId="353B209D" w14:textId="77777777" w:rsidTr="002D18A6">
              <w:trPr>
                <w:tblCellSpacing w:w="15" w:type="dxa"/>
              </w:trPr>
              <w:tc>
                <w:tcPr>
                  <w:tcW w:w="350" w:type="pct"/>
                  <w:vAlign w:val="center"/>
                  <w:hideMark/>
                </w:tcPr>
                <w:p w14:paraId="3BB7BD28"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850" w:type="pct"/>
                  <w:hideMark/>
                </w:tcPr>
                <w:p w14:paraId="12E07024" w14:textId="77777777" w:rsidR="002D18A6" w:rsidRPr="00BC081A" w:rsidRDefault="00D517AC" w:rsidP="002D18A6">
                  <w:pPr>
                    <w:spacing w:line="240" w:lineRule="auto"/>
                    <w:ind w:firstLine="0"/>
                    <w:rPr>
                      <w:rFonts w:ascii="Times New Roman" w:eastAsia="Times New Roman" w:hAnsi="Times New Roman" w:cs="Times New Roman"/>
                    </w:rPr>
                  </w:pPr>
                  <w:hyperlink r:id="rId38" w:anchor="anchor1137411" w:history="1">
                    <w:r w:rsidR="002D18A6" w:rsidRPr="00BC081A">
                      <w:rPr>
                        <w:rFonts w:ascii="Times New Roman" w:eastAsia="Times New Roman" w:hAnsi="Times New Roman" w:cs="Times New Roman"/>
                        <w:b/>
                        <w:bCs/>
                        <w:color w:val="0000FF"/>
                        <w:sz w:val="27"/>
                        <w:szCs w:val="27"/>
                        <w:u w:val="single"/>
                      </w:rPr>
                      <w:t>Proximity</w:t>
                    </w:r>
                  </w:hyperlink>
                </w:p>
              </w:tc>
              <w:tc>
                <w:tcPr>
                  <w:tcW w:w="3800" w:type="pct"/>
                  <w:hideMark/>
                </w:tcPr>
                <w:p w14:paraId="473AC8EE" w14:textId="77777777" w:rsidR="002D18A6" w:rsidRPr="00BC081A" w:rsidRDefault="002D18A6" w:rsidP="002D18A6">
                  <w:pPr>
                    <w:spacing w:line="240" w:lineRule="auto"/>
                    <w:ind w:firstLine="0"/>
                    <w:rPr>
                      <w:rFonts w:ascii="Times New Roman" w:eastAsia="Times New Roman" w:hAnsi="Times New Roman" w:cs="Times New Roman"/>
                    </w:rPr>
                  </w:pPr>
                  <w:proofErr w:type="gramStart"/>
                  <w:r w:rsidRPr="00BC081A">
                    <w:rPr>
                      <w:rFonts w:ascii="Times New Roman" w:eastAsia="Times New Roman" w:hAnsi="Times New Roman" w:cs="Times New Roman"/>
                      <w:b/>
                      <w:bCs/>
                      <w:sz w:val="27"/>
                      <w:szCs w:val="27"/>
                    </w:rPr>
                    <w:t>where</w:t>
                  </w:r>
                  <w:proofErr w:type="gramEnd"/>
                  <w:r w:rsidRPr="00BC081A">
                    <w:rPr>
                      <w:rFonts w:ascii="Times New Roman" w:eastAsia="Times New Roman" w:hAnsi="Times New Roman" w:cs="Times New Roman"/>
                      <w:b/>
                      <w:bCs/>
                      <w:sz w:val="27"/>
                      <w:szCs w:val="27"/>
                    </w:rPr>
                    <w:t xml:space="preserve"> items are in relationship to each other and how that effects gestalt</w:t>
                  </w:r>
                </w:p>
              </w:tc>
            </w:tr>
            <w:tr w:rsidR="002D18A6" w:rsidRPr="00BC081A" w14:paraId="429336FF" w14:textId="77777777" w:rsidTr="002D18A6">
              <w:trPr>
                <w:tblCellSpacing w:w="15" w:type="dxa"/>
              </w:trPr>
              <w:tc>
                <w:tcPr>
                  <w:tcW w:w="350" w:type="pct"/>
                  <w:vAlign w:val="center"/>
                  <w:hideMark/>
                </w:tcPr>
                <w:p w14:paraId="385EEBD2"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850" w:type="pct"/>
                  <w:hideMark/>
                </w:tcPr>
                <w:p w14:paraId="2C89A764" w14:textId="77777777" w:rsidR="002D18A6" w:rsidRPr="00BC081A" w:rsidRDefault="00D517AC" w:rsidP="002D18A6">
                  <w:pPr>
                    <w:spacing w:line="240" w:lineRule="auto"/>
                    <w:ind w:firstLine="0"/>
                    <w:rPr>
                      <w:rFonts w:ascii="Times New Roman" w:eastAsia="Times New Roman" w:hAnsi="Times New Roman" w:cs="Times New Roman"/>
                    </w:rPr>
                  </w:pPr>
                  <w:hyperlink r:id="rId39" w:history="1">
                    <w:r w:rsidR="002D18A6" w:rsidRPr="00BC081A">
                      <w:rPr>
                        <w:rFonts w:ascii="Times New Roman" w:eastAsia="Times New Roman" w:hAnsi="Times New Roman" w:cs="Times New Roman"/>
                        <w:b/>
                        <w:bCs/>
                        <w:color w:val="0000FF"/>
                        <w:sz w:val="27"/>
                        <w:szCs w:val="27"/>
                        <w:u w:val="single"/>
                      </w:rPr>
                      <w:t>Alignment</w:t>
                    </w:r>
                  </w:hyperlink>
                </w:p>
              </w:tc>
              <w:tc>
                <w:tcPr>
                  <w:tcW w:w="3800" w:type="pct"/>
                  <w:hideMark/>
                </w:tcPr>
                <w:p w14:paraId="37E76179" w14:textId="77777777" w:rsidR="002D18A6" w:rsidRPr="00BC081A" w:rsidRDefault="002D18A6" w:rsidP="002D18A6">
                  <w:pPr>
                    <w:spacing w:line="240" w:lineRule="auto"/>
                    <w:ind w:firstLine="0"/>
                    <w:rPr>
                      <w:rFonts w:ascii="Times New Roman" w:eastAsia="Times New Roman" w:hAnsi="Times New Roman" w:cs="Times New Roman"/>
                    </w:rPr>
                  </w:pPr>
                  <w:proofErr w:type="gramStart"/>
                  <w:r w:rsidRPr="00BC081A">
                    <w:rPr>
                      <w:rFonts w:ascii="Times New Roman" w:eastAsia="Times New Roman" w:hAnsi="Times New Roman" w:cs="Times New Roman"/>
                      <w:b/>
                      <w:bCs/>
                      <w:sz w:val="27"/>
                      <w:szCs w:val="27"/>
                    </w:rPr>
                    <w:t>lining</w:t>
                  </w:r>
                  <w:proofErr w:type="gramEnd"/>
                  <w:r w:rsidRPr="00BC081A">
                    <w:rPr>
                      <w:rFonts w:ascii="Times New Roman" w:eastAsia="Times New Roman" w:hAnsi="Times New Roman" w:cs="Times New Roman"/>
                      <w:b/>
                      <w:bCs/>
                      <w:sz w:val="27"/>
                      <w:szCs w:val="27"/>
                    </w:rPr>
                    <w:t xml:space="preserve"> up objects to organize and form groups</w:t>
                  </w:r>
                </w:p>
              </w:tc>
            </w:tr>
          </w:tbl>
          <w:p w14:paraId="24B1BEE3" w14:textId="77777777" w:rsidR="002D18A6" w:rsidRPr="00BC081A" w:rsidRDefault="002D18A6" w:rsidP="002D18A6">
            <w:pPr>
              <w:spacing w:line="240" w:lineRule="auto"/>
              <w:rPr>
                <w:rFonts w:ascii="Times New Roman" w:eastAsia="Times New Roman" w:hAnsi="Times New Roman" w:cs="Times New Roman"/>
              </w:rPr>
            </w:pPr>
          </w:p>
        </w:tc>
        <w:tc>
          <w:tcPr>
            <w:tcW w:w="270" w:type="dxa"/>
            <w:vAlign w:val="center"/>
            <w:hideMark/>
          </w:tcPr>
          <w:p w14:paraId="51F4D3AB"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lastRenderedPageBreak/>
              <w:t> </w:t>
            </w:r>
          </w:p>
        </w:tc>
      </w:tr>
    </w:tbl>
    <w:p w14:paraId="36CB9064" w14:textId="77777777" w:rsidR="002D18A6" w:rsidRPr="00BC081A" w:rsidRDefault="002D18A6" w:rsidP="002D18A6">
      <w:pPr>
        <w:spacing w:line="240" w:lineRule="auto"/>
        <w:jc w:val="center"/>
        <w:rPr>
          <w:rFonts w:ascii="Times New Roman" w:eastAsia="Times New Roman" w:hAnsi="Times New Roman" w:cs="Times New Roman"/>
        </w:rPr>
      </w:pPr>
    </w:p>
    <w:tbl>
      <w:tblPr>
        <w:tblW w:w="9000" w:type="dxa"/>
        <w:jc w:val="center"/>
        <w:tblCellSpacing w:w="0" w:type="dxa"/>
        <w:tblCellMar>
          <w:left w:w="0" w:type="dxa"/>
          <w:right w:w="0" w:type="dxa"/>
        </w:tblCellMar>
        <w:tblLook w:val="04A0" w:firstRow="1" w:lastRow="0" w:firstColumn="1" w:lastColumn="0" w:noHBand="0" w:noVBand="1"/>
      </w:tblPr>
      <w:tblGrid>
        <w:gridCol w:w="180"/>
        <w:gridCol w:w="1890"/>
        <w:gridCol w:w="180"/>
        <w:gridCol w:w="270"/>
        <w:gridCol w:w="6210"/>
        <w:gridCol w:w="270"/>
      </w:tblGrid>
      <w:tr w:rsidR="002D18A6" w:rsidRPr="00BC081A" w14:paraId="7E4E1690" w14:textId="77777777" w:rsidTr="002D18A6">
        <w:trPr>
          <w:tblCellSpacing w:w="0" w:type="dxa"/>
          <w:jc w:val="center"/>
        </w:trPr>
        <w:tc>
          <w:tcPr>
            <w:tcW w:w="180" w:type="dxa"/>
            <w:shd w:val="clear" w:color="auto" w:fill="FFCC99"/>
            <w:hideMark/>
          </w:tcPr>
          <w:p w14:paraId="3A6F141C"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52635076" w14:textId="77777777" w:rsidR="002D18A6" w:rsidRPr="00BC081A" w:rsidRDefault="002D18A6" w:rsidP="002D18A6">
            <w:pPr>
              <w:spacing w:before="100" w:beforeAutospacing="1" w:after="100" w:afterAutospacing="1" w:line="240" w:lineRule="auto"/>
              <w:rPr>
                <w:rFonts w:ascii="Times New Roman" w:eastAsia="Times New Roman" w:hAnsi="Times New Roman" w:cs="Times New Roman"/>
              </w:rPr>
            </w:pPr>
            <w:r w:rsidRPr="00BC081A">
              <w:rPr>
                <w:rFonts w:ascii="Times New Roman" w:eastAsia="Times New Roman" w:hAnsi="Times New Roman" w:cs="Times New Roman"/>
              </w:rPr>
              <w:br/>
            </w:r>
            <w:r w:rsidRPr="00BC081A">
              <w:rPr>
                <w:rFonts w:ascii="Times New Roman" w:eastAsia="Times New Roman" w:hAnsi="Times New Roman" w:cs="Times New Roman"/>
              </w:rPr>
              <w:br/>
              <w:t xml:space="preserve">The objective of studying gestalt is to put the designer in control of what the viewers see when they look at a composition. See </w:t>
            </w:r>
            <w:hyperlink r:id="rId40" w:history="1">
              <w:r w:rsidRPr="00BC081A">
                <w:rPr>
                  <w:rFonts w:ascii="Times New Roman" w:eastAsia="Times New Roman" w:hAnsi="Times New Roman" w:cs="Times New Roman"/>
                  <w:color w:val="0000FF"/>
                  <w:u w:val="single"/>
                </w:rPr>
                <w:t>emphasis</w:t>
              </w:r>
            </w:hyperlink>
            <w:r w:rsidRPr="00BC081A">
              <w:rPr>
                <w:rFonts w:ascii="Times New Roman" w:eastAsia="Times New Roman" w:hAnsi="Times New Roman" w:cs="Times New Roman"/>
              </w:rPr>
              <w:t xml:space="preserve"> for more information.</w:t>
            </w:r>
          </w:p>
          <w:p w14:paraId="471293FC"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 xml:space="preserve">Gestalt theory holds that the whole is more than the sum of its parts. </w:t>
            </w:r>
          </w:p>
        </w:tc>
        <w:tc>
          <w:tcPr>
            <w:tcW w:w="180" w:type="dxa"/>
            <w:shd w:val="clear" w:color="auto" w:fill="FFCC99"/>
            <w:hideMark/>
          </w:tcPr>
          <w:p w14:paraId="2EC41193"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32E304E0"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4A3EE25C" w14:textId="77777777" w:rsidR="002D18A6" w:rsidRPr="00BC081A" w:rsidRDefault="002D18A6" w:rsidP="002D18A6">
            <w:pPr>
              <w:spacing w:before="100" w:beforeAutospacing="1" w:after="100" w:afterAutospacing="1" w:line="240" w:lineRule="auto"/>
              <w:rPr>
                <w:rFonts w:ascii="Times New Roman" w:eastAsia="Times New Roman" w:hAnsi="Times New Roman" w:cs="Times New Roman"/>
              </w:rPr>
            </w:pPr>
            <w:r w:rsidRPr="00BC081A">
              <w:rPr>
                <w:rFonts w:ascii="Arial" w:eastAsia="Times New Roman" w:hAnsi="Arial" w:cs="Arial"/>
                <w:b/>
                <w:bCs/>
              </w:rPr>
              <w:br/>
              <w:t>GESTALT</w:t>
            </w:r>
            <w:r w:rsidRPr="00BC081A">
              <w:rPr>
                <w:rFonts w:ascii="Arial" w:eastAsia="Times New Roman" w:hAnsi="Arial" w:cs="Arial"/>
                <w:b/>
                <w:bCs/>
              </w:rPr>
              <w:br/>
            </w:r>
            <w:r w:rsidRPr="00BC081A">
              <w:rPr>
                <w:rFonts w:ascii="Times New Roman" w:eastAsia="Times New Roman" w:hAnsi="Times New Roman" w:cs="Times New Roman"/>
              </w:rPr>
              <w:t xml:space="preserve">The study of gestalt originated in Germany in the 1920s. It is a form of psychology that is interested in higher order cognitive processes relative to </w:t>
            </w:r>
            <w:proofErr w:type="spellStart"/>
            <w:r w:rsidRPr="00BC081A">
              <w:rPr>
                <w:rFonts w:ascii="Times New Roman" w:eastAsia="Times New Roman" w:hAnsi="Times New Roman" w:cs="Times New Roman"/>
              </w:rPr>
              <w:t>behaviorism</w:t>
            </w:r>
            <w:proofErr w:type="spellEnd"/>
            <w:r w:rsidRPr="00BC081A">
              <w:rPr>
                <w:rFonts w:ascii="Times New Roman" w:eastAsia="Times New Roman" w:hAnsi="Times New Roman" w:cs="Times New Roman"/>
              </w:rPr>
              <w:t>. The aspects of gestalt theory that interests designers are related to gestalt's investigations of visual perception, principally the relationship between the parts and the whole of visual experience.</w:t>
            </w:r>
          </w:p>
          <w:p w14:paraId="697ECD38"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The visual world is so complex that the mind has developed strategies for coping with the confusion. The mind tries to find the simplest solution to a problem. One of the ways it does this is to form groups of items that have certain characteristics in common.</w:t>
            </w:r>
          </w:p>
          <w:p w14:paraId="4093C977"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Most of what you will study about gestalt is concerned with how these groups are formed and what effect they have on perception. The stronger the grouping, the stronger the gestalt. It is this grouping that contributes to the unity in a design. Gestalt is one of the most powerful tools available to a designer for creating unity.</w:t>
            </w:r>
          </w:p>
          <w:p w14:paraId="00A4B832"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 xml:space="preserve">The same concepts that form groups can be reversed to ungroup items -- to make them look unique and </w:t>
            </w:r>
            <w:proofErr w:type="gramStart"/>
            <w:r w:rsidRPr="00BC081A">
              <w:rPr>
                <w:rFonts w:ascii="Times New Roman" w:eastAsia="Times New Roman" w:hAnsi="Times New Roman" w:cs="Times New Roman"/>
              </w:rPr>
              <w:t>stand alone</w:t>
            </w:r>
            <w:proofErr w:type="gramEnd"/>
            <w:r w:rsidRPr="00BC081A">
              <w:rPr>
                <w:rFonts w:ascii="Times New Roman" w:eastAsia="Times New Roman" w:hAnsi="Times New Roman" w:cs="Times New Roman"/>
              </w:rPr>
              <w:t>. That is the basis for creating variety. Variety is what adds interest to an image.</w:t>
            </w:r>
          </w:p>
          <w:p w14:paraId="4A3B0119"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 xml:space="preserve">The trick is to strike a balance between unity and variety. Too much unity and the design can look boring and repetitive; too much variety and it can look chaotic and disconnected. Understanding gestalt concepts can help a designer control unity and variety. </w:t>
            </w:r>
          </w:p>
        </w:tc>
        <w:tc>
          <w:tcPr>
            <w:tcW w:w="270" w:type="dxa"/>
            <w:hideMark/>
          </w:tcPr>
          <w:p w14:paraId="54A5F8FE"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55EA4F8C" w14:textId="77777777" w:rsidTr="002D18A6">
        <w:trPr>
          <w:trHeight w:val="255"/>
          <w:tblCellSpacing w:w="0" w:type="dxa"/>
          <w:jc w:val="center"/>
        </w:trPr>
        <w:tc>
          <w:tcPr>
            <w:tcW w:w="180" w:type="dxa"/>
            <w:shd w:val="clear" w:color="auto" w:fill="FFCC99"/>
            <w:hideMark/>
          </w:tcPr>
          <w:p w14:paraId="14C4A0E7"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565D8ADE"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bookmarkStart w:id="157" w:name="anchor1123302"/>
            <w:bookmarkEnd w:id="157"/>
          </w:p>
        </w:tc>
        <w:tc>
          <w:tcPr>
            <w:tcW w:w="180" w:type="dxa"/>
            <w:shd w:val="clear" w:color="auto" w:fill="FFCC99"/>
            <w:hideMark/>
          </w:tcPr>
          <w:p w14:paraId="5DA55564"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2AC9C900"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1A30DF84" w14:textId="77777777" w:rsidR="002D18A6" w:rsidRPr="00BC081A" w:rsidRDefault="002D18A6" w:rsidP="002D18A6">
            <w:pPr>
              <w:spacing w:before="100" w:beforeAutospacing="1" w:after="100" w:afterAutospacing="1" w:line="240" w:lineRule="auto"/>
              <w:rPr>
                <w:rFonts w:ascii="Times New Roman" w:eastAsia="Times New Roman" w:hAnsi="Times New Roman" w:cs="Times New Roman"/>
              </w:rPr>
            </w:pPr>
            <w:r w:rsidRPr="00BC081A">
              <w:rPr>
                <w:rFonts w:ascii="Times New Roman" w:eastAsia="Times New Roman" w:hAnsi="Times New Roman" w:cs="Times New Roman"/>
              </w:rPr>
              <w:br/>
            </w:r>
            <w:r w:rsidRPr="00BC081A">
              <w:rPr>
                <w:rFonts w:ascii="Arial" w:eastAsia="Times New Roman" w:hAnsi="Arial" w:cs="Arial"/>
                <w:b/>
                <w:bCs/>
              </w:rPr>
              <w:lastRenderedPageBreak/>
              <w:t>CLOSURE</w:t>
            </w:r>
            <w:r w:rsidRPr="00BC081A">
              <w:rPr>
                <w:rFonts w:ascii="Times New Roman" w:eastAsia="Times New Roman" w:hAnsi="Times New Roman" w:cs="Times New Roman"/>
              </w:rPr>
              <w:br/>
              <w:t>A complex object is really a group of simple items that the mind puts together as a single entity. A face is a collection of eyes, ears, nose, mouth, etc. You can recognize a familiar face even if part of it hidden (with a hat or sunglasses for instance). Your mind supplies the missing parts if enough of the significant features are visible.</w:t>
            </w:r>
          </w:p>
          <w:p w14:paraId="5FFB8E9D"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 xml:space="preserve">A simple example of this can be seen with this series of circles. As more and more of each </w:t>
            </w:r>
            <w:proofErr w:type="gramStart"/>
            <w:r w:rsidRPr="00BC081A">
              <w:rPr>
                <w:rFonts w:ascii="Times New Roman" w:eastAsia="Times New Roman" w:hAnsi="Times New Roman" w:cs="Times New Roman"/>
              </w:rPr>
              <w:t>is</w:t>
            </w:r>
            <w:proofErr w:type="gramEnd"/>
            <w:r w:rsidRPr="00BC081A">
              <w:rPr>
                <w:rFonts w:ascii="Times New Roman" w:eastAsia="Times New Roman" w:hAnsi="Times New Roman" w:cs="Times New Roman"/>
              </w:rPr>
              <w:t xml:space="preserve"> removed the circle still remains identifiable until more is missing than is present. This is called closure because the mind "closes" the image by supplying the missing parts.</w:t>
            </w:r>
          </w:p>
          <w:p w14:paraId="509AF7B3" w14:textId="77777777" w:rsidR="002D18A6" w:rsidRPr="00BC081A" w:rsidRDefault="002D18A6" w:rsidP="002D18A6">
            <w:pPr>
              <w:spacing w:line="240" w:lineRule="auto"/>
              <w:jc w:val="center"/>
              <w:rPr>
                <w:rFonts w:ascii="Times New Roman" w:eastAsia="Times New Roman" w:hAnsi="Times New Roman" w:cs="Times New Roman"/>
              </w:rPr>
            </w:pPr>
            <w:r w:rsidRPr="00BC081A">
              <w:rPr>
                <w:rFonts w:ascii="Times New Roman" w:eastAsia="Times New Roman" w:hAnsi="Times New Roman" w:cs="Times New Roman"/>
                <w:noProof/>
                <w:lang w:val="en-US"/>
              </w:rPr>
              <w:drawing>
                <wp:inline distT="0" distB="0" distL="0" distR="0" wp14:anchorId="035799DD" wp14:editId="52B674C6">
                  <wp:extent cx="3813175" cy="797560"/>
                  <wp:effectExtent l="0" t="0" r="0" b="2540"/>
                  <wp:docPr id="23" name="Picture 23" descr="http://daphne.palomar.edu/design/gestalt/cir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phne.palomar.edu/design/gestalt/circle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3175" cy="797560"/>
                          </a:xfrm>
                          <a:prstGeom prst="rect">
                            <a:avLst/>
                          </a:prstGeom>
                          <a:noFill/>
                          <a:ln>
                            <a:noFill/>
                          </a:ln>
                        </pic:spPr>
                      </pic:pic>
                    </a:graphicData>
                  </a:graphic>
                </wp:inline>
              </w:drawing>
            </w:r>
          </w:p>
        </w:tc>
        <w:tc>
          <w:tcPr>
            <w:tcW w:w="270" w:type="dxa"/>
            <w:vAlign w:val="center"/>
            <w:hideMark/>
          </w:tcPr>
          <w:p w14:paraId="641D5F9F"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lastRenderedPageBreak/>
              <w:t> </w:t>
            </w:r>
          </w:p>
        </w:tc>
      </w:tr>
      <w:tr w:rsidR="002D18A6" w:rsidRPr="00BC081A" w14:paraId="3A728927" w14:textId="77777777" w:rsidTr="002D18A6">
        <w:trPr>
          <w:tblCellSpacing w:w="0" w:type="dxa"/>
          <w:jc w:val="center"/>
        </w:trPr>
        <w:tc>
          <w:tcPr>
            <w:tcW w:w="180" w:type="dxa"/>
            <w:shd w:val="clear" w:color="auto" w:fill="FFCC99"/>
            <w:hideMark/>
          </w:tcPr>
          <w:p w14:paraId="18FA8035"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lastRenderedPageBreak/>
              <w:t> </w:t>
            </w:r>
          </w:p>
        </w:tc>
        <w:tc>
          <w:tcPr>
            <w:tcW w:w="1890" w:type="dxa"/>
            <w:shd w:val="clear" w:color="auto" w:fill="FFCC99"/>
            <w:hideMark/>
          </w:tcPr>
          <w:p w14:paraId="5D153CA1"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hideMark/>
          </w:tcPr>
          <w:p w14:paraId="12C3E25B"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7FCF65D1"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5281FBEF"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br/>
              <w:t>This works with a simple geometric shape because you need only a few clues to remind you of the shape. More complex objects require more careful consideration as to what can and cannot be removed. Some information is critical and must be included; some information is unessential and can (and perhaps should) be eliminated.</w:t>
            </w:r>
          </w:p>
        </w:tc>
        <w:tc>
          <w:tcPr>
            <w:tcW w:w="270" w:type="dxa"/>
            <w:vAlign w:val="center"/>
            <w:hideMark/>
          </w:tcPr>
          <w:p w14:paraId="5FAAE726"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2390ABF3" w14:textId="77777777" w:rsidTr="002D18A6">
        <w:trPr>
          <w:tblCellSpacing w:w="0" w:type="dxa"/>
          <w:jc w:val="center"/>
        </w:trPr>
        <w:tc>
          <w:tcPr>
            <w:tcW w:w="180" w:type="dxa"/>
            <w:shd w:val="clear" w:color="auto" w:fill="FFCC99"/>
            <w:hideMark/>
          </w:tcPr>
          <w:p w14:paraId="570469AB"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5F56B06B"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hideMark/>
          </w:tcPr>
          <w:p w14:paraId="1BBAD6E9"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69D35A8B"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6C4585A6"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br/>
              <w:t>Closure is used extensively in art. It is not so much the quantity, but rather the quality of the information that lets you read an image. A clever artist leaves some things for the viewers to supply when they look at an image. It is a little like when the singer at a concert gets the audience to sing along. You feel like part of the show.</w:t>
            </w:r>
          </w:p>
        </w:tc>
        <w:tc>
          <w:tcPr>
            <w:tcW w:w="270" w:type="dxa"/>
            <w:vAlign w:val="center"/>
            <w:hideMark/>
          </w:tcPr>
          <w:p w14:paraId="42251483"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18B724E1" w14:textId="77777777" w:rsidTr="002D18A6">
        <w:trPr>
          <w:tblCellSpacing w:w="0" w:type="dxa"/>
          <w:jc w:val="center"/>
        </w:trPr>
        <w:tc>
          <w:tcPr>
            <w:tcW w:w="180" w:type="dxa"/>
            <w:shd w:val="clear" w:color="auto" w:fill="FFCC99"/>
            <w:hideMark/>
          </w:tcPr>
          <w:p w14:paraId="00215243"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vAlign w:val="center"/>
            <w:hideMark/>
          </w:tcPr>
          <w:p w14:paraId="195D84AC" w14:textId="77777777" w:rsidR="002D18A6" w:rsidRPr="00BC081A" w:rsidRDefault="002D18A6" w:rsidP="002D18A6">
            <w:pPr>
              <w:spacing w:line="240" w:lineRule="auto"/>
              <w:jc w:val="center"/>
              <w:rPr>
                <w:rFonts w:ascii="Times New Roman" w:eastAsia="Times New Roman" w:hAnsi="Times New Roman" w:cs="Times New Roman"/>
              </w:rPr>
            </w:pPr>
            <w:r w:rsidRPr="00BC081A">
              <w:rPr>
                <w:rFonts w:ascii="Times New Roman" w:eastAsia="Times New Roman" w:hAnsi="Times New Roman" w:cs="Times New Roman"/>
                <w:noProof/>
                <w:lang w:val="en-US"/>
              </w:rPr>
              <w:drawing>
                <wp:inline distT="0" distB="0" distL="0" distR="0" wp14:anchorId="3CAAA054" wp14:editId="78D58C88">
                  <wp:extent cx="1186815" cy="495935"/>
                  <wp:effectExtent l="0" t="0" r="0" b="0"/>
                  <wp:docPr id="24" name="Picture 24" descr="http://daphne.palomar.edu/design/gestalt/contin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phne.palomar.edu/design/gestalt/continu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6815" cy="495935"/>
                          </a:xfrm>
                          <a:prstGeom prst="rect">
                            <a:avLst/>
                          </a:prstGeom>
                          <a:noFill/>
                          <a:ln>
                            <a:noFill/>
                          </a:ln>
                        </pic:spPr>
                      </pic:pic>
                    </a:graphicData>
                  </a:graphic>
                </wp:inline>
              </w:drawing>
            </w:r>
          </w:p>
        </w:tc>
        <w:tc>
          <w:tcPr>
            <w:tcW w:w="180" w:type="dxa"/>
            <w:shd w:val="clear" w:color="auto" w:fill="FFCC99"/>
            <w:hideMark/>
          </w:tcPr>
          <w:p w14:paraId="33B77408"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1FEB2BEF"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1C013164" w14:textId="77777777" w:rsidR="002D18A6" w:rsidRPr="00BC081A" w:rsidRDefault="002D18A6" w:rsidP="002D18A6">
            <w:pPr>
              <w:spacing w:before="100" w:beforeAutospacing="1" w:after="100" w:afterAutospacing="1" w:line="240" w:lineRule="auto"/>
              <w:rPr>
                <w:rFonts w:ascii="Times New Roman" w:eastAsia="Times New Roman" w:hAnsi="Times New Roman" w:cs="Times New Roman"/>
              </w:rPr>
            </w:pPr>
            <w:r w:rsidRPr="00BC081A">
              <w:rPr>
                <w:rFonts w:ascii="Times New Roman" w:eastAsia="Times New Roman" w:hAnsi="Times New Roman" w:cs="Times New Roman"/>
              </w:rPr>
              <w:br/>
            </w:r>
            <w:bookmarkStart w:id="158" w:name="anchor1130271"/>
            <w:bookmarkEnd w:id="158"/>
            <w:r w:rsidRPr="00BC081A">
              <w:rPr>
                <w:rFonts w:ascii="Arial" w:eastAsia="Times New Roman" w:hAnsi="Arial" w:cs="Arial"/>
                <w:b/>
                <w:bCs/>
              </w:rPr>
              <w:t>CONTINUANCE</w:t>
            </w:r>
            <w:r w:rsidRPr="00BC081A">
              <w:rPr>
                <w:rFonts w:ascii="Times New Roman" w:eastAsia="Times New Roman" w:hAnsi="Times New Roman" w:cs="Times New Roman"/>
              </w:rPr>
              <w:br/>
              <w:t>Continuance describes a device for directing the viewer's attention when looking at a composition. It is based on the idea that once you start looking in a particular direction you will continue looking in that direction until you see something significant.</w:t>
            </w:r>
          </w:p>
          <w:p w14:paraId="74D07A54"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A simple example of this is illustrated. You notice the small circle that the hand points at in preference to the closer, larger circle. In a sense this is a kind of closure -- a grouping of disconnected items by momentum.</w:t>
            </w:r>
          </w:p>
          <w:p w14:paraId="7CF1E0C6"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rPr>
              <w:t xml:space="preserve">This feature is built into typography since we are taught to read </w:t>
            </w:r>
            <w:r w:rsidRPr="00BC081A">
              <w:rPr>
                <w:rFonts w:ascii="Times New Roman" w:eastAsia="Times New Roman" w:hAnsi="Times New Roman" w:cs="Times New Roman"/>
              </w:rPr>
              <w:lastRenderedPageBreak/>
              <w:t xml:space="preserve">left to right in our culture. Once you start reading you will continue across a gap to </w:t>
            </w:r>
            <w:r w:rsidRPr="00BC081A">
              <w:rPr>
                <w:rFonts w:ascii="Times New Roman" w:eastAsia="Times New Roman" w:hAnsi="Times New Roman" w:cs="Times New Roman"/>
                <w:color w:val="FFFFFF"/>
              </w:rPr>
              <w:t>............</w:t>
            </w:r>
            <w:r w:rsidRPr="00BC081A">
              <w:rPr>
                <w:rFonts w:ascii="Times New Roman" w:eastAsia="Times New Roman" w:hAnsi="Times New Roman" w:cs="Times New Roman"/>
              </w:rPr>
              <w:t xml:space="preserve">the next words. </w:t>
            </w:r>
          </w:p>
        </w:tc>
        <w:tc>
          <w:tcPr>
            <w:tcW w:w="270" w:type="dxa"/>
            <w:vAlign w:val="center"/>
            <w:hideMark/>
          </w:tcPr>
          <w:p w14:paraId="6648FA4C"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lastRenderedPageBreak/>
              <w:t> </w:t>
            </w:r>
          </w:p>
        </w:tc>
      </w:tr>
      <w:tr w:rsidR="002D18A6" w:rsidRPr="00BC081A" w14:paraId="71F83E13" w14:textId="77777777" w:rsidTr="002D18A6">
        <w:trPr>
          <w:tblCellSpacing w:w="0" w:type="dxa"/>
          <w:jc w:val="center"/>
        </w:trPr>
        <w:tc>
          <w:tcPr>
            <w:tcW w:w="180" w:type="dxa"/>
            <w:shd w:val="clear" w:color="auto" w:fill="FFCC99"/>
            <w:hideMark/>
          </w:tcPr>
          <w:p w14:paraId="450E9B76"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lastRenderedPageBreak/>
              <w:t> </w:t>
            </w:r>
          </w:p>
        </w:tc>
        <w:tc>
          <w:tcPr>
            <w:tcW w:w="1890" w:type="dxa"/>
            <w:shd w:val="clear" w:color="auto" w:fill="FFCC99"/>
            <w:hideMark/>
          </w:tcPr>
          <w:p w14:paraId="5C6EE1E5"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hideMark/>
          </w:tcPr>
          <w:p w14:paraId="24DCFAD7"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4C8FCC1E"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439675B6" w14:textId="77777777" w:rsidR="002D18A6" w:rsidRPr="00BC081A" w:rsidRDefault="002D18A6" w:rsidP="002D18A6">
            <w:pPr>
              <w:spacing w:before="100" w:beforeAutospacing="1" w:after="100" w:afterAutospacing="1" w:line="240" w:lineRule="auto"/>
              <w:rPr>
                <w:rFonts w:ascii="Times New Roman" w:eastAsia="Times New Roman" w:hAnsi="Times New Roman" w:cs="Times New Roman"/>
              </w:rPr>
            </w:pPr>
            <w:r w:rsidRPr="00BC081A">
              <w:rPr>
                <w:rFonts w:ascii="Times New Roman" w:eastAsia="Times New Roman" w:hAnsi="Times New Roman" w:cs="Times New Roman"/>
              </w:rPr>
              <w:br/>
              <w:t>All kinds of pointing devices are used in design. Many of these are more subtle than a pointing hand or arrow:</w:t>
            </w:r>
          </w:p>
          <w:p w14:paraId="7E2EA6A6" w14:textId="77777777" w:rsidR="002D18A6" w:rsidRPr="00BC081A" w:rsidRDefault="002D18A6" w:rsidP="002D18A6">
            <w:pPr>
              <w:spacing w:before="100" w:beforeAutospacing="1" w:after="100" w:afterAutospacing="1" w:line="240" w:lineRule="auto"/>
              <w:ind w:firstLine="0"/>
              <w:rPr>
                <w:rFonts w:ascii="Times New Roman" w:eastAsia="Times New Roman" w:hAnsi="Times New Roman" w:cs="Times New Roman"/>
              </w:rPr>
            </w:pPr>
            <w:r w:rsidRPr="00BC081A">
              <w:rPr>
                <w:rFonts w:ascii="Times New Roman" w:eastAsia="Times New Roman" w:hAnsi="Times New Roman" w:cs="Times New Roman"/>
                <w:b/>
                <w:bCs/>
              </w:rPr>
              <w:t>Eye direction:</w:t>
            </w:r>
            <w:r w:rsidRPr="00BC081A">
              <w:rPr>
                <w:rFonts w:ascii="Times New Roman" w:eastAsia="Times New Roman" w:hAnsi="Times New Roman" w:cs="Times New Roman"/>
              </w:rPr>
              <w:t xml:space="preserve"> If the subject of a composition is looking in a particular direction, you will look to see what they are looking at. It is an old trick to look up into the sky and see how many other will look with you. </w:t>
            </w:r>
          </w:p>
        </w:tc>
        <w:tc>
          <w:tcPr>
            <w:tcW w:w="270" w:type="dxa"/>
            <w:vAlign w:val="center"/>
            <w:hideMark/>
          </w:tcPr>
          <w:p w14:paraId="5EBC1ED8"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75E7F818" w14:textId="77777777" w:rsidTr="002D18A6">
        <w:trPr>
          <w:tblCellSpacing w:w="0" w:type="dxa"/>
          <w:jc w:val="center"/>
        </w:trPr>
        <w:tc>
          <w:tcPr>
            <w:tcW w:w="180" w:type="dxa"/>
            <w:shd w:val="clear" w:color="auto" w:fill="FFCC99"/>
            <w:hideMark/>
          </w:tcPr>
          <w:p w14:paraId="5B725789"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4C950DB1"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hideMark/>
          </w:tcPr>
          <w:p w14:paraId="0D3B20DC"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30685E6E"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2EFB78E1"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br/>
            </w:r>
            <w:r w:rsidRPr="00BC081A">
              <w:rPr>
                <w:rFonts w:ascii="Times New Roman" w:eastAsia="Times New Roman" w:hAnsi="Times New Roman" w:cs="Times New Roman"/>
                <w:b/>
                <w:bCs/>
              </w:rPr>
              <w:t>Paths:</w:t>
            </w:r>
            <w:r w:rsidRPr="00BC081A">
              <w:rPr>
                <w:rFonts w:ascii="Times New Roman" w:eastAsia="Times New Roman" w:hAnsi="Times New Roman" w:cs="Times New Roman"/>
              </w:rPr>
              <w:t xml:space="preserve"> Rivers, roads, railroad tracks and rows of trees or telephone poles are just a few of the devices that artists have used to lead viewers to particular places in their compositions.</w:t>
            </w:r>
          </w:p>
        </w:tc>
        <w:tc>
          <w:tcPr>
            <w:tcW w:w="270" w:type="dxa"/>
            <w:vAlign w:val="center"/>
            <w:hideMark/>
          </w:tcPr>
          <w:p w14:paraId="00591E31"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5F96CA2D" w14:textId="77777777" w:rsidTr="002D18A6">
        <w:trPr>
          <w:tblCellSpacing w:w="0" w:type="dxa"/>
          <w:jc w:val="center"/>
        </w:trPr>
        <w:tc>
          <w:tcPr>
            <w:tcW w:w="180" w:type="dxa"/>
            <w:shd w:val="clear" w:color="auto" w:fill="FFCC99"/>
            <w:hideMark/>
          </w:tcPr>
          <w:p w14:paraId="5F2596B2"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40131B22"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hideMark/>
          </w:tcPr>
          <w:p w14:paraId="3804B37B"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shd w:val="clear" w:color="auto" w:fill="FFFFFF"/>
            <w:vAlign w:val="center"/>
            <w:hideMark/>
          </w:tcPr>
          <w:p w14:paraId="27663E24"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shd w:val="clear" w:color="auto" w:fill="FFFFFF"/>
            <w:hideMark/>
          </w:tcPr>
          <w:p w14:paraId="186AB75C"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br/>
            </w:r>
            <w:r w:rsidRPr="00BC081A">
              <w:rPr>
                <w:rFonts w:ascii="Times New Roman" w:eastAsia="Times New Roman" w:hAnsi="Times New Roman" w:cs="Times New Roman"/>
                <w:b/>
                <w:bCs/>
              </w:rPr>
              <w:t>Perspective:</w:t>
            </w:r>
            <w:r w:rsidRPr="00BC081A">
              <w:rPr>
                <w:rFonts w:ascii="Times New Roman" w:eastAsia="Times New Roman" w:hAnsi="Times New Roman" w:cs="Times New Roman"/>
              </w:rPr>
              <w:t xml:space="preserve"> Lines of perspective, like paths, can be used to direct attention to a focal point in a composition. You will study perspective in a few weeks when you study the design element space.</w:t>
            </w:r>
          </w:p>
        </w:tc>
        <w:tc>
          <w:tcPr>
            <w:tcW w:w="270" w:type="dxa"/>
            <w:vAlign w:val="center"/>
            <w:hideMark/>
          </w:tcPr>
          <w:p w14:paraId="5108F473"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2169C194" w14:textId="77777777" w:rsidTr="002D18A6">
        <w:trPr>
          <w:trHeight w:val="1365"/>
          <w:tblCellSpacing w:w="0" w:type="dxa"/>
          <w:jc w:val="center"/>
        </w:trPr>
        <w:tc>
          <w:tcPr>
            <w:tcW w:w="180" w:type="dxa"/>
            <w:shd w:val="clear" w:color="auto" w:fill="FFCC99"/>
            <w:vAlign w:val="center"/>
            <w:hideMark/>
          </w:tcPr>
          <w:p w14:paraId="36D6F77D"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6FE159C3" w14:textId="77777777" w:rsidR="002D18A6" w:rsidRPr="00BC081A" w:rsidRDefault="002D18A6" w:rsidP="002D18A6">
            <w:pPr>
              <w:spacing w:line="240" w:lineRule="auto"/>
              <w:jc w:val="center"/>
              <w:rPr>
                <w:rFonts w:ascii="Times New Roman" w:eastAsia="Times New Roman" w:hAnsi="Times New Roman" w:cs="Times New Roman"/>
              </w:rPr>
            </w:pPr>
            <w:r w:rsidRPr="00BC081A">
              <w:rPr>
                <w:rFonts w:ascii="Times New Roman" w:eastAsia="Times New Roman" w:hAnsi="Times New Roman" w:cs="Times New Roman"/>
                <w:noProof/>
                <w:color w:val="0000FF"/>
                <w:lang w:val="en-US"/>
              </w:rPr>
              <w:drawing>
                <wp:inline distT="0" distB="0" distL="0" distR="0" wp14:anchorId="337D2B54" wp14:editId="63F3FAF9">
                  <wp:extent cx="1186815" cy="846455"/>
                  <wp:effectExtent l="0" t="0" r="0" b="0"/>
                  <wp:docPr id="25" name="Picture 25" descr="http://daphne.palomar.edu/design/gestalt/lastsupp.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phne.palomar.edu/design/gestalt/lastsupp.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6815" cy="846455"/>
                          </a:xfrm>
                          <a:prstGeom prst="rect">
                            <a:avLst/>
                          </a:prstGeom>
                          <a:noFill/>
                          <a:ln>
                            <a:noFill/>
                          </a:ln>
                        </pic:spPr>
                      </pic:pic>
                    </a:graphicData>
                  </a:graphic>
                </wp:inline>
              </w:drawing>
            </w:r>
          </w:p>
        </w:tc>
        <w:tc>
          <w:tcPr>
            <w:tcW w:w="180" w:type="dxa"/>
            <w:shd w:val="clear" w:color="auto" w:fill="FFCC99"/>
            <w:vAlign w:val="center"/>
            <w:hideMark/>
          </w:tcPr>
          <w:p w14:paraId="333D8880"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vAlign w:val="center"/>
            <w:hideMark/>
          </w:tcPr>
          <w:p w14:paraId="5AAA5750"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hideMark/>
          </w:tcPr>
          <w:p w14:paraId="53E47679" w14:textId="77777777" w:rsidR="002D18A6" w:rsidRPr="00BC081A" w:rsidRDefault="002D18A6" w:rsidP="002D18A6">
            <w:pPr>
              <w:spacing w:before="100" w:beforeAutospacing="1" w:after="100" w:afterAutospacing="1" w:line="240" w:lineRule="auto"/>
              <w:rPr>
                <w:rFonts w:ascii="Times New Roman" w:eastAsia="Times New Roman" w:hAnsi="Times New Roman" w:cs="Times New Roman"/>
              </w:rPr>
            </w:pPr>
            <w:r w:rsidRPr="00BC081A">
              <w:rPr>
                <w:rFonts w:ascii="Times New Roman" w:eastAsia="Times New Roman" w:hAnsi="Times New Roman" w:cs="Times New Roman"/>
              </w:rPr>
              <w:br/>
              <w:t xml:space="preserve">Leonardo de Vinci used some of these devices in his mural "The Last Supper." Notice how you look from one apostle to another because of the way they are looking at each other, but finally end up looking at Jesus. The building they are in uses one point linear perspective to also focus you on the central figure of Jesus. </w:t>
            </w:r>
          </w:p>
        </w:tc>
        <w:tc>
          <w:tcPr>
            <w:tcW w:w="270" w:type="dxa"/>
            <w:vAlign w:val="center"/>
            <w:hideMark/>
          </w:tcPr>
          <w:p w14:paraId="7EA1D4B3"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09D5BCC3" w14:textId="77777777" w:rsidTr="002D18A6">
        <w:trPr>
          <w:tblCellSpacing w:w="0" w:type="dxa"/>
          <w:jc w:val="center"/>
        </w:trPr>
        <w:tc>
          <w:tcPr>
            <w:tcW w:w="180" w:type="dxa"/>
            <w:shd w:val="clear" w:color="auto" w:fill="FFCC99"/>
            <w:vAlign w:val="center"/>
            <w:hideMark/>
          </w:tcPr>
          <w:p w14:paraId="713409A1"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74624E89"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vAlign w:val="center"/>
            <w:hideMark/>
          </w:tcPr>
          <w:p w14:paraId="7A6BD115"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vAlign w:val="center"/>
            <w:hideMark/>
          </w:tcPr>
          <w:p w14:paraId="15410173"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tcPr>
          <w:p w14:paraId="79E16520" w14:textId="77777777" w:rsidR="002D18A6" w:rsidRPr="00BC081A" w:rsidRDefault="002D18A6" w:rsidP="002D18A6">
            <w:pPr>
              <w:spacing w:line="240" w:lineRule="auto"/>
              <w:rPr>
                <w:rFonts w:ascii="Times New Roman" w:eastAsia="Times New Roman" w:hAnsi="Times New Roman" w:cs="Times New Roman"/>
              </w:rPr>
            </w:pPr>
          </w:p>
        </w:tc>
        <w:tc>
          <w:tcPr>
            <w:tcW w:w="270" w:type="dxa"/>
            <w:vAlign w:val="center"/>
            <w:hideMark/>
          </w:tcPr>
          <w:p w14:paraId="56F18059"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r>
      <w:tr w:rsidR="002D18A6" w:rsidRPr="00BC081A" w14:paraId="7E1EB018" w14:textId="77777777" w:rsidTr="002D18A6">
        <w:trPr>
          <w:tblCellSpacing w:w="0" w:type="dxa"/>
          <w:jc w:val="center"/>
        </w:trPr>
        <w:tc>
          <w:tcPr>
            <w:tcW w:w="180" w:type="dxa"/>
            <w:shd w:val="clear" w:color="auto" w:fill="FFCC99"/>
            <w:vAlign w:val="center"/>
            <w:hideMark/>
          </w:tcPr>
          <w:p w14:paraId="67B743ED"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90" w:type="dxa"/>
            <w:shd w:val="clear" w:color="auto" w:fill="FFCC99"/>
            <w:hideMark/>
          </w:tcPr>
          <w:p w14:paraId="7CB5D90C"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180" w:type="dxa"/>
            <w:shd w:val="clear" w:color="auto" w:fill="FFCC99"/>
            <w:vAlign w:val="center"/>
            <w:hideMark/>
          </w:tcPr>
          <w:p w14:paraId="6754AE86"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270" w:type="dxa"/>
            <w:vAlign w:val="center"/>
            <w:hideMark/>
          </w:tcPr>
          <w:p w14:paraId="36B82C9D" w14:textId="77777777" w:rsidR="002D18A6" w:rsidRPr="00BC081A" w:rsidRDefault="002D18A6" w:rsidP="002D18A6">
            <w:pPr>
              <w:spacing w:line="240" w:lineRule="auto"/>
              <w:rPr>
                <w:rFonts w:ascii="Times New Roman" w:eastAsia="Times New Roman" w:hAnsi="Times New Roman" w:cs="Times New Roman"/>
              </w:rPr>
            </w:pPr>
            <w:r w:rsidRPr="00BC081A">
              <w:rPr>
                <w:rFonts w:ascii="Times New Roman" w:eastAsia="Times New Roman" w:hAnsi="Times New Roman" w:cs="Times New Roman"/>
              </w:rPr>
              <w:t> </w:t>
            </w:r>
          </w:p>
        </w:tc>
        <w:tc>
          <w:tcPr>
            <w:tcW w:w="6210" w:type="dxa"/>
          </w:tcPr>
          <w:p w14:paraId="52944605" w14:textId="77777777" w:rsidR="002D18A6" w:rsidRPr="00BC081A" w:rsidRDefault="002D18A6" w:rsidP="002D18A6">
            <w:pPr>
              <w:spacing w:line="240" w:lineRule="auto"/>
              <w:rPr>
                <w:rFonts w:ascii="Times New Roman" w:eastAsia="Times New Roman" w:hAnsi="Times New Roman" w:cs="Times New Roman"/>
              </w:rPr>
            </w:pPr>
          </w:p>
        </w:tc>
        <w:tc>
          <w:tcPr>
            <w:tcW w:w="0" w:type="auto"/>
            <w:vAlign w:val="center"/>
            <w:hideMark/>
          </w:tcPr>
          <w:p w14:paraId="1D4F167E" w14:textId="77777777" w:rsidR="002D18A6" w:rsidRPr="00BC081A" w:rsidRDefault="002D18A6" w:rsidP="002D18A6">
            <w:pPr>
              <w:spacing w:line="240" w:lineRule="auto"/>
              <w:rPr>
                <w:rFonts w:ascii="Times New Roman" w:eastAsia="Times New Roman" w:hAnsi="Times New Roman" w:cs="Times New Roman"/>
                <w:sz w:val="20"/>
                <w:szCs w:val="20"/>
              </w:rPr>
            </w:pPr>
          </w:p>
        </w:tc>
      </w:tr>
    </w:tbl>
    <w:p w14:paraId="7A567E21" w14:textId="77777777" w:rsidR="002D18A6" w:rsidRPr="00BC081A" w:rsidRDefault="002D18A6" w:rsidP="002D18A6"/>
    <w:p w14:paraId="6331AA1A" w14:textId="77777777" w:rsidR="002D18A6" w:rsidRPr="00BC081A" w:rsidRDefault="002D18A6" w:rsidP="002D18A6"/>
    <w:p w14:paraId="5E6D994C" w14:textId="1DB8E77D" w:rsidR="00FC38F5" w:rsidRPr="00BC081A" w:rsidRDefault="00FC38F5">
      <w:pPr>
        <w:spacing w:line="240" w:lineRule="auto"/>
        <w:ind w:firstLine="0"/>
      </w:pPr>
      <w:r w:rsidRPr="00BC081A">
        <w:br w:type="page"/>
      </w:r>
    </w:p>
    <w:p w14:paraId="057F0DF4" w14:textId="31F0E355" w:rsidR="000B1497" w:rsidRPr="00BC081A" w:rsidRDefault="000B1497" w:rsidP="00536F6A">
      <w:pPr>
        <w:pStyle w:val="AppendixHeading"/>
        <w:numPr>
          <w:ilvl w:val="0"/>
          <w:numId w:val="30"/>
        </w:numPr>
      </w:pPr>
      <w:r w:rsidRPr="00BC081A">
        <w:lastRenderedPageBreak/>
        <w:t>Experiment’s Consent form</w:t>
      </w:r>
    </w:p>
    <w:p w14:paraId="0B74BF3E" w14:textId="77777777" w:rsidR="000B1497" w:rsidRPr="00BC081A" w:rsidRDefault="000B1497" w:rsidP="000B1497"/>
    <w:p w14:paraId="646E4590" w14:textId="2F3EEC58" w:rsidR="000B1497" w:rsidRPr="00BC081A" w:rsidRDefault="000B1497" w:rsidP="000B1497">
      <w:pPr>
        <w:rPr>
          <w:sz w:val="20"/>
        </w:rPr>
      </w:pPr>
      <w:r w:rsidRPr="00BC081A">
        <w:rPr>
          <w:sz w:val="20"/>
        </w:rPr>
        <w:t>DATE: ________</w:t>
      </w:r>
    </w:p>
    <w:p w14:paraId="756F7F39" w14:textId="77777777" w:rsidR="000B1497" w:rsidRPr="00BC081A" w:rsidRDefault="000B1497" w:rsidP="000B1497">
      <w:pPr>
        <w:jc w:val="center"/>
        <w:rPr>
          <w:b/>
          <w:sz w:val="20"/>
        </w:rPr>
      </w:pPr>
    </w:p>
    <w:p w14:paraId="6A9E9775" w14:textId="1BFDC895" w:rsidR="000B1497" w:rsidRPr="00BC081A" w:rsidRDefault="000B1497" w:rsidP="000B1497">
      <w:pPr>
        <w:jc w:val="center"/>
        <w:rPr>
          <w:b/>
          <w:sz w:val="20"/>
        </w:rPr>
      </w:pPr>
      <w:r w:rsidRPr="00BC081A">
        <w:rPr>
          <w:b/>
          <w:sz w:val="20"/>
        </w:rPr>
        <w:t xml:space="preserve">LETTER OF INFORMATION / CONSENT </w:t>
      </w:r>
    </w:p>
    <w:p w14:paraId="61255F6F" w14:textId="77777777" w:rsidR="000B1497" w:rsidRPr="00BC081A" w:rsidRDefault="000B1497" w:rsidP="000B1497">
      <w:pPr>
        <w:jc w:val="center"/>
        <w:rPr>
          <w:b/>
          <w:sz w:val="20"/>
        </w:rPr>
      </w:pPr>
      <w:r w:rsidRPr="00BC081A">
        <w:rPr>
          <w:b/>
          <w:sz w:val="20"/>
        </w:rPr>
        <w:t xml:space="preserve">Typing Gaming Study: </w:t>
      </w:r>
    </w:p>
    <w:p w14:paraId="71CB0FCB" w14:textId="77777777" w:rsidR="000B1497" w:rsidRPr="00BC081A" w:rsidRDefault="000B1497" w:rsidP="000B1497">
      <w:pPr>
        <w:jc w:val="center"/>
        <w:rPr>
          <w:b/>
          <w:sz w:val="20"/>
        </w:rPr>
      </w:pPr>
      <w:proofErr w:type="gramStart"/>
      <w:r w:rsidRPr="00BC081A">
        <w:rPr>
          <w:b/>
          <w:sz w:val="20"/>
        </w:rPr>
        <w:t>the</w:t>
      </w:r>
      <w:proofErr w:type="gramEnd"/>
      <w:r w:rsidRPr="00BC081A">
        <w:rPr>
          <w:b/>
          <w:sz w:val="20"/>
        </w:rPr>
        <w:t xml:space="preserve"> Role of Competition in Video Games</w:t>
      </w:r>
    </w:p>
    <w:p w14:paraId="1629E339" w14:textId="77777777" w:rsidR="000B1497" w:rsidRPr="00BC081A" w:rsidRDefault="000B1497" w:rsidP="000B1497">
      <w:pPr>
        <w:jc w:val="center"/>
        <w:rPr>
          <w:sz w:val="20"/>
        </w:rPr>
      </w:pPr>
    </w:p>
    <w:p w14:paraId="4A48946F" w14:textId="32317AC0" w:rsidR="000B1497" w:rsidRPr="00BC081A" w:rsidRDefault="000B1497" w:rsidP="000B1497">
      <w:pPr>
        <w:rPr>
          <w:b/>
          <w:sz w:val="20"/>
        </w:rPr>
      </w:pPr>
      <w:r w:rsidRPr="00BC081A">
        <w:rPr>
          <w:b/>
          <w:sz w:val="20"/>
        </w:rPr>
        <w:t xml:space="preserve">Investigators:                                                                            </w:t>
      </w:r>
      <w:r w:rsidRPr="00BC081A">
        <w:rPr>
          <w:b/>
          <w:sz w:val="20"/>
        </w:rPr>
        <w:tab/>
      </w:r>
      <w:r w:rsidRPr="00BC081A">
        <w:rPr>
          <w:b/>
          <w:sz w:val="20"/>
        </w:rPr>
        <w:tab/>
      </w:r>
      <w:r w:rsidRPr="00BC081A">
        <w:rPr>
          <w:b/>
          <w:sz w:val="20"/>
        </w:rPr>
        <w:tab/>
      </w:r>
      <w:r w:rsidRPr="00BC081A">
        <w:rPr>
          <w:b/>
          <w:sz w:val="20"/>
        </w:rPr>
        <w:tab/>
      </w:r>
    </w:p>
    <w:tbl>
      <w:tblPr>
        <w:tblW w:w="0" w:type="auto"/>
        <w:tblLook w:val="04A0" w:firstRow="1" w:lastRow="0" w:firstColumn="1" w:lastColumn="0" w:noHBand="0" w:noVBand="1"/>
      </w:tblPr>
      <w:tblGrid>
        <w:gridCol w:w="4428"/>
        <w:gridCol w:w="4428"/>
      </w:tblGrid>
      <w:tr w:rsidR="000B1497" w:rsidRPr="00BC081A" w14:paraId="1C4412DE" w14:textId="77777777" w:rsidTr="001B0AAF">
        <w:tc>
          <w:tcPr>
            <w:tcW w:w="4428" w:type="dxa"/>
            <w:shd w:val="clear" w:color="auto" w:fill="auto"/>
          </w:tcPr>
          <w:p w14:paraId="5D7349E7" w14:textId="77777777" w:rsidR="000B1497" w:rsidRPr="00BC081A" w:rsidRDefault="000B1497" w:rsidP="000B1497">
            <w:pPr>
              <w:spacing w:line="240" w:lineRule="auto"/>
            </w:pPr>
            <w:r w:rsidRPr="00BC081A">
              <w:rPr>
                <w:b/>
                <w:sz w:val="20"/>
              </w:rPr>
              <w:t>Principal Investigator:</w:t>
            </w:r>
          </w:p>
          <w:p w14:paraId="2AE70C1E" w14:textId="77777777" w:rsidR="000B1497" w:rsidRPr="00BC081A" w:rsidRDefault="000B1497" w:rsidP="000B1497">
            <w:pPr>
              <w:spacing w:line="240" w:lineRule="auto"/>
            </w:pPr>
            <w:r w:rsidRPr="00BC081A">
              <w:rPr>
                <w:sz w:val="20"/>
              </w:rPr>
              <w:t>Sepandar Sepehr</w:t>
            </w:r>
          </w:p>
          <w:p w14:paraId="7CC8B5A2" w14:textId="77777777" w:rsidR="000B1497" w:rsidRPr="00BC081A" w:rsidRDefault="000B1497" w:rsidP="000B1497">
            <w:pPr>
              <w:spacing w:line="240" w:lineRule="auto"/>
            </w:pPr>
            <w:r w:rsidRPr="00BC081A">
              <w:rPr>
                <w:sz w:val="20"/>
              </w:rPr>
              <w:t>DeGroote School of Business (DSB A211)</w:t>
            </w:r>
          </w:p>
          <w:p w14:paraId="3AED06C8" w14:textId="77777777" w:rsidR="000B1497" w:rsidRPr="00BC081A" w:rsidRDefault="000B1497" w:rsidP="000B1497">
            <w:pPr>
              <w:spacing w:line="240" w:lineRule="auto"/>
            </w:pPr>
            <w:r w:rsidRPr="00BC081A">
              <w:rPr>
                <w:sz w:val="20"/>
              </w:rPr>
              <w:t xml:space="preserve">McMaster University </w:t>
            </w:r>
          </w:p>
          <w:p w14:paraId="3229F51B" w14:textId="77777777" w:rsidR="000B1497" w:rsidRPr="00BC081A" w:rsidRDefault="000B1497" w:rsidP="000B1497">
            <w:pPr>
              <w:spacing w:line="240" w:lineRule="auto"/>
            </w:pPr>
            <w:r w:rsidRPr="00BC081A">
              <w:rPr>
                <w:sz w:val="20"/>
              </w:rPr>
              <w:t>Hamilton, Ontario, Canada</w:t>
            </w:r>
          </w:p>
          <w:p w14:paraId="0EACED78" w14:textId="77777777" w:rsidR="000B1497" w:rsidRPr="00BC081A" w:rsidRDefault="000B1497" w:rsidP="000B1497">
            <w:pPr>
              <w:spacing w:line="240" w:lineRule="auto"/>
            </w:pPr>
            <w:r w:rsidRPr="00BC081A">
              <w:rPr>
                <w:b/>
                <w:sz w:val="20"/>
              </w:rPr>
              <w:t>(905) 525-9140 ext. 23126</w:t>
            </w:r>
          </w:p>
          <w:p w14:paraId="1B1ED436" w14:textId="77777777" w:rsidR="000B1497" w:rsidRPr="00BC081A" w:rsidRDefault="000B1497" w:rsidP="000B1497">
            <w:pPr>
              <w:spacing w:line="240" w:lineRule="auto"/>
            </w:pPr>
            <w:r w:rsidRPr="00BC081A">
              <w:rPr>
                <w:sz w:val="20"/>
              </w:rPr>
              <w:t>E-mail: sepehrs@mcmaster.ca</w:t>
            </w:r>
          </w:p>
        </w:tc>
        <w:tc>
          <w:tcPr>
            <w:tcW w:w="4428" w:type="dxa"/>
            <w:shd w:val="clear" w:color="auto" w:fill="auto"/>
          </w:tcPr>
          <w:p w14:paraId="08BFD744" w14:textId="77777777" w:rsidR="000B1497" w:rsidRPr="00BC081A" w:rsidRDefault="000B1497" w:rsidP="000B1497">
            <w:pPr>
              <w:spacing w:line="240" w:lineRule="auto"/>
              <w:rPr>
                <w:sz w:val="20"/>
              </w:rPr>
            </w:pPr>
            <w:r w:rsidRPr="00BC081A">
              <w:rPr>
                <w:b/>
                <w:sz w:val="20"/>
              </w:rPr>
              <w:t>Faculty Supervisor:</w:t>
            </w:r>
            <w:r w:rsidRPr="00BC081A">
              <w:rPr>
                <w:sz w:val="20"/>
              </w:rPr>
              <w:tab/>
            </w:r>
            <w:r w:rsidRPr="00BC081A">
              <w:rPr>
                <w:sz w:val="20"/>
              </w:rPr>
              <w:tab/>
            </w:r>
            <w:r w:rsidRPr="00BC081A">
              <w:rPr>
                <w:sz w:val="20"/>
              </w:rPr>
              <w:tab/>
            </w:r>
          </w:p>
          <w:p w14:paraId="42B1EF4B" w14:textId="77777777" w:rsidR="000B1497" w:rsidRPr="00BC081A" w:rsidRDefault="000B1497" w:rsidP="000B1497">
            <w:pPr>
              <w:spacing w:line="240" w:lineRule="auto"/>
              <w:rPr>
                <w:sz w:val="20"/>
              </w:rPr>
            </w:pPr>
            <w:r w:rsidRPr="00BC081A">
              <w:rPr>
                <w:sz w:val="20"/>
              </w:rPr>
              <w:t>Dr. Milena Head</w:t>
            </w:r>
            <w:r w:rsidRPr="00BC081A">
              <w:rPr>
                <w:sz w:val="20"/>
              </w:rPr>
              <w:tab/>
            </w:r>
            <w:r w:rsidRPr="00BC081A">
              <w:rPr>
                <w:sz w:val="20"/>
              </w:rPr>
              <w:tab/>
            </w:r>
            <w:r w:rsidRPr="00BC081A">
              <w:rPr>
                <w:sz w:val="20"/>
              </w:rPr>
              <w:tab/>
            </w:r>
          </w:p>
          <w:p w14:paraId="3F35F4CD" w14:textId="77777777" w:rsidR="000B1497" w:rsidRPr="00BC081A" w:rsidRDefault="000B1497" w:rsidP="000B1497">
            <w:pPr>
              <w:spacing w:line="240" w:lineRule="auto"/>
              <w:rPr>
                <w:sz w:val="20"/>
              </w:rPr>
            </w:pPr>
            <w:r w:rsidRPr="00BC081A">
              <w:rPr>
                <w:sz w:val="20"/>
              </w:rPr>
              <w:t>DeGroote School of Business (DSB A206)</w:t>
            </w:r>
          </w:p>
          <w:p w14:paraId="13FD2D2C" w14:textId="77777777" w:rsidR="000B1497" w:rsidRPr="00BC081A" w:rsidRDefault="000B1497" w:rsidP="000B1497">
            <w:pPr>
              <w:spacing w:line="240" w:lineRule="auto"/>
              <w:ind w:right="-1080"/>
              <w:rPr>
                <w:sz w:val="20"/>
              </w:rPr>
            </w:pPr>
            <w:r w:rsidRPr="00BC081A">
              <w:rPr>
                <w:sz w:val="20"/>
              </w:rPr>
              <w:t xml:space="preserve">McMaster University </w:t>
            </w:r>
            <w:r w:rsidRPr="00BC081A">
              <w:rPr>
                <w:sz w:val="20"/>
              </w:rPr>
              <w:tab/>
            </w:r>
            <w:r w:rsidRPr="00BC081A">
              <w:rPr>
                <w:sz w:val="20"/>
              </w:rPr>
              <w:tab/>
            </w:r>
            <w:r w:rsidRPr="00BC081A">
              <w:rPr>
                <w:sz w:val="20"/>
              </w:rPr>
              <w:tab/>
            </w:r>
            <w:r w:rsidRPr="00BC081A">
              <w:rPr>
                <w:sz w:val="20"/>
              </w:rPr>
              <w:tab/>
            </w:r>
          </w:p>
          <w:p w14:paraId="72BABC82" w14:textId="77777777" w:rsidR="000B1497" w:rsidRPr="00BC081A" w:rsidRDefault="000B1497" w:rsidP="000B1497">
            <w:pPr>
              <w:spacing w:line="240" w:lineRule="auto"/>
              <w:rPr>
                <w:sz w:val="20"/>
              </w:rPr>
            </w:pPr>
            <w:r w:rsidRPr="00BC081A">
              <w:rPr>
                <w:sz w:val="20"/>
              </w:rPr>
              <w:t>Hamilton, Ontario, Canada</w:t>
            </w:r>
            <w:r w:rsidRPr="00BC081A">
              <w:rPr>
                <w:sz w:val="20"/>
              </w:rPr>
              <w:tab/>
            </w:r>
            <w:r w:rsidRPr="00BC081A">
              <w:rPr>
                <w:sz w:val="20"/>
              </w:rPr>
              <w:tab/>
            </w:r>
          </w:p>
          <w:p w14:paraId="00DECB08" w14:textId="77777777" w:rsidR="000B1497" w:rsidRPr="00BC081A" w:rsidRDefault="000B1497" w:rsidP="000B1497">
            <w:pPr>
              <w:spacing w:line="240" w:lineRule="auto"/>
              <w:rPr>
                <w:sz w:val="20"/>
              </w:rPr>
            </w:pPr>
            <w:r w:rsidRPr="00BC081A">
              <w:rPr>
                <w:b/>
                <w:sz w:val="20"/>
              </w:rPr>
              <w:t>(905) 525-9140 ext. 24435</w:t>
            </w:r>
            <w:r w:rsidRPr="00BC081A">
              <w:rPr>
                <w:sz w:val="20"/>
              </w:rPr>
              <w:t xml:space="preserve"> </w:t>
            </w:r>
            <w:r w:rsidRPr="00BC081A">
              <w:rPr>
                <w:sz w:val="20"/>
              </w:rPr>
              <w:tab/>
            </w:r>
            <w:r w:rsidRPr="00BC081A">
              <w:rPr>
                <w:sz w:val="20"/>
              </w:rPr>
              <w:tab/>
            </w:r>
          </w:p>
          <w:p w14:paraId="7E1F927F" w14:textId="77777777" w:rsidR="000B1497" w:rsidRPr="00BC081A" w:rsidRDefault="000B1497" w:rsidP="000B1497">
            <w:pPr>
              <w:spacing w:line="240" w:lineRule="auto"/>
              <w:rPr>
                <w:sz w:val="20"/>
              </w:rPr>
            </w:pPr>
            <w:r w:rsidRPr="00BC081A">
              <w:rPr>
                <w:sz w:val="20"/>
              </w:rPr>
              <w:t>E-mail: headm@mcmaster.ca</w:t>
            </w:r>
            <w:r w:rsidRPr="00BC081A">
              <w:rPr>
                <w:sz w:val="20"/>
              </w:rPr>
              <w:tab/>
            </w:r>
          </w:p>
        </w:tc>
      </w:tr>
    </w:tbl>
    <w:p w14:paraId="7A948FE8" w14:textId="77777777" w:rsidR="000B1497" w:rsidRPr="00BC081A" w:rsidRDefault="000B1497" w:rsidP="000B1497">
      <w:pPr>
        <w:rPr>
          <w:sz w:val="20"/>
        </w:rPr>
      </w:pPr>
      <w:r w:rsidRPr="00BC081A">
        <w:rPr>
          <w:sz w:val="20"/>
        </w:rPr>
        <w:tab/>
      </w:r>
      <w:r w:rsidRPr="00BC081A">
        <w:rPr>
          <w:sz w:val="20"/>
        </w:rPr>
        <w:tab/>
      </w:r>
    </w:p>
    <w:p w14:paraId="3061BF81" w14:textId="77777777" w:rsidR="000B1497" w:rsidRPr="00BC081A" w:rsidRDefault="000B1497" w:rsidP="000B1497">
      <w:pPr>
        <w:rPr>
          <w:sz w:val="20"/>
        </w:rPr>
      </w:pPr>
    </w:p>
    <w:p w14:paraId="30FC7408" w14:textId="77777777" w:rsidR="000B1497" w:rsidRPr="00BC081A" w:rsidRDefault="000B1497" w:rsidP="000B1497">
      <w:pPr>
        <w:rPr>
          <w:sz w:val="20"/>
        </w:rPr>
      </w:pPr>
    </w:p>
    <w:p w14:paraId="68150A7F" w14:textId="2E3AB0E7" w:rsidR="000B1497" w:rsidRPr="00BC081A" w:rsidRDefault="000B1497" w:rsidP="000B1497">
      <w:pPr>
        <w:rPr>
          <w:b/>
          <w:sz w:val="20"/>
        </w:rPr>
      </w:pPr>
      <w:r w:rsidRPr="00BC081A">
        <w:rPr>
          <w:b/>
          <w:sz w:val="20"/>
        </w:rPr>
        <w:t>Purpose of the Study</w:t>
      </w:r>
    </w:p>
    <w:p w14:paraId="0A40A3D3" w14:textId="04FDE9FB" w:rsidR="000B1497" w:rsidRPr="00BC081A" w:rsidRDefault="000B1497" w:rsidP="000B1497">
      <w:pPr>
        <w:rPr>
          <w:sz w:val="20"/>
        </w:rPr>
      </w:pPr>
      <w:r w:rsidRPr="00BC081A">
        <w:rPr>
          <w:sz w:val="20"/>
        </w:rPr>
        <w:t xml:space="preserve">You are invited to take part in this study that focuses on the role of competition element of video games. We aim to better understand how competitive environment of video games can affect video </w:t>
      </w:r>
      <w:proofErr w:type="spellStart"/>
      <w:r w:rsidR="00547B98">
        <w:rPr>
          <w:sz w:val="20"/>
        </w:rPr>
        <w:t>gameplay</w:t>
      </w:r>
      <w:r w:rsidRPr="00BC081A">
        <w:rPr>
          <w:sz w:val="20"/>
        </w:rPr>
        <w:t>ers</w:t>
      </w:r>
      <w:proofErr w:type="spellEnd"/>
      <w:r w:rsidRPr="00BC081A">
        <w:rPr>
          <w:sz w:val="20"/>
        </w:rPr>
        <w:t xml:space="preserve"> experience during the gameplay. </w:t>
      </w:r>
    </w:p>
    <w:p w14:paraId="6CD98887" w14:textId="77777777" w:rsidR="000B1497" w:rsidRPr="00BC081A" w:rsidRDefault="000B1497" w:rsidP="000B1497">
      <w:pPr>
        <w:rPr>
          <w:sz w:val="20"/>
        </w:rPr>
      </w:pPr>
    </w:p>
    <w:p w14:paraId="694A45CE" w14:textId="48A64891" w:rsidR="000B1497" w:rsidRPr="00BC081A" w:rsidRDefault="000B1497" w:rsidP="000B1497">
      <w:pPr>
        <w:rPr>
          <w:b/>
          <w:sz w:val="20"/>
        </w:rPr>
      </w:pPr>
      <w:r w:rsidRPr="00BC081A">
        <w:rPr>
          <w:b/>
          <w:sz w:val="20"/>
        </w:rPr>
        <w:t>Procedures involved in the Research</w:t>
      </w:r>
    </w:p>
    <w:p w14:paraId="6164EF70" w14:textId="77777777" w:rsidR="000B1497" w:rsidRPr="00BC081A" w:rsidRDefault="000B1497" w:rsidP="000B1497">
      <w:pPr>
        <w:rPr>
          <w:sz w:val="20"/>
        </w:rPr>
      </w:pPr>
      <w:r w:rsidRPr="00BC081A">
        <w:rPr>
          <w:sz w:val="20"/>
        </w:rPr>
        <w:t xml:space="preserve">Before the study has been started, we will ask you to fill a survey that would ask you some general information including demographics and some personality questions. </w:t>
      </w:r>
    </w:p>
    <w:p w14:paraId="78428256" w14:textId="77777777" w:rsidR="000B1497" w:rsidRPr="00BC081A" w:rsidRDefault="000B1497" w:rsidP="000B1497">
      <w:pPr>
        <w:rPr>
          <w:sz w:val="20"/>
        </w:rPr>
      </w:pPr>
      <w:r w:rsidRPr="00BC081A">
        <w:rPr>
          <w:sz w:val="20"/>
        </w:rPr>
        <w:t xml:space="preserve">During this study, you will play a simple game that is used for improving typing speed. You will be randomly assigned to different groups that you could be playing against yourself or other people or against computer. You will be asked to wear a bracelet that would help us to measure your excitement level during the </w:t>
      </w:r>
      <w:r w:rsidRPr="00BC081A">
        <w:rPr>
          <w:sz w:val="20"/>
        </w:rPr>
        <w:lastRenderedPageBreak/>
        <w:t xml:space="preserve">gameplay. This bracelet includes a sensor that is a wearable, wireless biosensor that measures emotional arousal via skin conductance, a form of </w:t>
      </w:r>
      <w:proofErr w:type="spellStart"/>
      <w:r w:rsidRPr="00BC081A">
        <w:rPr>
          <w:sz w:val="20"/>
        </w:rPr>
        <w:t>electrodermal</w:t>
      </w:r>
      <w:proofErr w:type="spellEnd"/>
      <w:r w:rsidRPr="00BC081A">
        <w:rPr>
          <w:sz w:val="20"/>
        </w:rPr>
        <w:t xml:space="preserve"> activity that grows higher during states such as excitement, attention or anxiety and lower during states such as boredom or relaxation. The sensor also measures temperature and activity.</w:t>
      </w:r>
    </w:p>
    <w:p w14:paraId="2A8F179A" w14:textId="77777777" w:rsidR="000B1497" w:rsidRPr="00BC081A" w:rsidRDefault="000B1497" w:rsidP="000B1497">
      <w:pPr>
        <w:rPr>
          <w:sz w:val="20"/>
        </w:rPr>
      </w:pPr>
      <w:r w:rsidRPr="00BC081A">
        <w:rPr>
          <w:sz w:val="20"/>
        </w:rPr>
        <w:t xml:space="preserve">In the middle of the study, you will be asked to complete a survey and answer some questions about your feelings during your last gameplay. These questions are mostly about your level of engagement that </w:t>
      </w:r>
      <w:proofErr w:type="gramStart"/>
      <w:r w:rsidRPr="00BC081A">
        <w:rPr>
          <w:sz w:val="20"/>
        </w:rPr>
        <w:t>have</w:t>
      </w:r>
      <w:proofErr w:type="gramEnd"/>
      <w:r w:rsidRPr="00BC081A">
        <w:rPr>
          <w:sz w:val="20"/>
        </w:rPr>
        <w:t xml:space="preserve"> been previously identified by scholars.</w:t>
      </w:r>
    </w:p>
    <w:p w14:paraId="4E893A3F" w14:textId="77777777" w:rsidR="000B1497" w:rsidRPr="00BC081A" w:rsidRDefault="000B1497" w:rsidP="000B1497">
      <w:pPr>
        <w:jc w:val="center"/>
        <w:rPr>
          <w:sz w:val="20"/>
        </w:rPr>
      </w:pPr>
    </w:p>
    <w:p w14:paraId="03F5D8E8" w14:textId="4522E2A9" w:rsidR="000B1497" w:rsidRPr="00BC081A" w:rsidRDefault="000B1497" w:rsidP="000B1497">
      <w:pPr>
        <w:rPr>
          <w:b/>
          <w:sz w:val="20"/>
        </w:rPr>
      </w:pPr>
      <w:r w:rsidRPr="00BC081A">
        <w:rPr>
          <w:b/>
          <w:sz w:val="20"/>
        </w:rPr>
        <w:t xml:space="preserve">Potential Harms, Risks or Discomforts: </w:t>
      </w:r>
    </w:p>
    <w:p w14:paraId="098EE832" w14:textId="77777777" w:rsidR="000B1497" w:rsidRPr="00BC081A" w:rsidRDefault="000B1497" w:rsidP="000B1497">
      <w:pPr>
        <w:rPr>
          <w:sz w:val="20"/>
        </w:rPr>
      </w:pPr>
      <w:r w:rsidRPr="00BC081A">
        <w:rPr>
          <w:sz w:val="20"/>
        </w:rPr>
        <w:t>It is not likely that there will be any harms or discomforts from/associated with this study. The typing game is a simple racing game and if you are playing against someone, you might be able to win or lose at the end of the game. There is no prise or negative consequences attached to winning or losing and the game is simply for practicing typing skills. Therefore, the only issue is that you might not win the competition, which is only a small typing game and has no effect on anything else including the chance for a draw.</w:t>
      </w:r>
    </w:p>
    <w:p w14:paraId="4A6E6FB5" w14:textId="77777777" w:rsidR="000B1497" w:rsidRPr="00BC081A" w:rsidRDefault="000B1497" w:rsidP="000B1497">
      <w:pPr>
        <w:rPr>
          <w:sz w:val="20"/>
        </w:rPr>
      </w:pPr>
      <w:r w:rsidRPr="00BC081A">
        <w:rPr>
          <w:sz w:val="20"/>
        </w:rPr>
        <w:tab/>
        <w:t xml:space="preserve">Also, if you are assigned to an experiment that you compete with another person, he or she will know the results of your typing (how fast you type). We are expecting all the participants to be mindful that this is a small game and has no </w:t>
      </w:r>
      <w:proofErr w:type="spellStart"/>
      <w:r w:rsidRPr="00BC081A">
        <w:rPr>
          <w:sz w:val="20"/>
        </w:rPr>
        <w:t>genelizable</w:t>
      </w:r>
      <w:proofErr w:type="spellEnd"/>
      <w:r w:rsidRPr="00BC081A">
        <w:rPr>
          <w:sz w:val="20"/>
        </w:rPr>
        <w:t xml:space="preserve"> meaning as it is only a small game and the results show nothing about the participants.</w:t>
      </w:r>
    </w:p>
    <w:p w14:paraId="09C04D67" w14:textId="77777777" w:rsidR="000B1497" w:rsidRPr="00BC081A" w:rsidRDefault="000B1497" w:rsidP="000B1497">
      <w:pPr>
        <w:rPr>
          <w:sz w:val="20"/>
        </w:rPr>
      </w:pPr>
      <w:r w:rsidRPr="00BC081A">
        <w:rPr>
          <w:sz w:val="20"/>
        </w:rPr>
        <w:t>You do not need to answer questions that you do not want to answer or that make you feel uncomfortable. You can withdraw (stop taking part) at any time. Described below are the steps that will be taken to protect your privacy.</w:t>
      </w:r>
    </w:p>
    <w:p w14:paraId="31661B85" w14:textId="77777777" w:rsidR="000B1497" w:rsidRPr="00BC081A" w:rsidRDefault="000B1497" w:rsidP="000B1497">
      <w:pPr>
        <w:rPr>
          <w:sz w:val="20"/>
        </w:rPr>
      </w:pPr>
    </w:p>
    <w:p w14:paraId="23137339" w14:textId="2345BAFB" w:rsidR="000B1497" w:rsidRPr="00BC081A" w:rsidRDefault="000B1497" w:rsidP="000B1497">
      <w:pPr>
        <w:rPr>
          <w:b/>
          <w:sz w:val="20"/>
        </w:rPr>
      </w:pPr>
      <w:r w:rsidRPr="00BC081A">
        <w:rPr>
          <w:b/>
          <w:sz w:val="20"/>
        </w:rPr>
        <w:t>Reimbursement</w:t>
      </w:r>
    </w:p>
    <w:p w14:paraId="3C381E0F" w14:textId="77777777" w:rsidR="000B1497" w:rsidRPr="00BC081A" w:rsidRDefault="000B1497" w:rsidP="000B1497">
      <w:pPr>
        <w:rPr>
          <w:sz w:val="20"/>
        </w:rPr>
      </w:pPr>
      <w:r w:rsidRPr="00BC081A">
        <w:rPr>
          <w:sz w:val="20"/>
        </w:rPr>
        <w:t xml:space="preserve">You will receive one gift card ($10 value) from Campus Store at the end of the experiment. </w:t>
      </w:r>
    </w:p>
    <w:p w14:paraId="4FE602CF" w14:textId="77777777" w:rsidR="000B1497" w:rsidRPr="00BC081A" w:rsidRDefault="000B1497" w:rsidP="000B1497">
      <w:pPr>
        <w:rPr>
          <w:b/>
          <w:sz w:val="20"/>
        </w:rPr>
      </w:pPr>
    </w:p>
    <w:p w14:paraId="080710D7" w14:textId="2A694340" w:rsidR="000B1497" w:rsidRPr="00BC081A" w:rsidRDefault="000B1497" w:rsidP="000B1497">
      <w:pPr>
        <w:rPr>
          <w:b/>
          <w:sz w:val="20"/>
        </w:rPr>
      </w:pPr>
      <w:r w:rsidRPr="00BC081A">
        <w:rPr>
          <w:b/>
          <w:sz w:val="20"/>
        </w:rPr>
        <w:t xml:space="preserve">Potential Benefits </w:t>
      </w:r>
    </w:p>
    <w:p w14:paraId="1A980A75" w14:textId="19E968E1" w:rsidR="000B1497" w:rsidRPr="00BC081A" w:rsidRDefault="000B1497" w:rsidP="000B1497">
      <w:pPr>
        <w:rPr>
          <w:sz w:val="20"/>
        </w:rPr>
      </w:pPr>
      <w:r w:rsidRPr="00BC081A">
        <w:rPr>
          <w:sz w:val="20"/>
        </w:rPr>
        <w:t>The research will not benefit you directly. We hope to learn more about engagement in educational computer games. We hope that what is learned as a result of this study will help us to better understand the motivational factors and the feelings during simulation games.</w:t>
      </w:r>
    </w:p>
    <w:p w14:paraId="55D5ED1D" w14:textId="77777777" w:rsidR="000B1497" w:rsidRPr="00BC081A" w:rsidRDefault="000B1497" w:rsidP="000B1497">
      <w:pPr>
        <w:rPr>
          <w:i/>
          <w:sz w:val="20"/>
        </w:rPr>
      </w:pPr>
    </w:p>
    <w:p w14:paraId="2876B3DD" w14:textId="5063A623" w:rsidR="000B1497" w:rsidRPr="00BC081A" w:rsidRDefault="000B1497" w:rsidP="000B1497">
      <w:pPr>
        <w:rPr>
          <w:b/>
          <w:sz w:val="20"/>
        </w:rPr>
      </w:pPr>
      <w:r w:rsidRPr="00BC081A">
        <w:rPr>
          <w:b/>
          <w:sz w:val="20"/>
        </w:rPr>
        <w:t>Confidentiality</w:t>
      </w:r>
    </w:p>
    <w:p w14:paraId="6CDEF275" w14:textId="77777777" w:rsidR="000B1497" w:rsidRPr="00BC081A" w:rsidRDefault="000B1497" w:rsidP="000B1497">
      <w:pPr>
        <w:rPr>
          <w:sz w:val="20"/>
        </w:rPr>
      </w:pPr>
      <w:r w:rsidRPr="00BC081A">
        <w:rPr>
          <w:sz w:val="20"/>
        </w:rPr>
        <w:t xml:space="preserve">All the information gathered in this study </w:t>
      </w:r>
      <w:proofErr w:type="gramStart"/>
      <w:r w:rsidRPr="00BC081A">
        <w:rPr>
          <w:sz w:val="20"/>
        </w:rPr>
        <w:t>are</w:t>
      </w:r>
      <w:proofErr w:type="gramEnd"/>
      <w:r w:rsidRPr="00BC081A">
        <w:rPr>
          <w:sz w:val="20"/>
        </w:rPr>
        <w:t xml:space="preserve"> anonymous. Any reports provided as a result of this study will be anonymous and no personal information will be revealed. Any information that might help to identify individuals participating in the study will be removed prior to preparing the report of findings. </w:t>
      </w:r>
    </w:p>
    <w:p w14:paraId="40087627" w14:textId="77777777" w:rsidR="000B1497" w:rsidRPr="00BC081A" w:rsidRDefault="000B1497" w:rsidP="000B1497">
      <w:pPr>
        <w:rPr>
          <w:sz w:val="20"/>
        </w:rPr>
      </w:pPr>
      <w:r w:rsidRPr="00BC081A">
        <w:rPr>
          <w:sz w:val="20"/>
        </w:rPr>
        <w:t>The information/data you provide will be kept in a locked desk/cabinet where only the investigators will have access to it. Information kept on a computer will be protected by a password. Once the study has been completed, all identifying data will be destroyed. Once the study is complete, an archive of the data, without identifying information, will be kept under password protection.</w:t>
      </w:r>
    </w:p>
    <w:p w14:paraId="1FA9958E" w14:textId="77777777" w:rsidR="000B1497" w:rsidRPr="00BC081A" w:rsidRDefault="000B1497" w:rsidP="000B1497">
      <w:pPr>
        <w:rPr>
          <w:sz w:val="20"/>
        </w:rPr>
      </w:pPr>
      <w:r w:rsidRPr="00BC081A">
        <w:rPr>
          <w:sz w:val="20"/>
        </w:rPr>
        <w:t xml:space="preserve">Only if you </w:t>
      </w:r>
      <w:proofErr w:type="gramStart"/>
      <w:r w:rsidRPr="00BC081A">
        <w:rPr>
          <w:sz w:val="20"/>
        </w:rPr>
        <w:t>are</w:t>
      </w:r>
      <w:proofErr w:type="gramEnd"/>
      <w:r w:rsidRPr="00BC081A">
        <w:rPr>
          <w:sz w:val="20"/>
        </w:rPr>
        <w:t xml:space="preserve"> assigned to an experiment that you compete against someone else, the other person would know that you have participated in this experiment.</w:t>
      </w:r>
    </w:p>
    <w:p w14:paraId="47DB24D4" w14:textId="77777777" w:rsidR="000B1497" w:rsidRPr="00BC081A" w:rsidRDefault="000B1497" w:rsidP="000B1497">
      <w:pPr>
        <w:rPr>
          <w:b/>
          <w:sz w:val="20"/>
        </w:rPr>
      </w:pPr>
    </w:p>
    <w:p w14:paraId="2AB3CAA5" w14:textId="682AE36C" w:rsidR="000B1497" w:rsidRPr="00BC081A" w:rsidRDefault="000B1497" w:rsidP="000B1497">
      <w:pPr>
        <w:rPr>
          <w:b/>
          <w:sz w:val="20"/>
        </w:rPr>
      </w:pPr>
      <w:r w:rsidRPr="00BC081A">
        <w:rPr>
          <w:b/>
          <w:sz w:val="20"/>
        </w:rPr>
        <w:t>Participation and Withdrawal</w:t>
      </w:r>
    </w:p>
    <w:p w14:paraId="4E71EFA3" w14:textId="77777777" w:rsidR="000B1497" w:rsidRPr="00BC081A" w:rsidRDefault="000B1497" w:rsidP="000B1497">
      <w:pPr>
        <w:rPr>
          <w:sz w:val="20"/>
        </w:rPr>
      </w:pPr>
      <w:r w:rsidRPr="00BC081A">
        <w:rPr>
          <w:sz w:val="20"/>
        </w:rPr>
        <w:t xml:space="preserve">Your participation in this study is voluntary. It is your choice to be part of the study or not. If you decide to be part of the study, you can decide to stop (withdraw), at any time, even after signing the consent form or </w:t>
      </w:r>
      <w:proofErr w:type="gramStart"/>
      <w:r w:rsidRPr="00BC081A">
        <w:rPr>
          <w:sz w:val="20"/>
        </w:rPr>
        <w:t>part-way</w:t>
      </w:r>
      <w:proofErr w:type="gramEnd"/>
      <w:r w:rsidRPr="00BC081A">
        <w:rPr>
          <w:sz w:val="20"/>
        </w:rPr>
        <w:t xml:space="preserve"> through the study. After the experiment, you can let us know up to one week after the experiment if you want your information to be removed completely. If you decide to withdraw, there will be no consequences to you. In cases of withdrawal, any data you have provided will be removed unless you indicate otherwise. You will still receive your gift card. </w:t>
      </w:r>
    </w:p>
    <w:p w14:paraId="040315F0" w14:textId="77777777" w:rsidR="000B1497" w:rsidRPr="00BC081A" w:rsidRDefault="000B1497" w:rsidP="000B1497">
      <w:pPr>
        <w:rPr>
          <w:sz w:val="20"/>
        </w:rPr>
      </w:pPr>
      <w:r w:rsidRPr="00BC081A">
        <w:rPr>
          <w:sz w:val="20"/>
        </w:rPr>
        <w:t xml:space="preserve">Survey questions are not related to sensitive matters and it is not likely that they evoke discomfort. If you are not willing to continue with the study, you can simply stop completing the survey or return the survey blank. </w:t>
      </w:r>
    </w:p>
    <w:p w14:paraId="056D43E0" w14:textId="77777777" w:rsidR="000B1497" w:rsidRPr="00BC081A" w:rsidRDefault="000B1497" w:rsidP="000B1497">
      <w:pPr>
        <w:rPr>
          <w:b/>
          <w:sz w:val="20"/>
        </w:rPr>
      </w:pPr>
    </w:p>
    <w:p w14:paraId="42BC72B9" w14:textId="7204C315" w:rsidR="000B1497" w:rsidRPr="00BC081A" w:rsidRDefault="000B1497" w:rsidP="000B1497">
      <w:pPr>
        <w:rPr>
          <w:b/>
          <w:sz w:val="20"/>
        </w:rPr>
      </w:pPr>
      <w:r w:rsidRPr="00BC081A">
        <w:rPr>
          <w:b/>
          <w:sz w:val="20"/>
        </w:rPr>
        <w:t>Information about the Study Results</w:t>
      </w:r>
    </w:p>
    <w:p w14:paraId="5289F0D5" w14:textId="77777777" w:rsidR="000B1497" w:rsidRPr="00BC081A" w:rsidRDefault="000B1497" w:rsidP="000B1497">
      <w:pPr>
        <w:rPr>
          <w:sz w:val="20"/>
        </w:rPr>
      </w:pPr>
      <w:r w:rsidRPr="00BC081A">
        <w:rPr>
          <w:sz w:val="20"/>
        </w:rPr>
        <w:t>We expect to have this study completed by the end of Summer 2014</w:t>
      </w:r>
      <w:r w:rsidRPr="00BC081A">
        <w:rPr>
          <w:i/>
          <w:sz w:val="20"/>
        </w:rPr>
        <w:t>.</w:t>
      </w:r>
      <w:r w:rsidRPr="00BC081A">
        <w:rPr>
          <w:sz w:val="20"/>
        </w:rPr>
        <w:t xml:space="preserve"> If you would like a brief summary of the results, please contact the investigators.  </w:t>
      </w:r>
    </w:p>
    <w:p w14:paraId="10E8FC1D" w14:textId="77777777" w:rsidR="000B1497" w:rsidRPr="00BC081A" w:rsidRDefault="000B1497" w:rsidP="000B1497">
      <w:pPr>
        <w:rPr>
          <w:b/>
          <w:sz w:val="20"/>
        </w:rPr>
      </w:pPr>
    </w:p>
    <w:p w14:paraId="47DD7BC9" w14:textId="13BDF617" w:rsidR="000B1497" w:rsidRPr="00BC081A" w:rsidRDefault="000B1497" w:rsidP="000B1497">
      <w:pPr>
        <w:rPr>
          <w:sz w:val="20"/>
        </w:rPr>
      </w:pPr>
      <w:r w:rsidRPr="00BC081A">
        <w:rPr>
          <w:b/>
          <w:sz w:val="20"/>
        </w:rPr>
        <w:t>Questions about the Study</w:t>
      </w:r>
    </w:p>
    <w:p w14:paraId="16E2985A" w14:textId="77777777" w:rsidR="000B1497" w:rsidRPr="00BC081A" w:rsidRDefault="000B1497" w:rsidP="000B1497">
      <w:pPr>
        <w:rPr>
          <w:sz w:val="20"/>
        </w:rPr>
      </w:pPr>
      <w:r w:rsidRPr="00BC081A">
        <w:rPr>
          <w:sz w:val="20"/>
        </w:rPr>
        <w:lastRenderedPageBreak/>
        <w:t>If you have questions or need more information about the study itself, please contact Sepandar Sepehr (</w:t>
      </w:r>
      <w:hyperlink r:id="rId45" w:history="1">
        <w:r w:rsidRPr="00BC081A">
          <w:rPr>
            <w:rStyle w:val="Hyperlink"/>
            <w:i/>
            <w:sz w:val="20"/>
          </w:rPr>
          <w:t>sepehrs@mcmaster.ca</w:t>
        </w:r>
      </w:hyperlink>
      <w:r w:rsidRPr="00BC081A">
        <w:rPr>
          <w:i/>
          <w:sz w:val="20"/>
        </w:rPr>
        <w:t xml:space="preserve">) </w:t>
      </w:r>
      <w:r w:rsidRPr="00BC081A">
        <w:rPr>
          <w:sz w:val="20"/>
        </w:rPr>
        <w:t>or Dr. Head (</w:t>
      </w:r>
      <w:hyperlink r:id="rId46" w:history="1">
        <w:r w:rsidRPr="00BC081A">
          <w:rPr>
            <w:rStyle w:val="Hyperlink"/>
            <w:sz w:val="20"/>
          </w:rPr>
          <w:t>headm@mcmaster.ca</w:t>
        </w:r>
      </w:hyperlink>
      <w:r w:rsidRPr="00BC081A">
        <w:rPr>
          <w:sz w:val="20"/>
        </w:rPr>
        <w:t xml:space="preserve">). </w:t>
      </w:r>
    </w:p>
    <w:p w14:paraId="0DFB6F5E" w14:textId="77777777" w:rsidR="000B1497" w:rsidRPr="00BC081A" w:rsidRDefault="000B1497" w:rsidP="000B1497">
      <w:pPr>
        <w:rPr>
          <w:sz w:val="20"/>
        </w:rPr>
      </w:pPr>
    </w:p>
    <w:p w14:paraId="01EC253F" w14:textId="77777777" w:rsidR="000B1497" w:rsidRPr="00BC081A" w:rsidRDefault="000B1497" w:rsidP="000B1497">
      <w:pPr>
        <w:rPr>
          <w:sz w:val="20"/>
        </w:rPr>
      </w:pPr>
      <w:r w:rsidRPr="00BC081A">
        <w:rPr>
          <w:sz w:val="20"/>
        </w:rPr>
        <w:t xml:space="preserve">This study has </w:t>
      </w:r>
      <w:r w:rsidRPr="00BC081A">
        <w:rPr>
          <w:sz w:val="20"/>
          <w:szCs w:val="20"/>
        </w:rPr>
        <w:t xml:space="preserve">been reviewed </w:t>
      </w:r>
      <w:r w:rsidRPr="00BC081A">
        <w:rPr>
          <w:sz w:val="20"/>
        </w:rPr>
        <w:t>by the McMaster University Research Ethics Board and received ethics clearance.</w:t>
      </w:r>
    </w:p>
    <w:p w14:paraId="5B5D88EC" w14:textId="77777777" w:rsidR="000B1497" w:rsidRPr="00BC081A" w:rsidRDefault="000B1497" w:rsidP="000B1497">
      <w:pPr>
        <w:rPr>
          <w:sz w:val="20"/>
        </w:rPr>
      </w:pPr>
      <w:r w:rsidRPr="00BC081A">
        <w:rPr>
          <w:sz w:val="20"/>
        </w:rPr>
        <w:t xml:space="preserve">If you have concerns or questions about your rights as a participant or about the way the study is conducted, please contact: </w:t>
      </w:r>
    </w:p>
    <w:p w14:paraId="2E5AB7EE" w14:textId="77777777" w:rsidR="000B1497" w:rsidRPr="00BC081A" w:rsidRDefault="000B1497" w:rsidP="000B1497">
      <w:pPr>
        <w:rPr>
          <w:sz w:val="20"/>
        </w:rPr>
      </w:pPr>
      <w:r w:rsidRPr="00BC081A">
        <w:rPr>
          <w:sz w:val="20"/>
        </w:rPr>
        <w:tab/>
      </w:r>
      <w:r w:rsidRPr="00BC081A">
        <w:rPr>
          <w:sz w:val="20"/>
        </w:rPr>
        <w:tab/>
      </w:r>
      <w:r w:rsidRPr="00BC081A">
        <w:rPr>
          <w:sz w:val="20"/>
        </w:rPr>
        <w:tab/>
        <w:t>McMaster Research Ethics Secretariat</w:t>
      </w:r>
    </w:p>
    <w:p w14:paraId="694EE90B" w14:textId="77777777" w:rsidR="000B1497" w:rsidRPr="00BC081A" w:rsidRDefault="000B1497" w:rsidP="000B1497">
      <w:pPr>
        <w:rPr>
          <w:sz w:val="20"/>
        </w:rPr>
      </w:pPr>
      <w:r w:rsidRPr="00BC081A">
        <w:rPr>
          <w:sz w:val="20"/>
        </w:rPr>
        <w:tab/>
      </w:r>
      <w:r w:rsidRPr="00BC081A">
        <w:rPr>
          <w:sz w:val="20"/>
        </w:rPr>
        <w:tab/>
      </w:r>
      <w:r w:rsidRPr="00BC081A">
        <w:rPr>
          <w:sz w:val="20"/>
        </w:rPr>
        <w:tab/>
        <w:t>Telephone: (905) 525-9140 ext. 23142</w:t>
      </w:r>
    </w:p>
    <w:p w14:paraId="134F450F" w14:textId="77777777" w:rsidR="000B1497" w:rsidRPr="00BC081A" w:rsidRDefault="000B1497" w:rsidP="000B1497">
      <w:pPr>
        <w:rPr>
          <w:sz w:val="20"/>
        </w:rPr>
      </w:pPr>
      <w:r w:rsidRPr="00BC081A">
        <w:rPr>
          <w:sz w:val="20"/>
        </w:rPr>
        <w:tab/>
      </w:r>
      <w:r w:rsidRPr="00BC081A">
        <w:rPr>
          <w:sz w:val="20"/>
        </w:rPr>
        <w:tab/>
      </w:r>
      <w:r w:rsidRPr="00BC081A">
        <w:rPr>
          <w:sz w:val="20"/>
        </w:rPr>
        <w:tab/>
      </w:r>
      <w:proofErr w:type="gramStart"/>
      <w:r w:rsidRPr="00BC081A">
        <w:rPr>
          <w:sz w:val="20"/>
        </w:rPr>
        <w:t>c</w:t>
      </w:r>
      <w:proofErr w:type="gramEnd"/>
      <w:r w:rsidRPr="00BC081A">
        <w:rPr>
          <w:sz w:val="20"/>
        </w:rPr>
        <w:t xml:space="preserve">/o Research Office for Administrative Development and Support </w:t>
      </w:r>
    </w:p>
    <w:p w14:paraId="511A53E2" w14:textId="370F7C93" w:rsidR="000B1497" w:rsidRPr="00BC081A" w:rsidRDefault="000B1497" w:rsidP="000B1497">
      <w:pPr>
        <w:rPr>
          <w:sz w:val="20"/>
        </w:rPr>
      </w:pPr>
      <w:r w:rsidRPr="00BC081A">
        <w:rPr>
          <w:sz w:val="20"/>
        </w:rPr>
        <w:tab/>
      </w:r>
      <w:r w:rsidRPr="00BC081A">
        <w:rPr>
          <w:sz w:val="20"/>
        </w:rPr>
        <w:tab/>
      </w:r>
      <w:r w:rsidRPr="00BC081A">
        <w:rPr>
          <w:sz w:val="20"/>
        </w:rPr>
        <w:tab/>
        <w:t xml:space="preserve">E-mail: </w:t>
      </w:r>
      <w:hyperlink r:id="rId47" w:history="1">
        <w:r w:rsidRPr="00BC081A">
          <w:rPr>
            <w:rStyle w:val="Hyperlink"/>
            <w:sz w:val="20"/>
          </w:rPr>
          <w:t>ethicsoffice@mcmaster.ca</w:t>
        </w:r>
      </w:hyperlink>
    </w:p>
    <w:p w14:paraId="7A10DAF7" w14:textId="77777777" w:rsidR="000B1497" w:rsidRPr="00BC081A" w:rsidRDefault="000B1497" w:rsidP="000B1497">
      <w:pPr>
        <w:pBdr>
          <w:bottom w:val="single" w:sz="6" w:space="1" w:color="auto"/>
        </w:pBdr>
        <w:rPr>
          <w:sz w:val="20"/>
        </w:rPr>
      </w:pPr>
    </w:p>
    <w:p w14:paraId="73AD3C13" w14:textId="77777777" w:rsidR="000B1497" w:rsidRPr="00BC081A" w:rsidRDefault="000B1497" w:rsidP="000B1497">
      <w:pPr>
        <w:rPr>
          <w:sz w:val="20"/>
        </w:rPr>
      </w:pPr>
    </w:p>
    <w:p w14:paraId="57E698F7" w14:textId="77777777" w:rsidR="000B1497" w:rsidRPr="00BC081A" w:rsidRDefault="000B1497" w:rsidP="000B1497">
      <w:pPr>
        <w:rPr>
          <w:sz w:val="20"/>
        </w:rPr>
      </w:pPr>
      <w:r w:rsidRPr="00BC081A">
        <w:rPr>
          <w:sz w:val="20"/>
        </w:rPr>
        <w:t xml:space="preserve">  </w:t>
      </w:r>
    </w:p>
    <w:p w14:paraId="0F69FBA9" w14:textId="0AA35563" w:rsidR="000B1497" w:rsidRPr="00BC081A" w:rsidRDefault="000B1497" w:rsidP="000B1497">
      <w:pPr>
        <w:jc w:val="center"/>
        <w:rPr>
          <w:b/>
          <w:sz w:val="20"/>
        </w:rPr>
      </w:pPr>
      <w:r w:rsidRPr="00BC081A">
        <w:rPr>
          <w:b/>
          <w:sz w:val="20"/>
        </w:rPr>
        <w:t>CONSENT</w:t>
      </w:r>
    </w:p>
    <w:p w14:paraId="6FE8362B" w14:textId="77777777" w:rsidR="000B1497" w:rsidRPr="00BC081A" w:rsidRDefault="000B1497" w:rsidP="000B1497">
      <w:pPr>
        <w:rPr>
          <w:i/>
          <w:sz w:val="20"/>
        </w:rPr>
      </w:pPr>
    </w:p>
    <w:p w14:paraId="3A72FD2B" w14:textId="77777777" w:rsidR="000B1497" w:rsidRPr="00BC081A" w:rsidRDefault="000B1497" w:rsidP="000B1497">
      <w:pPr>
        <w:rPr>
          <w:sz w:val="20"/>
        </w:rPr>
      </w:pPr>
      <w:r w:rsidRPr="00BC081A">
        <w:rPr>
          <w:sz w:val="20"/>
        </w:rPr>
        <w:t>I have read the information presented in the information letter about a study being conducted by Sepandar Sepehr and Dr. Milena Head</w:t>
      </w:r>
      <w:r w:rsidRPr="00BC081A">
        <w:rPr>
          <w:i/>
          <w:sz w:val="20"/>
        </w:rPr>
        <w:t>,</w:t>
      </w:r>
      <w:r w:rsidRPr="00BC081A">
        <w:rPr>
          <w:sz w:val="20"/>
        </w:rPr>
        <w:t xml:space="preserve"> of McMaster University.  </w:t>
      </w:r>
    </w:p>
    <w:p w14:paraId="686723AD" w14:textId="77777777" w:rsidR="000B1497" w:rsidRPr="00BC081A" w:rsidRDefault="000B1497" w:rsidP="000B1497">
      <w:pPr>
        <w:rPr>
          <w:sz w:val="20"/>
        </w:rPr>
      </w:pPr>
      <w:r w:rsidRPr="00BC081A">
        <w:rPr>
          <w:sz w:val="20"/>
        </w:rPr>
        <w:t xml:space="preserve">I have had the opportunity to ask questions about my involvement in this study and to receive additional details I requested.  </w:t>
      </w:r>
    </w:p>
    <w:p w14:paraId="75053403" w14:textId="105792B1" w:rsidR="000B1497" w:rsidRPr="00BC081A" w:rsidRDefault="000B1497" w:rsidP="000B1497">
      <w:pPr>
        <w:rPr>
          <w:sz w:val="20"/>
        </w:rPr>
      </w:pPr>
      <w:r w:rsidRPr="00BC081A">
        <w:rPr>
          <w:color w:val="000000"/>
          <w:sz w:val="20"/>
          <w:szCs w:val="20"/>
        </w:rPr>
        <w:t>I understand that if I agree to participate in this study, I may withdraw from the study at any time</w:t>
      </w:r>
      <w:r w:rsidRPr="00BC081A">
        <w:rPr>
          <w:color w:val="000000"/>
        </w:rPr>
        <w:t>.</w:t>
      </w:r>
      <w:r w:rsidRPr="00BC081A">
        <w:rPr>
          <w:sz w:val="20"/>
        </w:rPr>
        <w:t xml:space="preserve">  I have been given a copy of this form. I agree to participate in the study.</w:t>
      </w:r>
    </w:p>
    <w:p w14:paraId="63A9447C" w14:textId="77777777" w:rsidR="000B1497" w:rsidRPr="00BC081A" w:rsidRDefault="000B1497" w:rsidP="000B1497">
      <w:pPr>
        <w:rPr>
          <w:sz w:val="20"/>
        </w:rPr>
      </w:pPr>
    </w:p>
    <w:p w14:paraId="6FB52A60" w14:textId="77777777" w:rsidR="000B1497" w:rsidRPr="00BC081A" w:rsidRDefault="000B1497" w:rsidP="000B1497">
      <w:pPr>
        <w:rPr>
          <w:sz w:val="20"/>
        </w:rPr>
      </w:pPr>
      <w:r w:rsidRPr="00BC081A">
        <w:rPr>
          <w:sz w:val="20"/>
        </w:rPr>
        <w:t>Signature: ______________________________________</w:t>
      </w:r>
    </w:p>
    <w:p w14:paraId="1427A335" w14:textId="77777777" w:rsidR="000B1497" w:rsidRPr="00BC081A" w:rsidRDefault="000B1497" w:rsidP="000B1497">
      <w:pPr>
        <w:rPr>
          <w:sz w:val="20"/>
        </w:rPr>
      </w:pPr>
    </w:p>
    <w:p w14:paraId="239BE67A" w14:textId="542AFDCD" w:rsidR="000B1497" w:rsidRPr="00BC081A" w:rsidRDefault="000B1497" w:rsidP="000B1497">
      <w:pPr>
        <w:rPr>
          <w:sz w:val="20"/>
        </w:rPr>
      </w:pPr>
      <w:r w:rsidRPr="00BC081A">
        <w:rPr>
          <w:sz w:val="20"/>
        </w:rPr>
        <w:t>Name of Participant (Printed) ___________________________________</w:t>
      </w:r>
      <w:r w:rsidRPr="00BC081A">
        <w:br w:type="page"/>
      </w:r>
    </w:p>
    <w:p w14:paraId="55B3DC73" w14:textId="5E48A2D6" w:rsidR="00FC38F5" w:rsidRPr="00BC081A" w:rsidRDefault="00FC38F5" w:rsidP="00536F6A">
      <w:pPr>
        <w:pStyle w:val="AppendixHeading"/>
        <w:numPr>
          <w:ilvl w:val="0"/>
          <w:numId w:val="30"/>
        </w:numPr>
      </w:pPr>
      <w:r w:rsidRPr="00BC081A">
        <w:lastRenderedPageBreak/>
        <w:t>Experiment Guideline for the Pilot Study</w:t>
      </w:r>
    </w:p>
    <w:p w14:paraId="701D09A2" w14:textId="77777777" w:rsidR="00FC38F5" w:rsidRPr="00BC081A" w:rsidRDefault="00FC38F5" w:rsidP="00E803BD">
      <w:r w:rsidRPr="00BC081A">
        <w:t>These are the steps that the facilitator should follow in the experiments:</w:t>
      </w:r>
    </w:p>
    <w:p w14:paraId="25076E3C" w14:textId="77777777" w:rsidR="00FC38F5" w:rsidRPr="00BC081A" w:rsidRDefault="00FC38F5" w:rsidP="00E803BD">
      <w:pPr>
        <w:ind w:firstLine="0"/>
        <w:rPr>
          <w:b/>
        </w:rPr>
      </w:pPr>
      <w:r w:rsidRPr="00BC081A">
        <w:rPr>
          <w:b/>
        </w:rPr>
        <w:t>Stage 1:</w:t>
      </w:r>
    </w:p>
    <w:p w14:paraId="291CBA4E" w14:textId="77777777" w:rsidR="00FC38F5" w:rsidRPr="00BC081A" w:rsidRDefault="00FC38F5" w:rsidP="00E803BD">
      <w:pPr>
        <w:pStyle w:val="ListParagraph"/>
        <w:numPr>
          <w:ilvl w:val="0"/>
          <w:numId w:val="2"/>
        </w:numPr>
        <w:spacing w:after="120"/>
        <w:jc w:val="both"/>
      </w:pPr>
      <w:r w:rsidRPr="00BC081A">
        <w:t>Consent form is given (2min)</w:t>
      </w:r>
    </w:p>
    <w:p w14:paraId="4E241941" w14:textId="77777777" w:rsidR="00FC38F5" w:rsidRPr="00BC081A" w:rsidRDefault="00FC38F5" w:rsidP="00E803BD">
      <w:pPr>
        <w:pStyle w:val="ListParagraph"/>
        <w:numPr>
          <w:ilvl w:val="0"/>
          <w:numId w:val="2"/>
        </w:numPr>
        <w:spacing w:after="120"/>
        <w:jc w:val="both"/>
      </w:pPr>
      <w:r w:rsidRPr="00BC081A">
        <w:t>Brief about using the Q-Sensor device</w:t>
      </w:r>
      <w:r w:rsidRPr="00BC081A">
        <w:rPr>
          <w:rStyle w:val="FootnoteReference"/>
        </w:rPr>
        <w:footnoteReference w:id="27"/>
      </w:r>
      <w:r w:rsidRPr="00BC081A">
        <w:t>, then the device is fitted to their hands. (1min)</w:t>
      </w:r>
    </w:p>
    <w:p w14:paraId="59E9A110" w14:textId="77777777" w:rsidR="00FC38F5" w:rsidRPr="00BC081A" w:rsidRDefault="00FC38F5" w:rsidP="00E803BD">
      <w:pPr>
        <w:pStyle w:val="ListParagraph"/>
        <w:numPr>
          <w:ilvl w:val="0"/>
          <w:numId w:val="2"/>
        </w:numPr>
        <w:spacing w:after="120"/>
        <w:jc w:val="both"/>
      </w:pPr>
      <w:r w:rsidRPr="00BC081A">
        <w:t>Give the participants the first part of the survey on demographics (Appendix-C – Part 1). (2min)</w:t>
      </w:r>
    </w:p>
    <w:p w14:paraId="72D4C378" w14:textId="77777777" w:rsidR="00FC38F5" w:rsidRPr="00BC081A" w:rsidRDefault="00FC38F5" w:rsidP="00E803BD">
      <w:pPr>
        <w:pStyle w:val="ListParagraph"/>
        <w:numPr>
          <w:ilvl w:val="0"/>
          <w:numId w:val="2"/>
        </w:numPr>
        <w:spacing w:after="120"/>
        <w:jc w:val="both"/>
      </w:pPr>
      <w:r w:rsidRPr="00BC081A">
        <w:t>Ask the participants to read the article on EDA. (5min)</w:t>
      </w:r>
    </w:p>
    <w:p w14:paraId="675BB892" w14:textId="77777777" w:rsidR="00FC38F5" w:rsidRPr="00BC081A" w:rsidRDefault="00FC38F5" w:rsidP="00E803BD">
      <w:pPr>
        <w:pStyle w:val="ListParagraph"/>
        <w:numPr>
          <w:ilvl w:val="0"/>
          <w:numId w:val="2"/>
        </w:numPr>
        <w:spacing w:after="120"/>
        <w:jc w:val="both"/>
      </w:pPr>
      <w:r w:rsidRPr="00BC081A">
        <w:t>Brief them about the process of the game. Let them play the single player (competing against themselves) mode for 5 rounds. After each round give them the mini survey to complete (Appendix-C – Part 2). (10min)</w:t>
      </w:r>
    </w:p>
    <w:p w14:paraId="44C49B1F" w14:textId="77777777" w:rsidR="00FC38F5" w:rsidRPr="00BC081A" w:rsidRDefault="00FC38F5" w:rsidP="00E803BD">
      <w:pPr>
        <w:pStyle w:val="ListParagraph"/>
        <w:numPr>
          <w:ilvl w:val="0"/>
          <w:numId w:val="2"/>
        </w:numPr>
        <w:spacing w:after="120"/>
        <w:jc w:val="both"/>
      </w:pPr>
      <w:r w:rsidRPr="00BC081A">
        <w:t>Give the mini survey and the complete survey to fill (Appendix-C – Part 3). (5-7min)</w:t>
      </w:r>
    </w:p>
    <w:p w14:paraId="457FC52F" w14:textId="77777777" w:rsidR="00FC38F5" w:rsidRPr="00BC081A" w:rsidRDefault="00FC38F5" w:rsidP="00E803BD">
      <w:pPr>
        <w:pStyle w:val="ListParagraph"/>
        <w:numPr>
          <w:ilvl w:val="0"/>
          <w:numId w:val="2"/>
        </w:numPr>
        <w:spacing w:after="120"/>
        <w:jc w:val="both"/>
      </w:pPr>
      <w:r w:rsidRPr="00BC081A">
        <w:t>Give the participants the option of playing up to 5 more rounds if they are interested. (</w:t>
      </w:r>
      <w:proofErr w:type="gramStart"/>
      <w:r w:rsidRPr="00BC081A">
        <w:t>up</w:t>
      </w:r>
      <w:proofErr w:type="gramEnd"/>
      <w:r w:rsidRPr="00BC081A">
        <w:t xml:space="preserve"> to 5min)</w:t>
      </w:r>
    </w:p>
    <w:p w14:paraId="51BC7C82" w14:textId="77777777" w:rsidR="00FC38F5" w:rsidRPr="00BC081A" w:rsidRDefault="00FC38F5" w:rsidP="00E803BD">
      <w:pPr>
        <w:ind w:firstLine="0"/>
      </w:pPr>
    </w:p>
    <w:p w14:paraId="4701584D" w14:textId="77777777" w:rsidR="00FC38F5" w:rsidRPr="00BC081A" w:rsidRDefault="00FC38F5" w:rsidP="00E803BD">
      <w:pPr>
        <w:ind w:firstLine="0"/>
        <w:rPr>
          <w:b/>
        </w:rPr>
      </w:pPr>
      <w:r w:rsidRPr="00BC081A">
        <w:rPr>
          <w:b/>
        </w:rPr>
        <w:t>Between Stage 1 &amp; 2:</w:t>
      </w:r>
    </w:p>
    <w:p w14:paraId="19A549FB" w14:textId="77777777" w:rsidR="00FC38F5" w:rsidRPr="00BC081A" w:rsidRDefault="00FC38F5" w:rsidP="00E803BD">
      <w:pPr>
        <w:pStyle w:val="ListParagraph"/>
        <w:numPr>
          <w:ilvl w:val="0"/>
          <w:numId w:val="4"/>
        </w:numPr>
        <w:spacing w:after="120"/>
        <w:jc w:val="both"/>
      </w:pPr>
      <w:r w:rsidRPr="00BC081A">
        <w:t>Based on the skill level &amp; the relationship of participants, randomly assign each participant to two of the following treatment groups (give double weight to case 3):</w:t>
      </w:r>
    </w:p>
    <w:p w14:paraId="7513EB03" w14:textId="77777777" w:rsidR="00FC38F5" w:rsidRPr="00BC081A" w:rsidRDefault="00FC38F5" w:rsidP="00E803BD">
      <w:pPr>
        <w:pStyle w:val="ListParagraph"/>
        <w:numPr>
          <w:ilvl w:val="0"/>
          <w:numId w:val="5"/>
        </w:numPr>
        <w:spacing w:after="120"/>
        <w:jc w:val="both"/>
      </w:pPr>
      <w:r w:rsidRPr="00BC081A">
        <w:t>Competing against themselves</w:t>
      </w:r>
    </w:p>
    <w:p w14:paraId="182BC136" w14:textId="77777777" w:rsidR="00FC38F5" w:rsidRPr="00BC081A" w:rsidRDefault="00FC38F5" w:rsidP="00E803BD">
      <w:pPr>
        <w:pStyle w:val="ListParagraph"/>
        <w:numPr>
          <w:ilvl w:val="0"/>
          <w:numId w:val="5"/>
        </w:numPr>
        <w:spacing w:after="120"/>
        <w:jc w:val="both"/>
      </w:pPr>
      <w:r w:rsidRPr="00BC081A">
        <w:t>Competing against computer</w:t>
      </w:r>
    </w:p>
    <w:p w14:paraId="619FF67A" w14:textId="77777777" w:rsidR="00FC38F5" w:rsidRPr="00BC081A" w:rsidRDefault="00FC38F5" w:rsidP="00E803BD">
      <w:pPr>
        <w:pStyle w:val="ListParagraph"/>
        <w:numPr>
          <w:ilvl w:val="0"/>
          <w:numId w:val="5"/>
        </w:numPr>
        <w:spacing w:after="120"/>
        <w:jc w:val="both"/>
      </w:pPr>
      <w:r w:rsidRPr="00BC081A">
        <w:t>Competing against a person</w:t>
      </w:r>
    </w:p>
    <w:p w14:paraId="50BF998F" w14:textId="77777777" w:rsidR="00FC38F5" w:rsidRPr="00BC081A" w:rsidRDefault="00FC38F5" w:rsidP="00E803BD">
      <w:pPr>
        <w:pStyle w:val="ListParagraph"/>
        <w:numPr>
          <w:ilvl w:val="0"/>
          <w:numId w:val="4"/>
        </w:numPr>
        <w:spacing w:after="120"/>
        <w:jc w:val="both"/>
      </w:pPr>
      <w:r w:rsidRPr="00BC081A">
        <w:lastRenderedPageBreak/>
        <w:t xml:space="preserve">Find out which of the 1 to 5 rounds in the process had an optimum level of engagement to use in the second stage. </w:t>
      </w:r>
    </w:p>
    <w:p w14:paraId="6172EAB9" w14:textId="77777777" w:rsidR="00FC38F5" w:rsidRPr="00BC081A" w:rsidRDefault="00FC38F5" w:rsidP="00E803BD">
      <w:pPr>
        <w:ind w:firstLine="0"/>
      </w:pPr>
    </w:p>
    <w:p w14:paraId="10A3AB01" w14:textId="77777777" w:rsidR="00FC38F5" w:rsidRPr="00BC081A" w:rsidRDefault="00FC38F5" w:rsidP="00E803BD">
      <w:pPr>
        <w:ind w:firstLine="0"/>
        <w:rPr>
          <w:b/>
        </w:rPr>
      </w:pPr>
      <w:r w:rsidRPr="00BC081A">
        <w:rPr>
          <w:b/>
        </w:rPr>
        <w:t>Stage 2:</w:t>
      </w:r>
    </w:p>
    <w:p w14:paraId="71E3F923" w14:textId="77777777" w:rsidR="00FC38F5" w:rsidRPr="00BC081A" w:rsidRDefault="00FC38F5" w:rsidP="00E803BD">
      <w:pPr>
        <w:pStyle w:val="ListParagraph"/>
        <w:numPr>
          <w:ilvl w:val="0"/>
          <w:numId w:val="3"/>
        </w:numPr>
        <w:spacing w:after="120"/>
        <w:jc w:val="both"/>
      </w:pPr>
      <w:r w:rsidRPr="00BC081A">
        <w:t>If two participants are involved in competition, make sure they sit in two separate rooms so they do not see each other.</w:t>
      </w:r>
    </w:p>
    <w:p w14:paraId="51D9A142" w14:textId="77777777" w:rsidR="00FC38F5" w:rsidRPr="00BC081A" w:rsidRDefault="00FC38F5" w:rsidP="00E803BD">
      <w:pPr>
        <w:pStyle w:val="ListParagraph"/>
        <w:numPr>
          <w:ilvl w:val="0"/>
          <w:numId w:val="3"/>
        </w:numPr>
        <w:spacing w:after="120"/>
        <w:jc w:val="both"/>
      </w:pPr>
      <w:r w:rsidRPr="00BC081A">
        <w:t>Fit the Q-Sensor on the participant hand. (1min)</w:t>
      </w:r>
    </w:p>
    <w:p w14:paraId="250C5066" w14:textId="77777777" w:rsidR="00FC38F5" w:rsidRPr="00BC081A" w:rsidRDefault="00FC38F5" w:rsidP="00E803BD">
      <w:pPr>
        <w:pStyle w:val="ListParagraph"/>
        <w:numPr>
          <w:ilvl w:val="0"/>
          <w:numId w:val="3"/>
        </w:numPr>
        <w:spacing w:after="120"/>
        <w:jc w:val="both"/>
      </w:pPr>
      <w:r w:rsidRPr="00BC081A">
        <w:t>Give them the theoretical paper to read. (~10min)</w:t>
      </w:r>
    </w:p>
    <w:p w14:paraId="6475105A" w14:textId="77777777" w:rsidR="00FC38F5" w:rsidRPr="00BC081A" w:rsidRDefault="00FC38F5" w:rsidP="00E803BD">
      <w:pPr>
        <w:pStyle w:val="ListParagraph"/>
        <w:numPr>
          <w:ilvl w:val="0"/>
          <w:numId w:val="3"/>
        </w:numPr>
        <w:spacing w:after="120"/>
        <w:jc w:val="both"/>
      </w:pPr>
      <w:r w:rsidRPr="00BC081A">
        <w:t>Based on the randomization, each participant has been assigned to two of the following treatments. Follow the instruction for the corresponding treatment.</w:t>
      </w:r>
    </w:p>
    <w:p w14:paraId="7A01287B" w14:textId="77777777" w:rsidR="00FC38F5" w:rsidRPr="00BC081A" w:rsidRDefault="00FC38F5" w:rsidP="00E803BD">
      <w:pPr>
        <w:ind w:firstLine="0"/>
        <w:rPr>
          <w:b/>
        </w:rPr>
      </w:pPr>
      <w:r w:rsidRPr="00BC081A">
        <w:rPr>
          <w:b/>
        </w:rPr>
        <w:t>Stage 2 – Treatment: Competing against own previous score:</w:t>
      </w:r>
    </w:p>
    <w:p w14:paraId="197AE415" w14:textId="77777777" w:rsidR="00FC38F5" w:rsidRPr="00BC081A" w:rsidRDefault="00FC38F5" w:rsidP="00E803BD">
      <w:pPr>
        <w:pStyle w:val="ListParagraph"/>
        <w:numPr>
          <w:ilvl w:val="0"/>
          <w:numId w:val="6"/>
        </w:numPr>
        <w:spacing w:after="120"/>
        <w:jc w:val="both"/>
      </w:pPr>
      <w:r w:rsidRPr="00BC081A">
        <w:t>Brief them about the process of the game. Let them play the single player (competing against themselves) mode for 5 rounds. After each round give them the mini survey to complete (Appendix-C – Part 2). (10min)</w:t>
      </w:r>
    </w:p>
    <w:p w14:paraId="1A8CB49A" w14:textId="77777777" w:rsidR="00FC38F5" w:rsidRPr="00BC081A" w:rsidRDefault="00FC38F5" w:rsidP="00E803BD">
      <w:pPr>
        <w:pStyle w:val="ListParagraph"/>
        <w:numPr>
          <w:ilvl w:val="1"/>
          <w:numId w:val="6"/>
        </w:numPr>
        <w:spacing w:after="120"/>
        <w:jc w:val="both"/>
      </w:pPr>
      <w:r w:rsidRPr="00BC081A">
        <w:t>Give the complete survey to fill after round 3 or 4 or whatever number that was defined based on the analysis of the data from stage 1 (Appendix-C – Part 3). (5-7min)</w:t>
      </w:r>
    </w:p>
    <w:p w14:paraId="22F9298D" w14:textId="77777777" w:rsidR="00FC38F5" w:rsidRPr="00BC081A" w:rsidRDefault="00FC38F5" w:rsidP="00E803BD">
      <w:pPr>
        <w:pStyle w:val="ListParagraph"/>
        <w:numPr>
          <w:ilvl w:val="0"/>
          <w:numId w:val="6"/>
        </w:numPr>
        <w:spacing w:after="120"/>
        <w:jc w:val="both"/>
      </w:pPr>
      <w:r w:rsidRPr="00BC081A">
        <w:t>Give the participants the option of playing up to 5 more rounds if they are interested. (</w:t>
      </w:r>
      <w:proofErr w:type="gramStart"/>
      <w:r w:rsidRPr="00BC081A">
        <w:t>up</w:t>
      </w:r>
      <w:proofErr w:type="gramEnd"/>
      <w:r w:rsidRPr="00BC081A">
        <w:t xml:space="preserve"> to 5min)</w:t>
      </w:r>
    </w:p>
    <w:p w14:paraId="4BBBC324" w14:textId="77777777" w:rsidR="00FC38F5" w:rsidRPr="00BC081A" w:rsidRDefault="00FC38F5" w:rsidP="00E803BD">
      <w:pPr>
        <w:ind w:firstLine="0"/>
        <w:rPr>
          <w:b/>
        </w:rPr>
      </w:pPr>
      <w:r w:rsidRPr="00BC081A">
        <w:rPr>
          <w:b/>
        </w:rPr>
        <w:t>Stage 2 – Treatment: Competing against computer</w:t>
      </w:r>
    </w:p>
    <w:p w14:paraId="7D3A0967" w14:textId="77777777" w:rsidR="00FC38F5" w:rsidRPr="00BC081A" w:rsidRDefault="00FC38F5" w:rsidP="00E803BD">
      <w:pPr>
        <w:pStyle w:val="ListParagraph"/>
        <w:numPr>
          <w:ilvl w:val="0"/>
          <w:numId w:val="7"/>
        </w:numPr>
        <w:spacing w:after="120"/>
        <w:jc w:val="both"/>
      </w:pPr>
      <w:r w:rsidRPr="00BC081A">
        <w:t>Brief them about the process of the game. Set the competition against computer mode for them to play for 5 rounds. After each round give them the mini survey to complete (Appendix-C – Part 2). (10min)</w:t>
      </w:r>
    </w:p>
    <w:p w14:paraId="36879FA4" w14:textId="77777777" w:rsidR="00FC38F5" w:rsidRPr="00BC081A" w:rsidRDefault="00FC38F5" w:rsidP="00E803BD">
      <w:pPr>
        <w:pStyle w:val="ListParagraph"/>
        <w:numPr>
          <w:ilvl w:val="1"/>
          <w:numId w:val="7"/>
        </w:numPr>
        <w:spacing w:after="120"/>
        <w:jc w:val="both"/>
      </w:pPr>
      <w:r w:rsidRPr="00BC081A">
        <w:lastRenderedPageBreak/>
        <w:t>Give the complete survey to fill after round 3 or 4 or whatever number that was defined based on the analysis of the data from stage 1 (Appendix-C – Part 3). (5-7min)</w:t>
      </w:r>
    </w:p>
    <w:p w14:paraId="0C042DB9" w14:textId="77777777" w:rsidR="00FC38F5" w:rsidRPr="00BC081A" w:rsidRDefault="00FC38F5" w:rsidP="00E803BD">
      <w:pPr>
        <w:pStyle w:val="ListParagraph"/>
        <w:numPr>
          <w:ilvl w:val="0"/>
          <w:numId w:val="7"/>
        </w:numPr>
        <w:spacing w:after="120"/>
        <w:jc w:val="both"/>
      </w:pPr>
      <w:r w:rsidRPr="00BC081A">
        <w:t>Give the participants the option of playing up to 5 more rounds if they are interested. (</w:t>
      </w:r>
      <w:proofErr w:type="gramStart"/>
      <w:r w:rsidRPr="00BC081A">
        <w:t>up</w:t>
      </w:r>
      <w:proofErr w:type="gramEnd"/>
      <w:r w:rsidRPr="00BC081A">
        <w:t xml:space="preserve"> to 5min)</w:t>
      </w:r>
    </w:p>
    <w:p w14:paraId="175ACF34" w14:textId="77777777" w:rsidR="00FC38F5" w:rsidRPr="00BC081A" w:rsidRDefault="00FC38F5" w:rsidP="00E803BD">
      <w:pPr>
        <w:ind w:firstLine="0"/>
        <w:rPr>
          <w:b/>
        </w:rPr>
      </w:pPr>
      <w:r w:rsidRPr="00BC081A">
        <w:rPr>
          <w:b/>
        </w:rPr>
        <w:t>Stage 2 – Treatment: Competing against a person</w:t>
      </w:r>
    </w:p>
    <w:p w14:paraId="11CBABD3" w14:textId="77777777" w:rsidR="00FC38F5" w:rsidRPr="00BC081A" w:rsidRDefault="00FC38F5" w:rsidP="00E803BD">
      <w:pPr>
        <w:pStyle w:val="ListParagraph"/>
        <w:numPr>
          <w:ilvl w:val="0"/>
          <w:numId w:val="8"/>
        </w:numPr>
        <w:spacing w:after="120"/>
        <w:jc w:val="both"/>
      </w:pPr>
      <w:r w:rsidRPr="00BC081A">
        <w:t>Brief them about the process of the game. Select playing against your friend option and allow the participants to play for 5 rounds. After each round give them the mini survey to complete (Appendix-C – Part 2). (10min)</w:t>
      </w:r>
    </w:p>
    <w:p w14:paraId="4D8B7E64" w14:textId="77777777" w:rsidR="00FC38F5" w:rsidRPr="00BC081A" w:rsidRDefault="00FC38F5" w:rsidP="00E803BD">
      <w:pPr>
        <w:pStyle w:val="ListParagraph"/>
        <w:numPr>
          <w:ilvl w:val="1"/>
          <w:numId w:val="8"/>
        </w:numPr>
        <w:spacing w:after="120"/>
        <w:jc w:val="both"/>
      </w:pPr>
      <w:r w:rsidRPr="00BC081A">
        <w:t>Give the complete survey to fill after round 3 or 4 or whatever number that was defined based on the analysis of the data from stage 1 (Appendix-C – Part 3). (5-7min)</w:t>
      </w:r>
    </w:p>
    <w:p w14:paraId="7B7C99C4" w14:textId="77777777" w:rsidR="00FC38F5" w:rsidRPr="00BC081A" w:rsidRDefault="00FC38F5" w:rsidP="00E803BD">
      <w:pPr>
        <w:pStyle w:val="ListParagraph"/>
        <w:numPr>
          <w:ilvl w:val="0"/>
          <w:numId w:val="8"/>
        </w:numPr>
        <w:spacing w:after="120"/>
        <w:jc w:val="both"/>
      </w:pPr>
      <w:r w:rsidRPr="00BC081A">
        <w:t>Give the participants the option of playing up to 5 more rounds if they are interested. (</w:t>
      </w:r>
      <w:proofErr w:type="gramStart"/>
      <w:r w:rsidRPr="00BC081A">
        <w:t>up</w:t>
      </w:r>
      <w:proofErr w:type="gramEnd"/>
      <w:r w:rsidRPr="00BC081A">
        <w:t xml:space="preserve"> to 5min)</w:t>
      </w:r>
    </w:p>
    <w:p w14:paraId="599574EF" w14:textId="3F39E2A6" w:rsidR="00983C78" w:rsidRPr="00BC081A" w:rsidRDefault="00983C78" w:rsidP="00E803BD">
      <w:pPr>
        <w:ind w:firstLine="0"/>
      </w:pPr>
    </w:p>
    <w:sectPr w:rsidR="00983C78" w:rsidRPr="00BC081A" w:rsidSect="00AE33A5">
      <w:headerReference w:type="default" r:id="rId48"/>
      <w:pgSz w:w="12240" w:h="15840"/>
      <w:pgMar w:top="1440" w:right="1440" w:bottom="1440" w:left="1440" w:header="708" w:footer="817"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DC101" w14:textId="77777777" w:rsidR="00BC332A" w:rsidRDefault="00BC332A" w:rsidP="00FC6EAB">
      <w:pPr>
        <w:spacing w:line="240" w:lineRule="auto"/>
      </w:pPr>
      <w:r>
        <w:separator/>
      </w:r>
    </w:p>
  </w:endnote>
  <w:endnote w:type="continuationSeparator" w:id="0">
    <w:p w14:paraId="01DDB8B5" w14:textId="77777777" w:rsidR="00BC332A" w:rsidRDefault="00BC332A" w:rsidP="00FC6E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ranNastaliq">
    <w:altName w:val="Arial Unicode MS"/>
    <w:charset w:val="00"/>
    <w:family w:val="roman"/>
    <w:pitch w:val="variable"/>
    <w:sig w:usb0="61002A87" w:usb1="80000000" w:usb2="00000008" w:usb3="00000000" w:csb0="000101FF"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A10006FF" w:usb1="4000205B" w:usb2="00000010" w:usb3="00000000" w:csb0="0000019F" w:csb1="00000000"/>
  </w:font>
  <w:font w:name="Myriad Pro Semibold">
    <w:panose1 w:val="020B06030304030202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0B9CC" w14:textId="77777777" w:rsidR="00BC332A" w:rsidRDefault="00BC332A" w:rsidP="002C2D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E4A260" w14:textId="77777777" w:rsidR="00BC332A" w:rsidRDefault="00BC332A" w:rsidP="00B435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12E98" w14:textId="77777777" w:rsidR="00BC332A" w:rsidRDefault="00BC332A" w:rsidP="002C2D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EE2">
      <w:rPr>
        <w:rStyle w:val="PageNumber"/>
        <w:noProof/>
      </w:rPr>
      <w:t>xi</w:t>
    </w:r>
    <w:r>
      <w:rPr>
        <w:rStyle w:val="PageNumber"/>
      </w:rPr>
      <w:fldChar w:fldCharType="end"/>
    </w:r>
  </w:p>
  <w:p w14:paraId="31552C33" w14:textId="77777777" w:rsidR="00BC332A" w:rsidRDefault="00BC332A" w:rsidP="00B4351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64C4B" w14:textId="77777777" w:rsidR="00BC332A" w:rsidRDefault="00BC332A" w:rsidP="00FC6EAB">
      <w:pPr>
        <w:spacing w:line="240" w:lineRule="auto"/>
      </w:pPr>
      <w:r>
        <w:separator/>
      </w:r>
    </w:p>
  </w:footnote>
  <w:footnote w:type="continuationSeparator" w:id="0">
    <w:p w14:paraId="389AEDD5" w14:textId="77777777" w:rsidR="00BC332A" w:rsidRDefault="00BC332A" w:rsidP="00FC6EAB">
      <w:pPr>
        <w:spacing w:line="240" w:lineRule="auto"/>
      </w:pPr>
      <w:r>
        <w:continuationSeparator/>
      </w:r>
    </w:p>
  </w:footnote>
  <w:footnote w:id="1">
    <w:p w14:paraId="794D1F6C" w14:textId="56AFD2D8" w:rsidR="00BC332A" w:rsidRPr="00174BF8" w:rsidRDefault="00BC332A" w:rsidP="00E6173A">
      <w:pPr>
        <w:pStyle w:val="FootnoteText"/>
        <w:ind w:firstLine="0"/>
        <w:rPr>
          <w:lang w:val="en-US"/>
        </w:rPr>
      </w:pPr>
      <w:r>
        <w:rPr>
          <w:rStyle w:val="FootnoteReference"/>
        </w:rPr>
        <w:footnoteRef/>
      </w:r>
      <w:r>
        <w:t xml:space="preserve"> A</w:t>
      </w:r>
      <w:r w:rsidRPr="00174BF8">
        <w:t>lso known as Generation Y, Generation N, or the Net Generation</w:t>
      </w:r>
    </w:p>
  </w:footnote>
  <w:footnote w:id="2">
    <w:p w14:paraId="27119784" w14:textId="4B021F77" w:rsidR="00BC332A" w:rsidRPr="006C23FD" w:rsidRDefault="00BC332A" w:rsidP="00E6173A">
      <w:pPr>
        <w:pStyle w:val="FootnoteText"/>
        <w:ind w:firstLine="0"/>
        <w:rPr>
          <w:lang w:val="en-US"/>
        </w:rPr>
      </w:pPr>
      <w:r>
        <w:rPr>
          <w:rStyle w:val="FootnoteReference"/>
        </w:rPr>
        <w:footnoteRef/>
      </w:r>
      <w:r>
        <w:t xml:space="preserve"> </w:t>
      </w:r>
      <w:r>
        <w:rPr>
          <w:lang w:val="en-US"/>
        </w:rPr>
        <w:t>Generation X is referred to the demographic cohort with birth years from the early 1960s to the early 1980s.</w:t>
      </w:r>
    </w:p>
  </w:footnote>
  <w:footnote w:id="3">
    <w:p w14:paraId="21E6B96E" w14:textId="287BB8AF" w:rsidR="00BC332A" w:rsidRPr="00555826" w:rsidRDefault="00BC332A" w:rsidP="009503F5">
      <w:pPr>
        <w:pStyle w:val="FootnoteText"/>
        <w:rPr>
          <w:lang w:val="en-US"/>
        </w:rPr>
      </w:pPr>
      <w:r>
        <w:rPr>
          <w:rStyle w:val="FootnoteReference"/>
        </w:rPr>
        <w:footnoteRef/>
      </w:r>
      <w:r>
        <w:t xml:space="preserve"> </w:t>
      </w:r>
      <w:r>
        <w:rPr>
          <w:lang w:val="en-US"/>
        </w:rPr>
        <w:t>Learning outcome per se is not the focus of this study. Instead, the focus was on measuring engagement, which can be seen as an intermediately state for enhanced learning.</w:t>
      </w:r>
    </w:p>
  </w:footnote>
  <w:footnote w:id="4">
    <w:p w14:paraId="45906CCF" w14:textId="0C51664E" w:rsidR="00BC332A" w:rsidRPr="00A7788C" w:rsidRDefault="00BC332A" w:rsidP="009503F5">
      <w:pPr>
        <w:pStyle w:val="FootnoteText"/>
        <w:rPr>
          <w:lang w:val="en-US"/>
        </w:rPr>
      </w:pPr>
      <w:r>
        <w:rPr>
          <w:rStyle w:val="FootnoteReference"/>
        </w:rPr>
        <w:footnoteRef/>
      </w:r>
      <w:r>
        <w:t xml:space="preserve"> The money that was spent in 2005 on military war games and simulation equipment was estimated to be $4 billion </w:t>
      </w:r>
      <w:r>
        <w:fldChar w:fldCharType="begin" w:fldLock="1"/>
      </w:r>
      <w:r>
        <w:instrText>ADDIN CSL_CITATION { "citationItems" : [ { "id" : "ITEM-1", "itemData" : { "author" : [ { "dropping-particle" : "", "family" : "Michael", "given" : "D R", "non-dropping-particle" : "", "parse-names" : false, "suffix" : "" }, { "dropping-particle" : "", "family" : "Chen", "given" : "S L", "non-dropping-particle" : "", "parse-names" : false, "suffix" : "" } ], "id" : "ITEM-1", "issued" : { "date-parts" : [ [ "2005" ] ] }, "publisher" : "Muska &amp; Lipman/Premier-Trade", "title" : "Serious games: Games that educate, train, and inform", "type" : "book" }, "uris" : [ "http://www.mendeley.com/documents/?uuid=b3b77377-a295-4782-8c84-58e4387392ec" ] } ], "mendeley" : { "previouslyFormattedCitation" : "(Michael &amp; Chen, 2005)" }, "properties" : { "noteIndex" : 0 }, "schema" : "https://github.com/citation-style-language/schema/raw/master/csl-citation.json" }</w:instrText>
      </w:r>
      <w:r>
        <w:fldChar w:fldCharType="separate"/>
      </w:r>
      <w:r w:rsidRPr="00C96550">
        <w:rPr>
          <w:noProof/>
        </w:rPr>
        <w:t>(Michael &amp; Chen, 2005)</w:t>
      </w:r>
      <w:r>
        <w:fldChar w:fldCharType="end"/>
      </w:r>
      <w:r>
        <w:t>.</w:t>
      </w:r>
    </w:p>
  </w:footnote>
  <w:footnote w:id="5">
    <w:p w14:paraId="232929EF" w14:textId="77777777" w:rsidR="00BC332A" w:rsidRPr="000223E8" w:rsidRDefault="00BC332A" w:rsidP="00210ACC">
      <w:pPr>
        <w:pStyle w:val="FootnoteText"/>
        <w:rPr>
          <w:lang w:val="en-US"/>
        </w:rPr>
      </w:pPr>
      <w:r>
        <w:rPr>
          <w:rStyle w:val="FootnoteReference"/>
        </w:rPr>
        <w:footnoteRef/>
      </w:r>
      <w:r>
        <w:t xml:space="preserve"> </w:t>
      </w:r>
      <w:proofErr w:type="spellStart"/>
      <w:r>
        <w:rPr>
          <w:lang w:val="en-US"/>
        </w:rPr>
        <w:t>Millennials</w:t>
      </w:r>
      <w:proofErr w:type="spellEnd"/>
    </w:p>
  </w:footnote>
  <w:footnote w:id="6">
    <w:p w14:paraId="4D7E7438" w14:textId="77777777" w:rsidR="00BC332A" w:rsidRPr="0053252B" w:rsidRDefault="00BC332A" w:rsidP="009503F5">
      <w:pPr>
        <w:pStyle w:val="FootnoteText"/>
        <w:rPr>
          <w:lang w:val="en-US"/>
        </w:rPr>
      </w:pPr>
      <w:r>
        <w:rPr>
          <w:rStyle w:val="FootnoteReference"/>
        </w:rPr>
        <w:footnoteRef/>
      </w:r>
      <w:r>
        <w:t xml:space="preserve"> </w:t>
      </w:r>
      <w:r>
        <w:rPr>
          <w:lang w:val="en-US"/>
        </w:rPr>
        <w:t xml:space="preserve">Based on Gartner’s report in 2011, by 2015 more than 50% of organizations will </w:t>
      </w:r>
      <w:proofErr w:type="spellStart"/>
      <w:r>
        <w:rPr>
          <w:lang w:val="en-US"/>
        </w:rPr>
        <w:t>gamify</w:t>
      </w:r>
      <w:proofErr w:type="spellEnd"/>
      <w:r>
        <w:rPr>
          <w:lang w:val="en-US"/>
        </w:rPr>
        <w:t xml:space="preserve"> their innovative processes (web link: </w:t>
      </w:r>
      <w:r w:rsidRPr="0053252B">
        <w:rPr>
          <w:lang w:val="en-US"/>
        </w:rPr>
        <w:t>http://www.gartner.com/it/page.jsp?id=1629214</w:t>
      </w:r>
      <w:r>
        <w:rPr>
          <w:lang w:val="en-US"/>
        </w:rPr>
        <w:t>)</w:t>
      </w:r>
    </w:p>
  </w:footnote>
  <w:footnote w:id="7">
    <w:p w14:paraId="073D7691" w14:textId="77777777" w:rsidR="00BC332A" w:rsidRPr="00A1767D" w:rsidRDefault="00BC332A" w:rsidP="009503F5">
      <w:pPr>
        <w:pStyle w:val="FootnoteText"/>
        <w:rPr>
          <w:lang w:val="en-US"/>
        </w:rPr>
      </w:pPr>
      <w:r>
        <w:rPr>
          <w:rStyle w:val="FootnoteReference"/>
        </w:rPr>
        <w:footnoteRef/>
      </w:r>
      <w:r>
        <w:t xml:space="preserve"> </w:t>
      </w:r>
      <w:r>
        <w:rPr>
          <w:lang w:val="en-US"/>
        </w:rPr>
        <w:t xml:space="preserve">A location-based social networking website that is widely used by smartphone users: </w:t>
      </w:r>
      <w:r w:rsidRPr="00A1767D">
        <w:rPr>
          <w:lang w:val="en-US"/>
        </w:rPr>
        <w:t>https://foursquare.com/</w:t>
      </w:r>
    </w:p>
  </w:footnote>
  <w:footnote w:id="8">
    <w:p w14:paraId="5E071B13" w14:textId="10698837" w:rsidR="00BC332A" w:rsidRPr="00956BA8" w:rsidRDefault="00BC332A">
      <w:pPr>
        <w:pStyle w:val="FootnoteText"/>
        <w:rPr>
          <w:lang w:val="en-US"/>
        </w:rPr>
      </w:pPr>
      <w:r>
        <w:rPr>
          <w:rStyle w:val="FootnoteReference"/>
        </w:rPr>
        <w:footnoteRef/>
      </w:r>
      <w:r>
        <w:t xml:space="preserve"> </w:t>
      </w:r>
      <w:r>
        <w:rPr>
          <w:lang w:val="en-US"/>
        </w:rPr>
        <w:t xml:space="preserve">Please refer to Appendix 1 for the explanation of the analyses conducted, including the definition of </w:t>
      </w:r>
      <w:r>
        <w:rPr>
          <w:i/>
          <w:lang w:val="en-US"/>
        </w:rPr>
        <w:t>Q</w:t>
      </w:r>
      <w:r>
        <w:rPr>
          <w:lang w:val="en-US"/>
        </w:rPr>
        <w:t>-test.</w:t>
      </w:r>
    </w:p>
  </w:footnote>
  <w:footnote w:id="9">
    <w:p w14:paraId="48D0BD7A" w14:textId="77777777" w:rsidR="00BC332A" w:rsidRPr="00791394" w:rsidRDefault="00BC332A" w:rsidP="004E1D5B">
      <w:pPr>
        <w:pStyle w:val="FootnoteText"/>
        <w:rPr>
          <w:lang w:val="en-US"/>
        </w:rPr>
      </w:pPr>
      <w:r>
        <w:rPr>
          <w:rStyle w:val="FootnoteReference"/>
        </w:rPr>
        <w:footnoteRef/>
      </w:r>
      <w:r>
        <w:t xml:space="preserve"> </w:t>
      </w:r>
      <w:r>
        <w:rPr>
          <w:lang w:val="en-US"/>
        </w:rPr>
        <w:t xml:space="preserve">For more information on multidimensional constructs and the guidelines for modeling them, one may refer to a recent article by </w:t>
      </w:r>
      <w:r w:rsidRPr="003A23DC">
        <w:rPr>
          <w:noProof/>
        </w:rPr>
        <w:t xml:space="preserve">Polites, Roberts, &amp; Thatcher </w:t>
      </w:r>
      <w:r>
        <w:rPr>
          <w:noProof/>
        </w:rPr>
        <w:t>(</w:t>
      </w:r>
      <w:r w:rsidRPr="003A23DC">
        <w:rPr>
          <w:noProof/>
        </w:rPr>
        <w:t>2012)</w:t>
      </w:r>
      <w:r>
        <w:t xml:space="preserve">. </w:t>
      </w:r>
    </w:p>
  </w:footnote>
  <w:footnote w:id="10">
    <w:p w14:paraId="534D927E" w14:textId="77777777" w:rsidR="00BC332A" w:rsidRPr="00193B62" w:rsidRDefault="00BC332A" w:rsidP="009503F5">
      <w:pPr>
        <w:pStyle w:val="FootnoteText"/>
        <w:rPr>
          <w:lang w:val="en-US"/>
        </w:rPr>
      </w:pPr>
      <w:r>
        <w:rPr>
          <w:rStyle w:val="FootnoteReference"/>
        </w:rPr>
        <w:footnoteRef/>
      </w:r>
      <w:r>
        <w:t xml:space="preserve"> </w:t>
      </w:r>
      <w:r>
        <w:rPr>
          <w:lang w:val="en-US"/>
        </w:rPr>
        <w:t xml:space="preserve">Free-choice period the time at the end of an experiment </w:t>
      </w:r>
      <w:proofErr w:type="gramStart"/>
      <w:r>
        <w:rPr>
          <w:lang w:val="en-US"/>
        </w:rPr>
        <w:t>that participants</w:t>
      </w:r>
      <w:proofErr w:type="gramEnd"/>
      <w:r>
        <w:rPr>
          <w:lang w:val="en-US"/>
        </w:rPr>
        <w:t xml:space="preserve"> are left alone. Participants are monitored during this period in order to observer whether they continue performing the activity that they had completed during the experiment or not.</w:t>
      </w:r>
    </w:p>
  </w:footnote>
  <w:footnote w:id="11">
    <w:p w14:paraId="2A14832E" w14:textId="70C4B03D" w:rsidR="00BC332A" w:rsidRPr="00E108E8" w:rsidRDefault="00BC332A" w:rsidP="00E108E8">
      <w:pPr>
        <w:pStyle w:val="FootnoteText"/>
        <w:rPr>
          <w:lang w:val="en-US"/>
        </w:rPr>
      </w:pPr>
      <w:r>
        <w:rPr>
          <w:rStyle w:val="FootnoteReference"/>
        </w:rPr>
        <w:footnoteRef/>
      </w:r>
      <w:r>
        <w:t xml:space="preserve"> Application Service Provider (ASP) delivers application features to multiple customers from a </w:t>
      </w:r>
      <w:r w:rsidRPr="00E108E8">
        <w:rPr>
          <w:lang w:val="en-US"/>
        </w:rPr>
        <w:t>data center across a wide area network (WAN)</w:t>
      </w:r>
      <w:r>
        <w:rPr>
          <w:lang w:val="en-US"/>
        </w:rPr>
        <w:t xml:space="preserve"> (Kim et al., 2011).</w:t>
      </w:r>
    </w:p>
  </w:footnote>
  <w:footnote w:id="12">
    <w:p w14:paraId="7747CA74" w14:textId="4E7DE40D" w:rsidR="00BC332A" w:rsidRPr="007804FF" w:rsidRDefault="00BC332A" w:rsidP="007804FF">
      <w:pPr>
        <w:pStyle w:val="FootnoteText"/>
        <w:rPr>
          <w:lang w:val="en-US"/>
        </w:rPr>
      </w:pPr>
      <w:r>
        <w:rPr>
          <w:rStyle w:val="FootnoteReference"/>
        </w:rPr>
        <w:footnoteRef/>
      </w:r>
      <w:r>
        <w:t xml:space="preserve"> </w:t>
      </w:r>
      <w:r>
        <w:rPr>
          <w:lang w:val="en-US"/>
        </w:rPr>
        <w:t xml:space="preserve">The items of Balance construct are: 1) </w:t>
      </w:r>
      <w:r w:rsidRPr="007804FF">
        <w:rPr>
          <w:lang w:val="en-US"/>
        </w:rPr>
        <w:t xml:space="preserve">My abilities matched the </w:t>
      </w:r>
      <w:r>
        <w:rPr>
          <w:lang w:val="en-US"/>
        </w:rPr>
        <w:t xml:space="preserve">high challenge of the situation; and 2) </w:t>
      </w:r>
      <w:r w:rsidRPr="007804FF">
        <w:rPr>
          <w:lang w:val="en-US"/>
        </w:rPr>
        <w:t>I felt I was competent enough to meet the high demands of the situation.</w:t>
      </w:r>
    </w:p>
  </w:footnote>
  <w:footnote w:id="13">
    <w:p w14:paraId="3427CA53" w14:textId="30EE886A" w:rsidR="00BC332A" w:rsidRPr="00532CCE" w:rsidRDefault="00BC332A">
      <w:pPr>
        <w:pStyle w:val="FootnoteText"/>
        <w:rPr>
          <w:lang w:val="en-US"/>
        </w:rPr>
      </w:pPr>
      <w:r>
        <w:rPr>
          <w:rStyle w:val="FootnoteReference"/>
        </w:rPr>
        <w:footnoteRef/>
      </w:r>
      <w:r>
        <w:t xml:space="preserve"> </w:t>
      </w:r>
      <w:r w:rsidRPr="00532CCE">
        <w:t>For the context of videogames, social presence, rather than a sense of presence in the environment, is of focus.</w:t>
      </w:r>
    </w:p>
  </w:footnote>
  <w:footnote w:id="14">
    <w:p w14:paraId="38D6CD9C" w14:textId="77777777" w:rsidR="00BC332A" w:rsidRPr="00F9473B" w:rsidRDefault="00BC332A" w:rsidP="00E45FDB">
      <w:pPr>
        <w:pStyle w:val="FootnoteText"/>
        <w:rPr>
          <w:lang w:val="en-US"/>
        </w:rPr>
      </w:pPr>
      <w:r>
        <w:rPr>
          <w:rStyle w:val="FootnoteReference"/>
        </w:rPr>
        <w:footnoteRef/>
      </w:r>
      <w:r>
        <w:t xml:space="preserve"> </w:t>
      </w:r>
      <w:r>
        <w:rPr>
          <w:lang w:val="en-US"/>
        </w:rPr>
        <w:t xml:space="preserve">Flow’s definition: </w:t>
      </w:r>
      <w:r>
        <w:rPr>
          <w:rFonts w:eastAsia="Times New Roman" w:cs="Times New Roman"/>
        </w:rPr>
        <w:t>The word "</w:t>
      </w:r>
      <w:r>
        <w:rPr>
          <w:rFonts w:eastAsia="Times New Roman" w:cs="Times New Roman"/>
          <w:b/>
          <w:bCs/>
        </w:rPr>
        <w:t>Flow</w:t>
      </w:r>
      <w:r>
        <w:rPr>
          <w:rFonts w:eastAsia="Times New Roman" w:cs="Times New Roman"/>
        </w:rPr>
        <w:t xml:space="preserve">" is used to describe a state of mind that is sometimes experienced by people who are deeply involved in an activity. One example of flow is the case where a computer gamer is deeply involved in a game and achieves a state of mind where nothing else matters but the game. In other words, he or she is completely and totally immersed in it. Some people report this state of mind when engaging in various activities such as watching movies, reading novels, browsing the Web, or working. </w:t>
      </w:r>
      <w:r>
        <w:rPr>
          <w:rFonts w:eastAsia="Times New Roman" w:cs="Times New Roman"/>
        </w:rPr>
        <w:br/>
      </w:r>
      <w:r>
        <w:rPr>
          <w:rFonts w:eastAsia="Times New Roman" w:cs="Times New Roman"/>
        </w:rPr>
        <w:br/>
        <w:t>Activities that lead to flow completely captivate a person for some period of time. When one is in flow, time may seem to stand still, and nothing else seems to matter. Flow may not last for a long time on any particular occasion, but it may come and go over time. Flow has been described as an intrinsically enjoyable experience</w:t>
      </w:r>
    </w:p>
  </w:footnote>
  <w:footnote w:id="15">
    <w:p w14:paraId="239ABA7B" w14:textId="77777777" w:rsidR="00BC332A" w:rsidRPr="004A7B4B" w:rsidRDefault="00BC332A" w:rsidP="00E45FDB">
      <w:pPr>
        <w:pStyle w:val="FootnoteText"/>
        <w:rPr>
          <w:lang w:val="en-US"/>
        </w:rPr>
      </w:pPr>
      <w:r>
        <w:rPr>
          <w:rStyle w:val="FootnoteReference"/>
        </w:rPr>
        <w:footnoteRef/>
      </w:r>
      <w:r>
        <w:t xml:space="preserve"> </w:t>
      </w:r>
      <w:r w:rsidRPr="004A7B4B">
        <w:t>http://play.typeracer.com/</w:t>
      </w:r>
    </w:p>
  </w:footnote>
  <w:footnote w:id="16">
    <w:p w14:paraId="015CFE57" w14:textId="485199AD" w:rsidR="00BC332A" w:rsidRPr="00245CF1" w:rsidRDefault="00BC332A">
      <w:pPr>
        <w:pStyle w:val="FootnoteText"/>
        <w:rPr>
          <w:lang w:val="en-US"/>
        </w:rPr>
      </w:pPr>
      <w:r>
        <w:rPr>
          <w:rStyle w:val="FootnoteReference"/>
        </w:rPr>
        <w:footnoteRef/>
      </w:r>
      <w:r>
        <w:t xml:space="preserve"> </w:t>
      </w:r>
      <w:r>
        <w:rPr>
          <w:lang w:val="en-US"/>
        </w:rPr>
        <w:t>Method being discounted by Chin et al. (2012), but used as a second method to detect CMB as it is still commonly used by IS researchers and no alternatives have been proposed yet.</w:t>
      </w:r>
    </w:p>
  </w:footnote>
  <w:footnote w:id="17">
    <w:p w14:paraId="32ADE2DC" w14:textId="77777777" w:rsidR="00BC332A" w:rsidRPr="00E929DF" w:rsidRDefault="00BC332A" w:rsidP="00B06C83">
      <w:pPr>
        <w:pStyle w:val="FootnoteText"/>
        <w:rPr>
          <w:lang w:val="en-US"/>
        </w:rPr>
      </w:pPr>
      <w:r>
        <w:rPr>
          <w:rStyle w:val="FootnoteReference"/>
        </w:rPr>
        <w:footnoteRef/>
      </w:r>
      <w:r>
        <w:t xml:space="preserve"> It should be mentioned here that using multidimensional constructs could add complications to the analysis of data. Also, prediction </w:t>
      </w:r>
      <w:proofErr w:type="gramStart"/>
      <w:r>
        <w:t>power of these constructs require</w:t>
      </w:r>
      <w:proofErr w:type="gramEnd"/>
      <w:r>
        <w:t xml:space="preserve"> more consideration as some scholars have warned researchers </w:t>
      </w:r>
      <w:r w:rsidRPr="00BA0725">
        <w:rPr>
          <w:noProof/>
        </w:rPr>
        <w:t>(Paunonen, Rothstein, &amp; Jackson, 1999)</w:t>
      </w:r>
      <w:r>
        <w:t xml:space="preserve">. </w:t>
      </w:r>
    </w:p>
  </w:footnote>
  <w:footnote w:id="18">
    <w:p w14:paraId="53E4EF48" w14:textId="550413A6" w:rsidR="00BC332A" w:rsidRPr="002F4CCC" w:rsidRDefault="00BC332A" w:rsidP="00B06C83">
      <w:pPr>
        <w:pStyle w:val="FootnoteText"/>
        <w:rPr>
          <w:lang w:val="en-US"/>
        </w:rPr>
      </w:pPr>
      <w:r>
        <w:rPr>
          <w:rStyle w:val="FootnoteReference"/>
        </w:rPr>
        <w:footnoteRef/>
      </w:r>
      <w:r>
        <w:t xml:space="preserve"> </w:t>
      </w:r>
      <w:r>
        <w:rPr>
          <w:lang w:val="en-US"/>
        </w:rPr>
        <w:t xml:space="preserve">The research shows that the number of studies on flow theory (in particular in the field of IS) has increased after the year 2000. </w:t>
      </w:r>
    </w:p>
  </w:footnote>
  <w:footnote w:id="19">
    <w:p w14:paraId="10BC8370" w14:textId="77777777" w:rsidR="00BC332A" w:rsidRPr="0086688D" w:rsidRDefault="00BC332A" w:rsidP="00B06C83">
      <w:pPr>
        <w:pStyle w:val="FootnoteText"/>
        <w:rPr>
          <w:lang w:val="en-US"/>
        </w:rPr>
      </w:pPr>
      <w:r>
        <w:rPr>
          <w:rStyle w:val="FootnoteReference"/>
        </w:rPr>
        <w:footnoteRef/>
      </w:r>
      <w:r>
        <w:t xml:space="preserve"> </w:t>
      </w:r>
      <w:r>
        <w:rPr>
          <w:lang w:val="en-US"/>
        </w:rPr>
        <w:t xml:space="preserve">This is done because studies were selected from different disciplines that might have different names for the same construct. To be included, there had to be significant overlap in the operationalization of the constructs with those of attitude and intention in the IS literature.  </w:t>
      </w:r>
    </w:p>
  </w:footnote>
  <w:footnote w:id="20">
    <w:p w14:paraId="2B0B10D8" w14:textId="77777777" w:rsidR="00BC332A" w:rsidRPr="00202AE1" w:rsidRDefault="00BC332A" w:rsidP="00B06C83">
      <w:pPr>
        <w:pStyle w:val="FootnoteText"/>
        <w:rPr>
          <w:lang w:val="en-US"/>
        </w:rPr>
      </w:pPr>
      <w:r>
        <w:rPr>
          <w:rStyle w:val="FootnoteReference"/>
        </w:rPr>
        <w:footnoteRef/>
      </w:r>
      <w:r>
        <w:t xml:space="preserve"> </w:t>
      </w:r>
      <w:r>
        <w:rPr>
          <w:lang w:val="en-US"/>
        </w:rPr>
        <w:t xml:space="preserve">Or it was possible to calculate the reliabilities from the given data. </w:t>
      </w:r>
    </w:p>
  </w:footnote>
  <w:footnote w:id="21">
    <w:p w14:paraId="6291E7F0" w14:textId="77777777" w:rsidR="00BC332A" w:rsidRPr="00202AE1" w:rsidRDefault="00BC332A" w:rsidP="00B06C83">
      <w:pPr>
        <w:pStyle w:val="FootnoteText"/>
        <w:rPr>
          <w:lang w:val="en-US"/>
        </w:rPr>
      </w:pPr>
      <w:r>
        <w:rPr>
          <w:rStyle w:val="FootnoteReference"/>
        </w:rPr>
        <w:footnoteRef/>
      </w:r>
      <w:r>
        <w:t xml:space="preserve"> There was no case with missing sample size. Thus, there was no need for considering other approaches to deal with missing values.</w:t>
      </w:r>
      <w:r>
        <w:rPr>
          <w:lang w:val="en-US"/>
        </w:rPr>
        <w:t xml:space="preserve"> </w:t>
      </w:r>
    </w:p>
  </w:footnote>
  <w:footnote w:id="22">
    <w:p w14:paraId="127BC83E" w14:textId="77777777" w:rsidR="00BC332A" w:rsidRPr="006103E5" w:rsidRDefault="00BC332A" w:rsidP="00B06C83">
      <w:pPr>
        <w:pStyle w:val="FootnoteText"/>
        <w:rPr>
          <w:lang w:val="en-US"/>
        </w:rPr>
      </w:pPr>
      <w:r>
        <w:rPr>
          <w:rStyle w:val="FootnoteReference"/>
        </w:rPr>
        <w:footnoteRef/>
      </w:r>
      <w:r>
        <w:t xml:space="preserve"> </w:t>
      </w:r>
      <w:r>
        <w:rPr>
          <w:lang w:val="en-US"/>
        </w:rPr>
        <w:t xml:space="preserve">If not equal (for non tau-equivalent results), CR reports a slightly higher value compared to </w:t>
      </w:r>
      <w:proofErr w:type="spellStart"/>
      <w:r>
        <w:rPr>
          <w:lang w:val="en-US"/>
        </w:rPr>
        <w:t>Cronbach</w:t>
      </w:r>
      <w:proofErr w:type="spellEnd"/>
      <w:r>
        <w:rPr>
          <w:lang w:val="en-US"/>
        </w:rPr>
        <w:t xml:space="preserve"> alpha, but not much higher. </w:t>
      </w:r>
    </w:p>
  </w:footnote>
  <w:footnote w:id="23">
    <w:p w14:paraId="31BDB523" w14:textId="77777777" w:rsidR="00BC332A" w:rsidRPr="006E009E" w:rsidRDefault="00BC332A" w:rsidP="00B06C83">
      <w:pPr>
        <w:pStyle w:val="FootnoteText"/>
        <w:rPr>
          <w:lang w:val="en-US"/>
        </w:rPr>
      </w:pPr>
      <w:r>
        <w:rPr>
          <w:rStyle w:val="FootnoteReference"/>
        </w:rPr>
        <w:footnoteRef/>
      </w:r>
      <w:r>
        <w:t xml:space="preserve"> These studies occasionally use very small subsets of multidimensional instruments or they use other constructs that were not identical to attitude or intention to use (such as intention to continue to use).</w:t>
      </w:r>
    </w:p>
  </w:footnote>
  <w:footnote w:id="24">
    <w:p w14:paraId="7A935166" w14:textId="77777777" w:rsidR="00BC332A" w:rsidRPr="00AD404E" w:rsidRDefault="00BC332A" w:rsidP="00536F6A">
      <w:pPr>
        <w:pStyle w:val="FootnoteText"/>
        <w:rPr>
          <w:lang w:val="en-US"/>
        </w:rPr>
      </w:pPr>
      <w:r>
        <w:rPr>
          <w:rStyle w:val="FootnoteReference"/>
        </w:rPr>
        <w:footnoteRef/>
      </w:r>
      <w:r>
        <w:t xml:space="preserve"> Studies that are included in the meta-analysis are marked with Asterisks (*).</w:t>
      </w:r>
    </w:p>
  </w:footnote>
  <w:footnote w:id="25">
    <w:p w14:paraId="7609C05B" w14:textId="694CDBA8" w:rsidR="00BC332A" w:rsidRDefault="00BC332A" w:rsidP="00A455B9">
      <w:pPr>
        <w:pStyle w:val="FootnoteText"/>
      </w:pPr>
      <w:r>
        <w:rPr>
          <w:rStyle w:val="FootnoteReference"/>
        </w:rPr>
        <w:footnoteRef/>
      </w:r>
      <w:r>
        <w:t xml:space="preserve"> Due to this study’s exploratory nature, significant statistical conclusions </w:t>
      </w:r>
      <w:proofErr w:type="gramStart"/>
      <w:r>
        <w:t>cannot be expected to be made</w:t>
      </w:r>
      <w:proofErr w:type="gramEnd"/>
      <w:r>
        <w:t xml:space="preserve"> from the collected data. Therefore, complete statistics results are not reported.</w:t>
      </w:r>
    </w:p>
  </w:footnote>
  <w:footnote w:id="26">
    <w:p w14:paraId="6F254A88" w14:textId="77777777" w:rsidR="00BC332A" w:rsidRDefault="00BC332A" w:rsidP="00A455B9">
      <w:pPr>
        <w:pStyle w:val="FootnoteText"/>
      </w:pPr>
      <w:r>
        <w:rPr>
          <w:rStyle w:val="FootnoteReference"/>
        </w:rPr>
        <w:footnoteRef/>
      </w:r>
      <w:r>
        <w:t xml:space="preserve"> </w:t>
      </w:r>
      <w:proofErr w:type="spellStart"/>
      <w:proofErr w:type="gramStart"/>
      <w:r>
        <w:t>n</w:t>
      </w:r>
      <w:proofErr w:type="gramEnd"/>
      <w:r>
        <w:t>.s</w:t>
      </w:r>
      <w:proofErr w:type="spellEnd"/>
      <w:r>
        <w:t>.: One-way ANOVA of difference between the teams is not significant.</w:t>
      </w:r>
    </w:p>
  </w:footnote>
  <w:footnote w:id="27">
    <w:p w14:paraId="5C3EAD48" w14:textId="77777777" w:rsidR="00BC332A" w:rsidRPr="00F619A2" w:rsidRDefault="00BC332A" w:rsidP="00FC38F5">
      <w:pPr>
        <w:pStyle w:val="FootnoteText"/>
        <w:rPr>
          <w:lang w:val="en-US"/>
        </w:rPr>
      </w:pPr>
      <w:r>
        <w:rPr>
          <w:rStyle w:val="FootnoteReference"/>
        </w:rPr>
        <w:footnoteRef/>
      </w:r>
      <w:r>
        <w:t xml:space="preserve"> </w:t>
      </w:r>
      <w:r>
        <w:rPr>
          <w:lang w:val="en-US"/>
        </w:rPr>
        <w:t xml:space="preserve">The data that was collected from Q-Sensor EDA measurement device appeared to be complicated to analyze. Thus, this data is kept separate in order for analysis and publication in a future work.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D4515" w14:textId="77777777" w:rsidR="00BC332A" w:rsidRDefault="00BC332A" w:rsidP="00810B33">
    <w:pPr>
      <w:pStyle w:val="Header"/>
    </w:pPr>
    <w:r>
      <w:t xml:space="preserve">Ph.D. Thesis – </w:t>
    </w:r>
    <w:proofErr w:type="spellStart"/>
    <w:r>
      <w:t>Sepandar</w:t>
    </w:r>
    <w:proofErr w:type="spellEnd"/>
    <w:r>
      <w:t xml:space="preserve"> </w:t>
    </w:r>
    <w:proofErr w:type="spellStart"/>
    <w:r>
      <w:t>Sepehr</w:t>
    </w:r>
    <w:proofErr w:type="spellEnd"/>
    <w:r>
      <w:t xml:space="preserve">; McMaster University – </w:t>
    </w:r>
    <w:proofErr w:type="spellStart"/>
    <w:r>
      <w:t>DeGroote</w:t>
    </w:r>
    <w:proofErr w:type="spellEnd"/>
    <w:r>
      <w:t xml:space="preserve"> School of Business.</w:t>
    </w:r>
  </w:p>
  <w:p w14:paraId="4BF34DB3" w14:textId="77777777" w:rsidR="00BC332A" w:rsidRDefault="00BC332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FE70A" w14:textId="77777777" w:rsidR="00BC332A" w:rsidRDefault="00BC332A" w:rsidP="00810B33">
    <w:pPr>
      <w:pStyle w:val="Header"/>
    </w:pPr>
    <w:r>
      <w:t xml:space="preserve">Ph.D. Thesis – </w:t>
    </w:r>
    <w:proofErr w:type="spellStart"/>
    <w:r>
      <w:t>Sepandar</w:t>
    </w:r>
    <w:proofErr w:type="spellEnd"/>
    <w:r>
      <w:t xml:space="preserve"> </w:t>
    </w:r>
    <w:proofErr w:type="spellStart"/>
    <w:r>
      <w:t>Sepehr</w:t>
    </w:r>
    <w:proofErr w:type="spellEnd"/>
    <w:r>
      <w:t xml:space="preserve">; McMaster University – </w:t>
    </w:r>
    <w:proofErr w:type="spellStart"/>
    <w:r>
      <w:t>DeGroote</w:t>
    </w:r>
    <w:proofErr w:type="spellEnd"/>
    <w:r>
      <w:t xml:space="preserve"> School of Business.</w:t>
    </w:r>
  </w:p>
  <w:p w14:paraId="49CF4B4A" w14:textId="77777777" w:rsidR="00BC332A" w:rsidRDefault="00BC332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2BB"/>
    <w:multiLevelType w:val="hybridMultilevel"/>
    <w:tmpl w:val="81400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A42520"/>
    <w:multiLevelType w:val="hybridMultilevel"/>
    <w:tmpl w:val="3822BB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73777A0"/>
    <w:multiLevelType w:val="hybridMultilevel"/>
    <w:tmpl w:val="F564AEB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952EBB"/>
    <w:multiLevelType w:val="hybridMultilevel"/>
    <w:tmpl w:val="D9DA2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54DB2"/>
    <w:multiLevelType w:val="hybridMultilevel"/>
    <w:tmpl w:val="12D03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F3943"/>
    <w:multiLevelType w:val="hybridMultilevel"/>
    <w:tmpl w:val="6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F7347"/>
    <w:multiLevelType w:val="multilevel"/>
    <w:tmpl w:val="21A879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4D6615"/>
    <w:multiLevelType w:val="hybridMultilevel"/>
    <w:tmpl w:val="E9DAF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20680F"/>
    <w:multiLevelType w:val="hybridMultilevel"/>
    <w:tmpl w:val="8FF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7C0B78"/>
    <w:multiLevelType w:val="hybridMultilevel"/>
    <w:tmpl w:val="558690B0"/>
    <w:lvl w:ilvl="0" w:tplc="0409000F">
      <w:start w:val="1"/>
      <w:numFmt w:val="decimal"/>
      <w:pStyle w:val="Table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2E5E26"/>
    <w:multiLevelType w:val="hybridMultilevel"/>
    <w:tmpl w:val="3822B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C36668"/>
    <w:multiLevelType w:val="hybridMultilevel"/>
    <w:tmpl w:val="D9728F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540B8F"/>
    <w:multiLevelType w:val="hybridMultilevel"/>
    <w:tmpl w:val="4956E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B05F1"/>
    <w:multiLevelType w:val="hybridMultilevel"/>
    <w:tmpl w:val="1A883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6F4D5C"/>
    <w:multiLevelType w:val="hybridMultilevel"/>
    <w:tmpl w:val="146AADCC"/>
    <w:lvl w:ilvl="0" w:tplc="E5580874">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774740"/>
    <w:multiLevelType w:val="hybridMultilevel"/>
    <w:tmpl w:val="6C74F8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453B1F"/>
    <w:multiLevelType w:val="hybridMultilevel"/>
    <w:tmpl w:val="CA965E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9A3BB3"/>
    <w:multiLevelType w:val="multilevel"/>
    <w:tmpl w:val="B0F67896"/>
    <w:lvl w:ilvl="0">
      <w:start w:val="1"/>
      <w:numFmt w:val="decimal"/>
      <w:suff w:val="space"/>
      <w:lvlText w:val="Appendix %1 –"/>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55527B7F"/>
    <w:multiLevelType w:val="hybridMultilevel"/>
    <w:tmpl w:val="097048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AE55736"/>
    <w:multiLevelType w:val="hybridMultilevel"/>
    <w:tmpl w:val="D9728F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835321"/>
    <w:multiLevelType w:val="hybridMultilevel"/>
    <w:tmpl w:val="6FA6D2A0"/>
    <w:lvl w:ilvl="0" w:tplc="A998A4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90C38"/>
    <w:multiLevelType w:val="multilevel"/>
    <w:tmpl w:val="4916226C"/>
    <w:lvl w:ilvl="0">
      <w:start w:val="1"/>
      <w:numFmt w:val="decimal"/>
      <w:pStyle w:val="Heading1"/>
      <w:suff w:val="space"/>
      <w:lvlText w:val="Chapter %1 –"/>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6C3B738E"/>
    <w:multiLevelType w:val="multilevel"/>
    <w:tmpl w:val="4916226C"/>
    <w:lvl w:ilvl="0">
      <w:start w:val="1"/>
      <w:numFmt w:val="decimal"/>
      <w:suff w:val="space"/>
      <w:lvlText w:val="Chapter %1 –"/>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D605DE0"/>
    <w:multiLevelType w:val="hybridMultilevel"/>
    <w:tmpl w:val="F0F0D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082ADF"/>
    <w:multiLevelType w:val="hybridMultilevel"/>
    <w:tmpl w:val="B2A63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4F1753"/>
    <w:multiLevelType w:val="hybridMultilevel"/>
    <w:tmpl w:val="6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8B65EF"/>
    <w:multiLevelType w:val="hybridMultilevel"/>
    <w:tmpl w:val="3822BB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786B74"/>
    <w:multiLevelType w:val="hybridMultilevel"/>
    <w:tmpl w:val="3822BB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40751B"/>
    <w:multiLevelType w:val="hybridMultilevel"/>
    <w:tmpl w:val="CE926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BA297D"/>
    <w:multiLevelType w:val="hybridMultilevel"/>
    <w:tmpl w:val="8E68A8F4"/>
    <w:lvl w:ilvl="0" w:tplc="B9E07464">
      <w:numFmt w:val="bullet"/>
      <w:lvlText w:val="-"/>
      <w:lvlJc w:val="left"/>
      <w:pPr>
        <w:ind w:left="1080" w:hanging="360"/>
      </w:pPr>
      <w:rPr>
        <w:rFonts w:ascii="Times" w:eastAsiaTheme="minorEastAsia"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324890"/>
    <w:multiLevelType w:val="multilevel"/>
    <w:tmpl w:val="B0F67896"/>
    <w:lvl w:ilvl="0">
      <w:start w:val="1"/>
      <w:numFmt w:val="decimal"/>
      <w:pStyle w:val="AppendixHeading"/>
      <w:suff w:val="space"/>
      <w:lvlText w:val="Appendix %1 –"/>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D9B77B6"/>
    <w:multiLevelType w:val="hybridMultilevel"/>
    <w:tmpl w:val="D9728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2"/>
  </w:num>
  <w:num w:numId="3">
    <w:abstractNumId w:val="11"/>
  </w:num>
  <w:num w:numId="4">
    <w:abstractNumId w:val="13"/>
  </w:num>
  <w:num w:numId="5">
    <w:abstractNumId w:val="19"/>
  </w:num>
  <w:num w:numId="6">
    <w:abstractNumId w:val="27"/>
  </w:num>
  <w:num w:numId="7">
    <w:abstractNumId w:val="1"/>
  </w:num>
  <w:num w:numId="8">
    <w:abstractNumId w:val="28"/>
  </w:num>
  <w:num w:numId="9">
    <w:abstractNumId w:val="31"/>
  </w:num>
  <w:num w:numId="10">
    <w:abstractNumId w:val="0"/>
  </w:num>
  <w:num w:numId="11">
    <w:abstractNumId w:val="25"/>
  </w:num>
  <w:num w:numId="12">
    <w:abstractNumId w:val="9"/>
  </w:num>
  <w:num w:numId="13">
    <w:abstractNumId w:val="10"/>
  </w:num>
  <w:num w:numId="14">
    <w:abstractNumId w:val="7"/>
  </w:num>
  <w:num w:numId="15">
    <w:abstractNumId w:val="21"/>
  </w:num>
  <w:num w:numId="16">
    <w:abstractNumId w:val="5"/>
  </w:num>
  <w:num w:numId="17">
    <w:abstractNumId w:val="24"/>
  </w:num>
  <w:num w:numId="18">
    <w:abstractNumId w:val="26"/>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6"/>
  </w:num>
  <w:num w:numId="23">
    <w:abstractNumId w:val="16"/>
  </w:num>
  <w:num w:numId="24">
    <w:abstractNumId w:val="20"/>
  </w:num>
  <w:num w:numId="25">
    <w:abstractNumId w:val="12"/>
  </w:num>
  <w:num w:numId="26">
    <w:abstractNumId w:val="17"/>
  </w:num>
  <w:num w:numId="27">
    <w:abstractNumId w:val="15"/>
  </w:num>
  <w:num w:numId="28">
    <w:abstractNumId w:val="8"/>
  </w:num>
  <w:num w:numId="29">
    <w:abstractNumId w:val="3"/>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9"/>
  </w:num>
  <w:num w:numId="33">
    <w:abstractNumId w:val="4"/>
  </w:num>
  <w:num w:numId="34">
    <w:abstractNumId w:val="14"/>
  </w:num>
  <w:num w:numId="35">
    <w:abstractNumId w:val="23"/>
  </w:num>
  <w:num w:numId="36">
    <w:abstractNumId w:val="15"/>
    <w:lvlOverride w:ilvl="0">
      <w:startOverride w:val="1"/>
    </w:lvlOverride>
  </w:num>
  <w:num w:numId="37">
    <w:abstractNumId w:val="30"/>
  </w:num>
  <w:num w:numId="38">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697"/>
    <w:rsid w:val="00000596"/>
    <w:rsid w:val="00000F82"/>
    <w:rsid w:val="000013B6"/>
    <w:rsid w:val="00002215"/>
    <w:rsid w:val="00004213"/>
    <w:rsid w:val="00005E56"/>
    <w:rsid w:val="00007C40"/>
    <w:rsid w:val="00007FAC"/>
    <w:rsid w:val="000101D3"/>
    <w:rsid w:val="00010226"/>
    <w:rsid w:val="00011954"/>
    <w:rsid w:val="00011CF7"/>
    <w:rsid w:val="00011DFC"/>
    <w:rsid w:val="000141C3"/>
    <w:rsid w:val="00014857"/>
    <w:rsid w:val="00020E65"/>
    <w:rsid w:val="000223E8"/>
    <w:rsid w:val="00023591"/>
    <w:rsid w:val="0002590C"/>
    <w:rsid w:val="000263AA"/>
    <w:rsid w:val="00026AF4"/>
    <w:rsid w:val="00027AF3"/>
    <w:rsid w:val="0003006D"/>
    <w:rsid w:val="000313D3"/>
    <w:rsid w:val="000316F3"/>
    <w:rsid w:val="00031E0B"/>
    <w:rsid w:val="00032500"/>
    <w:rsid w:val="00033D55"/>
    <w:rsid w:val="00034E2C"/>
    <w:rsid w:val="00035597"/>
    <w:rsid w:val="000361D0"/>
    <w:rsid w:val="0003650B"/>
    <w:rsid w:val="0004035F"/>
    <w:rsid w:val="00040796"/>
    <w:rsid w:val="00040C30"/>
    <w:rsid w:val="00041366"/>
    <w:rsid w:val="000421FC"/>
    <w:rsid w:val="00044ABC"/>
    <w:rsid w:val="00047749"/>
    <w:rsid w:val="0005187D"/>
    <w:rsid w:val="00053658"/>
    <w:rsid w:val="00053EAE"/>
    <w:rsid w:val="000566BC"/>
    <w:rsid w:val="00056E39"/>
    <w:rsid w:val="000570FD"/>
    <w:rsid w:val="00060E91"/>
    <w:rsid w:val="00064139"/>
    <w:rsid w:val="0006415E"/>
    <w:rsid w:val="00065E73"/>
    <w:rsid w:val="00066AF7"/>
    <w:rsid w:val="000670AD"/>
    <w:rsid w:val="00067DEC"/>
    <w:rsid w:val="00070FDA"/>
    <w:rsid w:val="000727BE"/>
    <w:rsid w:val="000737BE"/>
    <w:rsid w:val="00077ABB"/>
    <w:rsid w:val="00083E19"/>
    <w:rsid w:val="0008424B"/>
    <w:rsid w:val="00085CD1"/>
    <w:rsid w:val="00087960"/>
    <w:rsid w:val="0009144F"/>
    <w:rsid w:val="00091CA7"/>
    <w:rsid w:val="0009244A"/>
    <w:rsid w:val="00094A65"/>
    <w:rsid w:val="000956BF"/>
    <w:rsid w:val="00095F6E"/>
    <w:rsid w:val="00096D28"/>
    <w:rsid w:val="000A0021"/>
    <w:rsid w:val="000A321D"/>
    <w:rsid w:val="000A3542"/>
    <w:rsid w:val="000A42A2"/>
    <w:rsid w:val="000A50C8"/>
    <w:rsid w:val="000A64F7"/>
    <w:rsid w:val="000A7073"/>
    <w:rsid w:val="000A77B1"/>
    <w:rsid w:val="000B0809"/>
    <w:rsid w:val="000B1497"/>
    <w:rsid w:val="000B45AA"/>
    <w:rsid w:val="000B4E0E"/>
    <w:rsid w:val="000B6915"/>
    <w:rsid w:val="000B7C06"/>
    <w:rsid w:val="000C023F"/>
    <w:rsid w:val="000C0A75"/>
    <w:rsid w:val="000C1E8E"/>
    <w:rsid w:val="000C3794"/>
    <w:rsid w:val="000C4891"/>
    <w:rsid w:val="000C6890"/>
    <w:rsid w:val="000D25CF"/>
    <w:rsid w:val="000D26AD"/>
    <w:rsid w:val="000D2AC2"/>
    <w:rsid w:val="000D65D7"/>
    <w:rsid w:val="000D6EC6"/>
    <w:rsid w:val="000D7DF3"/>
    <w:rsid w:val="000E0E3F"/>
    <w:rsid w:val="000E0FD3"/>
    <w:rsid w:val="000E69EC"/>
    <w:rsid w:val="000E753B"/>
    <w:rsid w:val="000E7986"/>
    <w:rsid w:val="000E7AE1"/>
    <w:rsid w:val="000F2A01"/>
    <w:rsid w:val="000F2C1D"/>
    <w:rsid w:val="000F308B"/>
    <w:rsid w:val="000F4BBC"/>
    <w:rsid w:val="00100C2C"/>
    <w:rsid w:val="0010250C"/>
    <w:rsid w:val="0010252E"/>
    <w:rsid w:val="0010318D"/>
    <w:rsid w:val="00103EC3"/>
    <w:rsid w:val="001044DE"/>
    <w:rsid w:val="00104871"/>
    <w:rsid w:val="00110681"/>
    <w:rsid w:val="0011170D"/>
    <w:rsid w:val="001119AC"/>
    <w:rsid w:val="00113FFE"/>
    <w:rsid w:val="00114F96"/>
    <w:rsid w:val="00116C87"/>
    <w:rsid w:val="00123627"/>
    <w:rsid w:val="00123F66"/>
    <w:rsid w:val="00124D67"/>
    <w:rsid w:val="00124E90"/>
    <w:rsid w:val="00125836"/>
    <w:rsid w:val="00127005"/>
    <w:rsid w:val="001277BB"/>
    <w:rsid w:val="00127952"/>
    <w:rsid w:val="00132A31"/>
    <w:rsid w:val="00133E7B"/>
    <w:rsid w:val="0013470A"/>
    <w:rsid w:val="00135321"/>
    <w:rsid w:val="00135778"/>
    <w:rsid w:val="00135838"/>
    <w:rsid w:val="001415EC"/>
    <w:rsid w:val="00142AA7"/>
    <w:rsid w:val="00142F66"/>
    <w:rsid w:val="0014349B"/>
    <w:rsid w:val="00147B4C"/>
    <w:rsid w:val="00147E7B"/>
    <w:rsid w:val="00147F4F"/>
    <w:rsid w:val="00153F2A"/>
    <w:rsid w:val="00156A9D"/>
    <w:rsid w:val="00162A71"/>
    <w:rsid w:val="00162C73"/>
    <w:rsid w:val="00162DC5"/>
    <w:rsid w:val="001638E1"/>
    <w:rsid w:val="00163E52"/>
    <w:rsid w:val="00165E2C"/>
    <w:rsid w:val="00166860"/>
    <w:rsid w:val="00171A70"/>
    <w:rsid w:val="0017322A"/>
    <w:rsid w:val="00174BF8"/>
    <w:rsid w:val="00176B21"/>
    <w:rsid w:val="0017788B"/>
    <w:rsid w:val="00191883"/>
    <w:rsid w:val="00193FBD"/>
    <w:rsid w:val="0019430F"/>
    <w:rsid w:val="0019467F"/>
    <w:rsid w:val="00194680"/>
    <w:rsid w:val="00197644"/>
    <w:rsid w:val="001A1599"/>
    <w:rsid w:val="001A7531"/>
    <w:rsid w:val="001B0AAF"/>
    <w:rsid w:val="001B0D07"/>
    <w:rsid w:val="001B1CF1"/>
    <w:rsid w:val="001B2474"/>
    <w:rsid w:val="001B694D"/>
    <w:rsid w:val="001B6B56"/>
    <w:rsid w:val="001B7EE5"/>
    <w:rsid w:val="001C07D7"/>
    <w:rsid w:val="001C2A99"/>
    <w:rsid w:val="001C448D"/>
    <w:rsid w:val="001C57B6"/>
    <w:rsid w:val="001C606A"/>
    <w:rsid w:val="001C6132"/>
    <w:rsid w:val="001C6E00"/>
    <w:rsid w:val="001D1370"/>
    <w:rsid w:val="001D149E"/>
    <w:rsid w:val="001D1A06"/>
    <w:rsid w:val="001D23FE"/>
    <w:rsid w:val="001D2555"/>
    <w:rsid w:val="001D6058"/>
    <w:rsid w:val="001D68BE"/>
    <w:rsid w:val="001D696C"/>
    <w:rsid w:val="001E0099"/>
    <w:rsid w:val="001E3F4C"/>
    <w:rsid w:val="001E5246"/>
    <w:rsid w:val="001E540B"/>
    <w:rsid w:val="001E548A"/>
    <w:rsid w:val="001E5F62"/>
    <w:rsid w:val="001E7C93"/>
    <w:rsid w:val="001F5213"/>
    <w:rsid w:val="001F5FBC"/>
    <w:rsid w:val="001F7AE1"/>
    <w:rsid w:val="002012F3"/>
    <w:rsid w:val="002014AA"/>
    <w:rsid w:val="00203889"/>
    <w:rsid w:val="0020513F"/>
    <w:rsid w:val="00207754"/>
    <w:rsid w:val="002077A2"/>
    <w:rsid w:val="00210A51"/>
    <w:rsid w:val="00210AC5"/>
    <w:rsid w:val="00210ACC"/>
    <w:rsid w:val="0021138A"/>
    <w:rsid w:val="00213789"/>
    <w:rsid w:val="00213986"/>
    <w:rsid w:val="00214149"/>
    <w:rsid w:val="00216AD8"/>
    <w:rsid w:val="002202B2"/>
    <w:rsid w:val="00225B8A"/>
    <w:rsid w:val="00225CBB"/>
    <w:rsid w:val="00225E5D"/>
    <w:rsid w:val="00230F59"/>
    <w:rsid w:val="00231FB9"/>
    <w:rsid w:val="00232587"/>
    <w:rsid w:val="0023268B"/>
    <w:rsid w:val="0023313C"/>
    <w:rsid w:val="00233292"/>
    <w:rsid w:val="002342FC"/>
    <w:rsid w:val="002376D1"/>
    <w:rsid w:val="00237C5F"/>
    <w:rsid w:val="00237DCC"/>
    <w:rsid w:val="00240459"/>
    <w:rsid w:val="00242D72"/>
    <w:rsid w:val="00243813"/>
    <w:rsid w:val="00245CF1"/>
    <w:rsid w:val="00247514"/>
    <w:rsid w:val="00250113"/>
    <w:rsid w:val="00251720"/>
    <w:rsid w:val="00255ABF"/>
    <w:rsid w:val="00256AB7"/>
    <w:rsid w:val="00260550"/>
    <w:rsid w:val="00261C19"/>
    <w:rsid w:val="00262D4B"/>
    <w:rsid w:val="002638D1"/>
    <w:rsid w:val="002644B5"/>
    <w:rsid w:val="002655F8"/>
    <w:rsid w:val="002700C9"/>
    <w:rsid w:val="00273351"/>
    <w:rsid w:val="0027402E"/>
    <w:rsid w:val="00274C95"/>
    <w:rsid w:val="002761DD"/>
    <w:rsid w:val="00276D86"/>
    <w:rsid w:val="00277883"/>
    <w:rsid w:val="00282BA0"/>
    <w:rsid w:val="002847AF"/>
    <w:rsid w:val="00284BDB"/>
    <w:rsid w:val="002851A7"/>
    <w:rsid w:val="00285BDE"/>
    <w:rsid w:val="002905E6"/>
    <w:rsid w:val="00290E9B"/>
    <w:rsid w:val="002941CD"/>
    <w:rsid w:val="0029487C"/>
    <w:rsid w:val="00296C7E"/>
    <w:rsid w:val="002A00C0"/>
    <w:rsid w:val="002A04F0"/>
    <w:rsid w:val="002A2266"/>
    <w:rsid w:val="002A23AD"/>
    <w:rsid w:val="002A3E84"/>
    <w:rsid w:val="002A4100"/>
    <w:rsid w:val="002A47B5"/>
    <w:rsid w:val="002A5ABD"/>
    <w:rsid w:val="002A714D"/>
    <w:rsid w:val="002B00C1"/>
    <w:rsid w:val="002B02E6"/>
    <w:rsid w:val="002B0431"/>
    <w:rsid w:val="002B1951"/>
    <w:rsid w:val="002B1FC8"/>
    <w:rsid w:val="002B215A"/>
    <w:rsid w:val="002B4851"/>
    <w:rsid w:val="002B4C3F"/>
    <w:rsid w:val="002B4C6F"/>
    <w:rsid w:val="002B5513"/>
    <w:rsid w:val="002C00EC"/>
    <w:rsid w:val="002C0102"/>
    <w:rsid w:val="002C07A1"/>
    <w:rsid w:val="002C1A88"/>
    <w:rsid w:val="002C2DD2"/>
    <w:rsid w:val="002C4390"/>
    <w:rsid w:val="002C4FC4"/>
    <w:rsid w:val="002C724C"/>
    <w:rsid w:val="002C7AC6"/>
    <w:rsid w:val="002D18A6"/>
    <w:rsid w:val="002D37AA"/>
    <w:rsid w:val="002D3E19"/>
    <w:rsid w:val="002D501B"/>
    <w:rsid w:val="002D53EC"/>
    <w:rsid w:val="002D5519"/>
    <w:rsid w:val="002D5A1D"/>
    <w:rsid w:val="002D5E10"/>
    <w:rsid w:val="002D6BE4"/>
    <w:rsid w:val="002D752C"/>
    <w:rsid w:val="002D7A25"/>
    <w:rsid w:val="002E29A8"/>
    <w:rsid w:val="002E33A4"/>
    <w:rsid w:val="002E3E15"/>
    <w:rsid w:val="002E4168"/>
    <w:rsid w:val="002E46C2"/>
    <w:rsid w:val="002E5B13"/>
    <w:rsid w:val="002E644E"/>
    <w:rsid w:val="002E6960"/>
    <w:rsid w:val="002E7288"/>
    <w:rsid w:val="002F2978"/>
    <w:rsid w:val="002F29AA"/>
    <w:rsid w:val="002F48DC"/>
    <w:rsid w:val="002F5DFC"/>
    <w:rsid w:val="002F7AAA"/>
    <w:rsid w:val="003000AB"/>
    <w:rsid w:val="00300E2D"/>
    <w:rsid w:val="00301569"/>
    <w:rsid w:val="00301BFD"/>
    <w:rsid w:val="00302E2E"/>
    <w:rsid w:val="00303B90"/>
    <w:rsid w:val="00303BAA"/>
    <w:rsid w:val="00305151"/>
    <w:rsid w:val="00305F55"/>
    <w:rsid w:val="003101D2"/>
    <w:rsid w:val="00310650"/>
    <w:rsid w:val="00311912"/>
    <w:rsid w:val="0031276A"/>
    <w:rsid w:val="00312E2B"/>
    <w:rsid w:val="00313EA3"/>
    <w:rsid w:val="00314A87"/>
    <w:rsid w:val="00317D19"/>
    <w:rsid w:val="00320678"/>
    <w:rsid w:val="0032232B"/>
    <w:rsid w:val="003303F5"/>
    <w:rsid w:val="00330565"/>
    <w:rsid w:val="003318C7"/>
    <w:rsid w:val="003324E2"/>
    <w:rsid w:val="00332B06"/>
    <w:rsid w:val="00332FAA"/>
    <w:rsid w:val="003335FA"/>
    <w:rsid w:val="00334A50"/>
    <w:rsid w:val="00334B39"/>
    <w:rsid w:val="00335A94"/>
    <w:rsid w:val="00336DE3"/>
    <w:rsid w:val="00340B50"/>
    <w:rsid w:val="003412E9"/>
    <w:rsid w:val="00341C53"/>
    <w:rsid w:val="0034220C"/>
    <w:rsid w:val="00342297"/>
    <w:rsid w:val="003436AF"/>
    <w:rsid w:val="0035110F"/>
    <w:rsid w:val="003513CF"/>
    <w:rsid w:val="00352572"/>
    <w:rsid w:val="00354794"/>
    <w:rsid w:val="00355ABF"/>
    <w:rsid w:val="0036327C"/>
    <w:rsid w:val="003633C2"/>
    <w:rsid w:val="00363AFA"/>
    <w:rsid w:val="00364130"/>
    <w:rsid w:val="00365118"/>
    <w:rsid w:val="0036527F"/>
    <w:rsid w:val="003653BD"/>
    <w:rsid w:val="00366631"/>
    <w:rsid w:val="003705F4"/>
    <w:rsid w:val="00372338"/>
    <w:rsid w:val="003735AB"/>
    <w:rsid w:val="00373EEC"/>
    <w:rsid w:val="003741E7"/>
    <w:rsid w:val="00375349"/>
    <w:rsid w:val="00376E45"/>
    <w:rsid w:val="00377D3D"/>
    <w:rsid w:val="00380ED0"/>
    <w:rsid w:val="00381CB1"/>
    <w:rsid w:val="00381D45"/>
    <w:rsid w:val="00382258"/>
    <w:rsid w:val="003833A5"/>
    <w:rsid w:val="00383DA5"/>
    <w:rsid w:val="00385D82"/>
    <w:rsid w:val="00387B9B"/>
    <w:rsid w:val="0039142E"/>
    <w:rsid w:val="003A05C1"/>
    <w:rsid w:val="003A06DF"/>
    <w:rsid w:val="003A1818"/>
    <w:rsid w:val="003A3017"/>
    <w:rsid w:val="003A4B57"/>
    <w:rsid w:val="003A5D88"/>
    <w:rsid w:val="003A7EB7"/>
    <w:rsid w:val="003B110D"/>
    <w:rsid w:val="003B5F34"/>
    <w:rsid w:val="003B6117"/>
    <w:rsid w:val="003B72AE"/>
    <w:rsid w:val="003B79B9"/>
    <w:rsid w:val="003C1542"/>
    <w:rsid w:val="003C403E"/>
    <w:rsid w:val="003C6EF7"/>
    <w:rsid w:val="003D226A"/>
    <w:rsid w:val="003D2684"/>
    <w:rsid w:val="003D2721"/>
    <w:rsid w:val="003D40C4"/>
    <w:rsid w:val="003D4756"/>
    <w:rsid w:val="003D6350"/>
    <w:rsid w:val="003D6497"/>
    <w:rsid w:val="003D6A8C"/>
    <w:rsid w:val="003D736F"/>
    <w:rsid w:val="003E136B"/>
    <w:rsid w:val="003E1D80"/>
    <w:rsid w:val="003E4708"/>
    <w:rsid w:val="003E5615"/>
    <w:rsid w:val="003E59C3"/>
    <w:rsid w:val="003E68FE"/>
    <w:rsid w:val="003E7208"/>
    <w:rsid w:val="003E795F"/>
    <w:rsid w:val="003F003F"/>
    <w:rsid w:val="003F0659"/>
    <w:rsid w:val="003F20B6"/>
    <w:rsid w:val="003F26F0"/>
    <w:rsid w:val="003F2995"/>
    <w:rsid w:val="003F2DE6"/>
    <w:rsid w:val="003F6720"/>
    <w:rsid w:val="003F767D"/>
    <w:rsid w:val="003F7C56"/>
    <w:rsid w:val="00400D5D"/>
    <w:rsid w:val="00400DD5"/>
    <w:rsid w:val="004020C8"/>
    <w:rsid w:val="004026A6"/>
    <w:rsid w:val="00403938"/>
    <w:rsid w:val="00404690"/>
    <w:rsid w:val="00405867"/>
    <w:rsid w:val="0040691D"/>
    <w:rsid w:val="004105FD"/>
    <w:rsid w:val="00412C35"/>
    <w:rsid w:val="00413F78"/>
    <w:rsid w:val="00414C1B"/>
    <w:rsid w:val="00415840"/>
    <w:rsid w:val="004176FB"/>
    <w:rsid w:val="00420C4B"/>
    <w:rsid w:val="00423731"/>
    <w:rsid w:val="004238CD"/>
    <w:rsid w:val="00423F5E"/>
    <w:rsid w:val="004271F8"/>
    <w:rsid w:val="0043002A"/>
    <w:rsid w:val="00432150"/>
    <w:rsid w:val="00435C38"/>
    <w:rsid w:val="00436AC8"/>
    <w:rsid w:val="00440C18"/>
    <w:rsid w:val="00442D46"/>
    <w:rsid w:val="00444815"/>
    <w:rsid w:val="00445071"/>
    <w:rsid w:val="004453A1"/>
    <w:rsid w:val="004500C9"/>
    <w:rsid w:val="00450854"/>
    <w:rsid w:val="0045179A"/>
    <w:rsid w:val="0045318B"/>
    <w:rsid w:val="004609E5"/>
    <w:rsid w:val="00462DE9"/>
    <w:rsid w:val="00462F1A"/>
    <w:rsid w:val="00464F45"/>
    <w:rsid w:val="004652F0"/>
    <w:rsid w:val="00465916"/>
    <w:rsid w:val="004666DB"/>
    <w:rsid w:val="0046740B"/>
    <w:rsid w:val="00467EC3"/>
    <w:rsid w:val="00471B86"/>
    <w:rsid w:val="00471C3A"/>
    <w:rsid w:val="00471F41"/>
    <w:rsid w:val="00473547"/>
    <w:rsid w:val="00473DDA"/>
    <w:rsid w:val="00475697"/>
    <w:rsid w:val="0047578A"/>
    <w:rsid w:val="00477535"/>
    <w:rsid w:val="00480722"/>
    <w:rsid w:val="00481396"/>
    <w:rsid w:val="00481F3E"/>
    <w:rsid w:val="0048471E"/>
    <w:rsid w:val="0048475B"/>
    <w:rsid w:val="00487D3A"/>
    <w:rsid w:val="004904BF"/>
    <w:rsid w:val="00495208"/>
    <w:rsid w:val="00495A28"/>
    <w:rsid w:val="004A0450"/>
    <w:rsid w:val="004A0E6E"/>
    <w:rsid w:val="004A1297"/>
    <w:rsid w:val="004A1B27"/>
    <w:rsid w:val="004A26BB"/>
    <w:rsid w:val="004A2D95"/>
    <w:rsid w:val="004A38CB"/>
    <w:rsid w:val="004A4AE8"/>
    <w:rsid w:val="004A4D0C"/>
    <w:rsid w:val="004A4E64"/>
    <w:rsid w:val="004A56B0"/>
    <w:rsid w:val="004A69DB"/>
    <w:rsid w:val="004A7CC8"/>
    <w:rsid w:val="004A7EA6"/>
    <w:rsid w:val="004B0DE9"/>
    <w:rsid w:val="004B2F89"/>
    <w:rsid w:val="004B6580"/>
    <w:rsid w:val="004B69BE"/>
    <w:rsid w:val="004B719F"/>
    <w:rsid w:val="004C130F"/>
    <w:rsid w:val="004C2026"/>
    <w:rsid w:val="004C250B"/>
    <w:rsid w:val="004C321B"/>
    <w:rsid w:val="004C5068"/>
    <w:rsid w:val="004C522C"/>
    <w:rsid w:val="004C55D3"/>
    <w:rsid w:val="004C6123"/>
    <w:rsid w:val="004C6E97"/>
    <w:rsid w:val="004D0FCC"/>
    <w:rsid w:val="004D54B1"/>
    <w:rsid w:val="004D6BBD"/>
    <w:rsid w:val="004E06A4"/>
    <w:rsid w:val="004E1D5B"/>
    <w:rsid w:val="004E5819"/>
    <w:rsid w:val="004E6142"/>
    <w:rsid w:val="004E66FB"/>
    <w:rsid w:val="004E740F"/>
    <w:rsid w:val="004F00DC"/>
    <w:rsid w:val="004F3D52"/>
    <w:rsid w:val="0050180D"/>
    <w:rsid w:val="0050251A"/>
    <w:rsid w:val="005032A5"/>
    <w:rsid w:val="00503F6D"/>
    <w:rsid w:val="00504CA4"/>
    <w:rsid w:val="00507CA6"/>
    <w:rsid w:val="005121E6"/>
    <w:rsid w:val="00512839"/>
    <w:rsid w:val="0051352D"/>
    <w:rsid w:val="00515B0F"/>
    <w:rsid w:val="00520364"/>
    <w:rsid w:val="00523870"/>
    <w:rsid w:val="0052437A"/>
    <w:rsid w:val="00527B56"/>
    <w:rsid w:val="00530049"/>
    <w:rsid w:val="005320A1"/>
    <w:rsid w:val="0053252B"/>
    <w:rsid w:val="00532741"/>
    <w:rsid w:val="00532CCE"/>
    <w:rsid w:val="00533B23"/>
    <w:rsid w:val="005350FC"/>
    <w:rsid w:val="00536F6A"/>
    <w:rsid w:val="00540445"/>
    <w:rsid w:val="00540B88"/>
    <w:rsid w:val="005423C5"/>
    <w:rsid w:val="00542BB8"/>
    <w:rsid w:val="005469B2"/>
    <w:rsid w:val="00547B98"/>
    <w:rsid w:val="00547E23"/>
    <w:rsid w:val="00550DCB"/>
    <w:rsid w:val="005511F5"/>
    <w:rsid w:val="00551CF7"/>
    <w:rsid w:val="0055735D"/>
    <w:rsid w:val="00557F2B"/>
    <w:rsid w:val="005624B9"/>
    <w:rsid w:val="00562791"/>
    <w:rsid w:val="00562BB5"/>
    <w:rsid w:val="00565639"/>
    <w:rsid w:val="00565D72"/>
    <w:rsid w:val="00566B5F"/>
    <w:rsid w:val="00567B25"/>
    <w:rsid w:val="0057060A"/>
    <w:rsid w:val="0057128B"/>
    <w:rsid w:val="00571D5F"/>
    <w:rsid w:val="00572BE7"/>
    <w:rsid w:val="005747CA"/>
    <w:rsid w:val="0057499B"/>
    <w:rsid w:val="00574AB0"/>
    <w:rsid w:val="00574D19"/>
    <w:rsid w:val="00584809"/>
    <w:rsid w:val="00584BDA"/>
    <w:rsid w:val="00585B35"/>
    <w:rsid w:val="00586356"/>
    <w:rsid w:val="00591B1C"/>
    <w:rsid w:val="00592466"/>
    <w:rsid w:val="005933EE"/>
    <w:rsid w:val="00593C83"/>
    <w:rsid w:val="00594978"/>
    <w:rsid w:val="0059628C"/>
    <w:rsid w:val="005978DC"/>
    <w:rsid w:val="00597EDC"/>
    <w:rsid w:val="005A100D"/>
    <w:rsid w:val="005A1D36"/>
    <w:rsid w:val="005A3530"/>
    <w:rsid w:val="005A46E2"/>
    <w:rsid w:val="005A4DE0"/>
    <w:rsid w:val="005A4FA6"/>
    <w:rsid w:val="005A6F22"/>
    <w:rsid w:val="005B0736"/>
    <w:rsid w:val="005B0CC9"/>
    <w:rsid w:val="005B0E41"/>
    <w:rsid w:val="005B2C63"/>
    <w:rsid w:val="005B78AF"/>
    <w:rsid w:val="005C00B2"/>
    <w:rsid w:val="005C0350"/>
    <w:rsid w:val="005C238C"/>
    <w:rsid w:val="005C2E5B"/>
    <w:rsid w:val="005C349D"/>
    <w:rsid w:val="005C586D"/>
    <w:rsid w:val="005C5CB6"/>
    <w:rsid w:val="005C6912"/>
    <w:rsid w:val="005C70B3"/>
    <w:rsid w:val="005C7158"/>
    <w:rsid w:val="005D14FA"/>
    <w:rsid w:val="005D4B31"/>
    <w:rsid w:val="005D6DBC"/>
    <w:rsid w:val="005D72E8"/>
    <w:rsid w:val="005D7EB9"/>
    <w:rsid w:val="005E167C"/>
    <w:rsid w:val="005E3CFD"/>
    <w:rsid w:val="005E42DB"/>
    <w:rsid w:val="005E5776"/>
    <w:rsid w:val="005E5920"/>
    <w:rsid w:val="005E6DDA"/>
    <w:rsid w:val="005F1D49"/>
    <w:rsid w:val="005F1ECF"/>
    <w:rsid w:val="005F2865"/>
    <w:rsid w:val="005F431E"/>
    <w:rsid w:val="005F4CF9"/>
    <w:rsid w:val="005F6133"/>
    <w:rsid w:val="005F76BD"/>
    <w:rsid w:val="006006D9"/>
    <w:rsid w:val="00600D3C"/>
    <w:rsid w:val="00601C7F"/>
    <w:rsid w:val="006031A6"/>
    <w:rsid w:val="0060329A"/>
    <w:rsid w:val="00603846"/>
    <w:rsid w:val="00605596"/>
    <w:rsid w:val="00606072"/>
    <w:rsid w:val="006117A0"/>
    <w:rsid w:val="00612067"/>
    <w:rsid w:val="00612211"/>
    <w:rsid w:val="00612A83"/>
    <w:rsid w:val="006134A6"/>
    <w:rsid w:val="0061764C"/>
    <w:rsid w:val="00617A40"/>
    <w:rsid w:val="00620542"/>
    <w:rsid w:val="00621439"/>
    <w:rsid w:val="006220B2"/>
    <w:rsid w:val="00622BB9"/>
    <w:rsid w:val="006260AE"/>
    <w:rsid w:val="006260E8"/>
    <w:rsid w:val="00626934"/>
    <w:rsid w:val="00627499"/>
    <w:rsid w:val="00627A64"/>
    <w:rsid w:val="00630804"/>
    <w:rsid w:val="00630D9D"/>
    <w:rsid w:val="006316F6"/>
    <w:rsid w:val="006359AB"/>
    <w:rsid w:val="006365DF"/>
    <w:rsid w:val="00636D83"/>
    <w:rsid w:val="006406A9"/>
    <w:rsid w:val="00640B65"/>
    <w:rsid w:val="00640DF4"/>
    <w:rsid w:val="00642019"/>
    <w:rsid w:val="00645CB7"/>
    <w:rsid w:val="0065008D"/>
    <w:rsid w:val="0065062A"/>
    <w:rsid w:val="00653A2D"/>
    <w:rsid w:val="006551D2"/>
    <w:rsid w:val="00656347"/>
    <w:rsid w:val="00656581"/>
    <w:rsid w:val="00661005"/>
    <w:rsid w:val="0066186F"/>
    <w:rsid w:val="006622EA"/>
    <w:rsid w:val="00662DB7"/>
    <w:rsid w:val="00666CBF"/>
    <w:rsid w:val="006703DE"/>
    <w:rsid w:val="006819A7"/>
    <w:rsid w:val="00682FCD"/>
    <w:rsid w:val="00683060"/>
    <w:rsid w:val="00684192"/>
    <w:rsid w:val="006848BD"/>
    <w:rsid w:val="00684C47"/>
    <w:rsid w:val="00684F6B"/>
    <w:rsid w:val="00693EEE"/>
    <w:rsid w:val="006956E8"/>
    <w:rsid w:val="00696E58"/>
    <w:rsid w:val="006A01E6"/>
    <w:rsid w:val="006A4C7E"/>
    <w:rsid w:val="006A4F01"/>
    <w:rsid w:val="006A692B"/>
    <w:rsid w:val="006B04A3"/>
    <w:rsid w:val="006B1A0C"/>
    <w:rsid w:val="006B27F0"/>
    <w:rsid w:val="006B280A"/>
    <w:rsid w:val="006B3CD2"/>
    <w:rsid w:val="006B6299"/>
    <w:rsid w:val="006C23FD"/>
    <w:rsid w:val="006C38A6"/>
    <w:rsid w:val="006C5E37"/>
    <w:rsid w:val="006C7247"/>
    <w:rsid w:val="006C7FF3"/>
    <w:rsid w:val="006D005A"/>
    <w:rsid w:val="006D02F9"/>
    <w:rsid w:val="006D0A74"/>
    <w:rsid w:val="006D0D4D"/>
    <w:rsid w:val="006D48AF"/>
    <w:rsid w:val="006D4A68"/>
    <w:rsid w:val="006D53C7"/>
    <w:rsid w:val="006D5F14"/>
    <w:rsid w:val="006D733B"/>
    <w:rsid w:val="006E30B9"/>
    <w:rsid w:val="006E6BA4"/>
    <w:rsid w:val="006F2DEB"/>
    <w:rsid w:val="006F531A"/>
    <w:rsid w:val="006F787A"/>
    <w:rsid w:val="00700EED"/>
    <w:rsid w:val="007053D7"/>
    <w:rsid w:val="00706197"/>
    <w:rsid w:val="0070667A"/>
    <w:rsid w:val="00706FAD"/>
    <w:rsid w:val="00707292"/>
    <w:rsid w:val="007103AE"/>
    <w:rsid w:val="00713BAB"/>
    <w:rsid w:val="00713CAE"/>
    <w:rsid w:val="0071418E"/>
    <w:rsid w:val="00715876"/>
    <w:rsid w:val="00715E93"/>
    <w:rsid w:val="00717436"/>
    <w:rsid w:val="00717BFB"/>
    <w:rsid w:val="00717F64"/>
    <w:rsid w:val="007208B8"/>
    <w:rsid w:val="00721570"/>
    <w:rsid w:val="007239E6"/>
    <w:rsid w:val="00723EE9"/>
    <w:rsid w:val="00725542"/>
    <w:rsid w:val="00727AF3"/>
    <w:rsid w:val="00727B90"/>
    <w:rsid w:val="00732681"/>
    <w:rsid w:val="00733101"/>
    <w:rsid w:val="00734AF8"/>
    <w:rsid w:val="007401AB"/>
    <w:rsid w:val="00740B44"/>
    <w:rsid w:val="007416CC"/>
    <w:rsid w:val="00743518"/>
    <w:rsid w:val="00744B6C"/>
    <w:rsid w:val="00745394"/>
    <w:rsid w:val="00745C0D"/>
    <w:rsid w:val="00745DDF"/>
    <w:rsid w:val="0074622D"/>
    <w:rsid w:val="0074655C"/>
    <w:rsid w:val="007478A3"/>
    <w:rsid w:val="0075383A"/>
    <w:rsid w:val="007549F6"/>
    <w:rsid w:val="007561D8"/>
    <w:rsid w:val="00757325"/>
    <w:rsid w:val="007625DA"/>
    <w:rsid w:val="00763EF1"/>
    <w:rsid w:val="007651B2"/>
    <w:rsid w:val="00765A9B"/>
    <w:rsid w:val="00766ACA"/>
    <w:rsid w:val="00767DAB"/>
    <w:rsid w:val="00776421"/>
    <w:rsid w:val="007769B7"/>
    <w:rsid w:val="00776F7E"/>
    <w:rsid w:val="00777242"/>
    <w:rsid w:val="00777F35"/>
    <w:rsid w:val="007804FF"/>
    <w:rsid w:val="00781FBB"/>
    <w:rsid w:val="0078272C"/>
    <w:rsid w:val="007830C2"/>
    <w:rsid w:val="007846C2"/>
    <w:rsid w:val="00785790"/>
    <w:rsid w:val="007945E5"/>
    <w:rsid w:val="00794C51"/>
    <w:rsid w:val="0079580F"/>
    <w:rsid w:val="007976B2"/>
    <w:rsid w:val="007A003D"/>
    <w:rsid w:val="007A0650"/>
    <w:rsid w:val="007A0895"/>
    <w:rsid w:val="007A6921"/>
    <w:rsid w:val="007B02ED"/>
    <w:rsid w:val="007B31BB"/>
    <w:rsid w:val="007B4AF2"/>
    <w:rsid w:val="007B6A1C"/>
    <w:rsid w:val="007B735E"/>
    <w:rsid w:val="007B7BB8"/>
    <w:rsid w:val="007C575C"/>
    <w:rsid w:val="007C6812"/>
    <w:rsid w:val="007C7A4C"/>
    <w:rsid w:val="007C7F09"/>
    <w:rsid w:val="007D1637"/>
    <w:rsid w:val="007D2B66"/>
    <w:rsid w:val="007D310C"/>
    <w:rsid w:val="007D42D6"/>
    <w:rsid w:val="007D727D"/>
    <w:rsid w:val="007D7FC8"/>
    <w:rsid w:val="007E04A3"/>
    <w:rsid w:val="007E0EC1"/>
    <w:rsid w:val="007E263F"/>
    <w:rsid w:val="007E26B2"/>
    <w:rsid w:val="007E3F09"/>
    <w:rsid w:val="007E5B36"/>
    <w:rsid w:val="007E7AFA"/>
    <w:rsid w:val="007F0647"/>
    <w:rsid w:val="007F0F01"/>
    <w:rsid w:val="007F18EE"/>
    <w:rsid w:val="007F1D1E"/>
    <w:rsid w:val="00800802"/>
    <w:rsid w:val="00800952"/>
    <w:rsid w:val="00802D91"/>
    <w:rsid w:val="00802EEC"/>
    <w:rsid w:val="00805FD5"/>
    <w:rsid w:val="00810B33"/>
    <w:rsid w:val="00815840"/>
    <w:rsid w:val="00817F86"/>
    <w:rsid w:val="00821993"/>
    <w:rsid w:val="00822508"/>
    <w:rsid w:val="00822B70"/>
    <w:rsid w:val="00822D4B"/>
    <w:rsid w:val="00823D04"/>
    <w:rsid w:val="008248B1"/>
    <w:rsid w:val="0082565D"/>
    <w:rsid w:val="008269BB"/>
    <w:rsid w:val="00827301"/>
    <w:rsid w:val="008312E7"/>
    <w:rsid w:val="008314EA"/>
    <w:rsid w:val="008316AE"/>
    <w:rsid w:val="00831E15"/>
    <w:rsid w:val="00831E93"/>
    <w:rsid w:val="00832D20"/>
    <w:rsid w:val="00832F95"/>
    <w:rsid w:val="008335B7"/>
    <w:rsid w:val="008339C1"/>
    <w:rsid w:val="00836E8E"/>
    <w:rsid w:val="00837C5C"/>
    <w:rsid w:val="00840705"/>
    <w:rsid w:val="008414AA"/>
    <w:rsid w:val="00842C10"/>
    <w:rsid w:val="00843837"/>
    <w:rsid w:val="00843A00"/>
    <w:rsid w:val="008458E9"/>
    <w:rsid w:val="00845E30"/>
    <w:rsid w:val="00846A76"/>
    <w:rsid w:val="00847C2E"/>
    <w:rsid w:val="00850077"/>
    <w:rsid w:val="008504BE"/>
    <w:rsid w:val="00851681"/>
    <w:rsid w:val="008531FF"/>
    <w:rsid w:val="008535A7"/>
    <w:rsid w:val="00853AB9"/>
    <w:rsid w:val="008557F9"/>
    <w:rsid w:val="00857DFC"/>
    <w:rsid w:val="00860F0D"/>
    <w:rsid w:val="0086163B"/>
    <w:rsid w:val="008625FA"/>
    <w:rsid w:val="00862E48"/>
    <w:rsid w:val="00862ED1"/>
    <w:rsid w:val="00863D4C"/>
    <w:rsid w:val="0086439E"/>
    <w:rsid w:val="00864F7C"/>
    <w:rsid w:val="00867396"/>
    <w:rsid w:val="00872AF7"/>
    <w:rsid w:val="008739BB"/>
    <w:rsid w:val="00876096"/>
    <w:rsid w:val="008769C1"/>
    <w:rsid w:val="00876FB0"/>
    <w:rsid w:val="0087731E"/>
    <w:rsid w:val="0088127F"/>
    <w:rsid w:val="008859DE"/>
    <w:rsid w:val="008912DD"/>
    <w:rsid w:val="00891927"/>
    <w:rsid w:val="00891E4A"/>
    <w:rsid w:val="008928B5"/>
    <w:rsid w:val="008A338F"/>
    <w:rsid w:val="008A44E3"/>
    <w:rsid w:val="008A6414"/>
    <w:rsid w:val="008B0C9B"/>
    <w:rsid w:val="008B6AAB"/>
    <w:rsid w:val="008B73FC"/>
    <w:rsid w:val="008B79F0"/>
    <w:rsid w:val="008C079D"/>
    <w:rsid w:val="008C17C8"/>
    <w:rsid w:val="008C2D14"/>
    <w:rsid w:val="008C2E80"/>
    <w:rsid w:val="008C71FB"/>
    <w:rsid w:val="008D15B1"/>
    <w:rsid w:val="008D277B"/>
    <w:rsid w:val="008D4E08"/>
    <w:rsid w:val="008D630B"/>
    <w:rsid w:val="008D68C6"/>
    <w:rsid w:val="008E0205"/>
    <w:rsid w:val="008E0D75"/>
    <w:rsid w:val="008E32BC"/>
    <w:rsid w:val="008E377F"/>
    <w:rsid w:val="008E4046"/>
    <w:rsid w:val="008E50E5"/>
    <w:rsid w:val="008E5642"/>
    <w:rsid w:val="008E60D4"/>
    <w:rsid w:val="008F5CE1"/>
    <w:rsid w:val="008F70D8"/>
    <w:rsid w:val="009014EB"/>
    <w:rsid w:val="0090152C"/>
    <w:rsid w:val="009054C6"/>
    <w:rsid w:val="009063F9"/>
    <w:rsid w:val="0090678E"/>
    <w:rsid w:val="0090695F"/>
    <w:rsid w:val="00906CEB"/>
    <w:rsid w:val="009104D1"/>
    <w:rsid w:val="0091158E"/>
    <w:rsid w:val="00914ACF"/>
    <w:rsid w:val="00914E39"/>
    <w:rsid w:val="00915EA7"/>
    <w:rsid w:val="0091631C"/>
    <w:rsid w:val="009221AB"/>
    <w:rsid w:val="00922879"/>
    <w:rsid w:val="00923054"/>
    <w:rsid w:val="00923548"/>
    <w:rsid w:val="009245E3"/>
    <w:rsid w:val="00924DF5"/>
    <w:rsid w:val="00927F7D"/>
    <w:rsid w:val="009316B8"/>
    <w:rsid w:val="009342A6"/>
    <w:rsid w:val="0093446E"/>
    <w:rsid w:val="009369FD"/>
    <w:rsid w:val="00936AF0"/>
    <w:rsid w:val="00937257"/>
    <w:rsid w:val="00937D81"/>
    <w:rsid w:val="009406A7"/>
    <w:rsid w:val="00944BA1"/>
    <w:rsid w:val="0094611C"/>
    <w:rsid w:val="009463CF"/>
    <w:rsid w:val="0094709D"/>
    <w:rsid w:val="00947A36"/>
    <w:rsid w:val="009503F5"/>
    <w:rsid w:val="009504F6"/>
    <w:rsid w:val="00950F91"/>
    <w:rsid w:val="00952B72"/>
    <w:rsid w:val="009569A8"/>
    <w:rsid w:val="00956BA8"/>
    <w:rsid w:val="00956C30"/>
    <w:rsid w:val="0096373C"/>
    <w:rsid w:val="00964C98"/>
    <w:rsid w:val="009656C6"/>
    <w:rsid w:val="00965DD8"/>
    <w:rsid w:val="00967102"/>
    <w:rsid w:val="00967C8B"/>
    <w:rsid w:val="00973040"/>
    <w:rsid w:val="0097431F"/>
    <w:rsid w:val="009745A4"/>
    <w:rsid w:val="00974AFB"/>
    <w:rsid w:val="00975C2B"/>
    <w:rsid w:val="009770D4"/>
    <w:rsid w:val="009810C0"/>
    <w:rsid w:val="0098230E"/>
    <w:rsid w:val="00982989"/>
    <w:rsid w:val="00983265"/>
    <w:rsid w:val="00983BF4"/>
    <w:rsid w:val="00983C78"/>
    <w:rsid w:val="00983DCE"/>
    <w:rsid w:val="00985388"/>
    <w:rsid w:val="00986866"/>
    <w:rsid w:val="00987AA1"/>
    <w:rsid w:val="0099159C"/>
    <w:rsid w:val="00992211"/>
    <w:rsid w:val="00994F9F"/>
    <w:rsid w:val="00997023"/>
    <w:rsid w:val="00997515"/>
    <w:rsid w:val="0099759C"/>
    <w:rsid w:val="009A0FD9"/>
    <w:rsid w:val="009A286A"/>
    <w:rsid w:val="009A58FC"/>
    <w:rsid w:val="009A5E27"/>
    <w:rsid w:val="009A6FA9"/>
    <w:rsid w:val="009B23C9"/>
    <w:rsid w:val="009B2796"/>
    <w:rsid w:val="009B33B5"/>
    <w:rsid w:val="009B3460"/>
    <w:rsid w:val="009B5A6B"/>
    <w:rsid w:val="009B5CBA"/>
    <w:rsid w:val="009C08EC"/>
    <w:rsid w:val="009C0EC9"/>
    <w:rsid w:val="009C41D0"/>
    <w:rsid w:val="009C5C06"/>
    <w:rsid w:val="009C76CC"/>
    <w:rsid w:val="009C7710"/>
    <w:rsid w:val="009C7EEE"/>
    <w:rsid w:val="009D1AA4"/>
    <w:rsid w:val="009D2300"/>
    <w:rsid w:val="009D5A0E"/>
    <w:rsid w:val="009D679C"/>
    <w:rsid w:val="009E1662"/>
    <w:rsid w:val="009E23B9"/>
    <w:rsid w:val="009E48F5"/>
    <w:rsid w:val="009E4A7B"/>
    <w:rsid w:val="009E4BCC"/>
    <w:rsid w:val="009E53C7"/>
    <w:rsid w:val="009E589C"/>
    <w:rsid w:val="009E6203"/>
    <w:rsid w:val="009E6A35"/>
    <w:rsid w:val="009E74B4"/>
    <w:rsid w:val="009F001B"/>
    <w:rsid w:val="009F25A8"/>
    <w:rsid w:val="009F424A"/>
    <w:rsid w:val="009F6C99"/>
    <w:rsid w:val="009F77C7"/>
    <w:rsid w:val="009F7B9D"/>
    <w:rsid w:val="00A006C7"/>
    <w:rsid w:val="00A02553"/>
    <w:rsid w:val="00A0629A"/>
    <w:rsid w:val="00A067E5"/>
    <w:rsid w:val="00A1107F"/>
    <w:rsid w:val="00A11E15"/>
    <w:rsid w:val="00A11EC8"/>
    <w:rsid w:val="00A15981"/>
    <w:rsid w:val="00A1637D"/>
    <w:rsid w:val="00A1767D"/>
    <w:rsid w:val="00A21E65"/>
    <w:rsid w:val="00A2408B"/>
    <w:rsid w:val="00A2428A"/>
    <w:rsid w:val="00A2512D"/>
    <w:rsid w:val="00A260C7"/>
    <w:rsid w:val="00A27A6B"/>
    <w:rsid w:val="00A31685"/>
    <w:rsid w:val="00A32EA1"/>
    <w:rsid w:val="00A37D86"/>
    <w:rsid w:val="00A402C1"/>
    <w:rsid w:val="00A41A52"/>
    <w:rsid w:val="00A42C9A"/>
    <w:rsid w:val="00A42D42"/>
    <w:rsid w:val="00A4320D"/>
    <w:rsid w:val="00A455B9"/>
    <w:rsid w:val="00A45B26"/>
    <w:rsid w:val="00A46E7A"/>
    <w:rsid w:val="00A47FDB"/>
    <w:rsid w:val="00A53661"/>
    <w:rsid w:val="00A542C3"/>
    <w:rsid w:val="00A54DBF"/>
    <w:rsid w:val="00A56939"/>
    <w:rsid w:val="00A57E5E"/>
    <w:rsid w:val="00A63A91"/>
    <w:rsid w:val="00A66CBC"/>
    <w:rsid w:val="00A679E1"/>
    <w:rsid w:val="00A705E6"/>
    <w:rsid w:val="00A72A84"/>
    <w:rsid w:val="00A73864"/>
    <w:rsid w:val="00A73BCC"/>
    <w:rsid w:val="00A7788C"/>
    <w:rsid w:val="00A77C91"/>
    <w:rsid w:val="00A80683"/>
    <w:rsid w:val="00A80C9E"/>
    <w:rsid w:val="00A821B5"/>
    <w:rsid w:val="00A83B7C"/>
    <w:rsid w:val="00A83DD3"/>
    <w:rsid w:val="00A85E24"/>
    <w:rsid w:val="00A8707F"/>
    <w:rsid w:val="00A87AB0"/>
    <w:rsid w:val="00A87E4B"/>
    <w:rsid w:val="00A92EB9"/>
    <w:rsid w:val="00A94129"/>
    <w:rsid w:val="00A948F5"/>
    <w:rsid w:val="00A95F60"/>
    <w:rsid w:val="00A97E2C"/>
    <w:rsid w:val="00AA10A8"/>
    <w:rsid w:val="00AA12A8"/>
    <w:rsid w:val="00AA18A0"/>
    <w:rsid w:val="00AA763C"/>
    <w:rsid w:val="00AB029E"/>
    <w:rsid w:val="00AB5189"/>
    <w:rsid w:val="00AB5F4B"/>
    <w:rsid w:val="00AB6BE2"/>
    <w:rsid w:val="00AB74FC"/>
    <w:rsid w:val="00AC09A3"/>
    <w:rsid w:val="00AC188A"/>
    <w:rsid w:val="00AC1E5C"/>
    <w:rsid w:val="00AC1F7D"/>
    <w:rsid w:val="00AC5B27"/>
    <w:rsid w:val="00AC5E2E"/>
    <w:rsid w:val="00AC7BBE"/>
    <w:rsid w:val="00AD08AF"/>
    <w:rsid w:val="00AD1106"/>
    <w:rsid w:val="00AD4DC0"/>
    <w:rsid w:val="00AD5C9F"/>
    <w:rsid w:val="00AD604F"/>
    <w:rsid w:val="00AD7177"/>
    <w:rsid w:val="00AE33A5"/>
    <w:rsid w:val="00AE5112"/>
    <w:rsid w:val="00AE743D"/>
    <w:rsid w:val="00AF00E3"/>
    <w:rsid w:val="00AF10AB"/>
    <w:rsid w:val="00AF78A9"/>
    <w:rsid w:val="00B03F3F"/>
    <w:rsid w:val="00B04714"/>
    <w:rsid w:val="00B06C83"/>
    <w:rsid w:val="00B07073"/>
    <w:rsid w:val="00B071F1"/>
    <w:rsid w:val="00B136B6"/>
    <w:rsid w:val="00B1469B"/>
    <w:rsid w:val="00B207DE"/>
    <w:rsid w:val="00B216AE"/>
    <w:rsid w:val="00B23370"/>
    <w:rsid w:val="00B2351E"/>
    <w:rsid w:val="00B23F12"/>
    <w:rsid w:val="00B25F40"/>
    <w:rsid w:val="00B300DE"/>
    <w:rsid w:val="00B31BF7"/>
    <w:rsid w:val="00B34A17"/>
    <w:rsid w:val="00B36670"/>
    <w:rsid w:val="00B372F5"/>
    <w:rsid w:val="00B40F44"/>
    <w:rsid w:val="00B41D10"/>
    <w:rsid w:val="00B423B5"/>
    <w:rsid w:val="00B43514"/>
    <w:rsid w:val="00B43B84"/>
    <w:rsid w:val="00B46C17"/>
    <w:rsid w:val="00B50531"/>
    <w:rsid w:val="00B53DE5"/>
    <w:rsid w:val="00B55EB9"/>
    <w:rsid w:val="00B56387"/>
    <w:rsid w:val="00B56DF1"/>
    <w:rsid w:val="00B60B95"/>
    <w:rsid w:val="00B611A2"/>
    <w:rsid w:val="00B611D3"/>
    <w:rsid w:val="00B6229E"/>
    <w:rsid w:val="00B62898"/>
    <w:rsid w:val="00B6382F"/>
    <w:rsid w:val="00B648E0"/>
    <w:rsid w:val="00B67314"/>
    <w:rsid w:val="00B7223E"/>
    <w:rsid w:val="00B724B3"/>
    <w:rsid w:val="00B72B15"/>
    <w:rsid w:val="00B72D9B"/>
    <w:rsid w:val="00B7303A"/>
    <w:rsid w:val="00B73E36"/>
    <w:rsid w:val="00B74EB2"/>
    <w:rsid w:val="00B74FF6"/>
    <w:rsid w:val="00B80007"/>
    <w:rsid w:val="00B8155A"/>
    <w:rsid w:val="00B82099"/>
    <w:rsid w:val="00B84EE2"/>
    <w:rsid w:val="00B86396"/>
    <w:rsid w:val="00B87D53"/>
    <w:rsid w:val="00B90D1C"/>
    <w:rsid w:val="00B914DB"/>
    <w:rsid w:val="00B92E8D"/>
    <w:rsid w:val="00B9422B"/>
    <w:rsid w:val="00B9576C"/>
    <w:rsid w:val="00B963C1"/>
    <w:rsid w:val="00B96E72"/>
    <w:rsid w:val="00B975C7"/>
    <w:rsid w:val="00B978ED"/>
    <w:rsid w:val="00BA1DE5"/>
    <w:rsid w:val="00BA2F0A"/>
    <w:rsid w:val="00BA3220"/>
    <w:rsid w:val="00BA3662"/>
    <w:rsid w:val="00BA750A"/>
    <w:rsid w:val="00BB09CB"/>
    <w:rsid w:val="00BB324B"/>
    <w:rsid w:val="00BB5E00"/>
    <w:rsid w:val="00BB6B34"/>
    <w:rsid w:val="00BB74D9"/>
    <w:rsid w:val="00BB7FB3"/>
    <w:rsid w:val="00BC081A"/>
    <w:rsid w:val="00BC2906"/>
    <w:rsid w:val="00BC332A"/>
    <w:rsid w:val="00BC3B32"/>
    <w:rsid w:val="00BC6486"/>
    <w:rsid w:val="00BC64C7"/>
    <w:rsid w:val="00BC6C29"/>
    <w:rsid w:val="00BD1177"/>
    <w:rsid w:val="00BD1689"/>
    <w:rsid w:val="00BD306F"/>
    <w:rsid w:val="00BD3FF0"/>
    <w:rsid w:val="00BD4DA1"/>
    <w:rsid w:val="00BD4FD5"/>
    <w:rsid w:val="00BD5619"/>
    <w:rsid w:val="00BD572C"/>
    <w:rsid w:val="00BD5CB8"/>
    <w:rsid w:val="00BE0020"/>
    <w:rsid w:val="00BE0256"/>
    <w:rsid w:val="00BE04CC"/>
    <w:rsid w:val="00BE09FB"/>
    <w:rsid w:val="00BE23D3"/>
    <w:rsid w:val="00BE6A35"/>
    <w:rsid w:val="00BE6D6F"/>
    <w:rsid w:val="00BE77CB"/>
    <w:rsid w:val="00BF0159"/>
    <w:rsid w:val="00BF0483"/>
    <w:rsid w:val="00BF0776"/>
    <w:rsid w:val="00BF3C8A"/>
    <w:rsid w:val="00BF754C"/>
    <w:rsid w:val="00C01D93"/>
    <w:rsid w:val="00C05E31"/>
    <w:rsid w:val="00C06CF8"/>
    <w:rsid w:val="00C073B0"/>
    <w:rsid w:val="00C07641"/>
    <w:rsid w:val="00C07C8F"/>
    <w:rsid w:val="00C10A02"/>
    <w:rsid w:val="00C10A22"/>
    <w:rsid w:val="00C11BA1"/>
    <w:rsid w:val="00C13645"/>
    <w:rsid w:val="00C138EF"/>
    <w:rsid w:val="00C14041"/>
    <w:rsid w:val="00C15847"/>
    <w:rsid w:val="00C21E49"/>
    <w:rsid w:val="00C235B3"/>
    <w:rsid w:val="00C2617F"/>
    <w:rsid w:val="00C27574"/>
    <w:rsid w:val="00C32C4E"/>
    <w:rsid w:val="00C32D79"/>
    <w:rsid w:val="00C33149"/>
    <w:rsid w:val="00C3400B"/>
    <w:rsid w:val="00C34671"/>
    <w:rsid w:val="00C35E37"/>
    <w:rsid w:val="00C36518"/>
    <w:rsid w:val="00C36D71"/>
    <w:rsid w:val="00C41C90"/>
    <w:rsid w:val="00C4240C"/>
    <w:rsid w:val="00C447FE"/>
    <w:rsid w:val="00C44C33"/>
    <w:rsid w:val="00C44C91"/>
    <w:rsid w:val="00C46E48"/>
    <w:rsid w:val="00C472F5"/>
    <w:rsid w:val="00C47E21"/>
    <w:rsid w:val="00C52086"/>
    <w:rsid w:val="00C52FFB"/>
    <w:rsid w:val="00C53436"/>
    <w:rsid w:val="00C54DAA"/>
    <w:rsid w:val="00C61141"/>
    <w:rsid w:val="00C618C5"/>
    <w:rsid w:val="00C61D21"/>
    <w:rsid w:val="00C6221C"/>
    <w:rsid w:val="00C6286E"/>
    <w:rsid w:val="00C6298B"/>
    <w:rsid w:val="00C635DA"/>
    <w:rsid w:val="00C710B6"/>
    <w:rsid w:val="00C714CC"/>
    <w:rsid w:val="00C71BCF"/>
    <w:rsid w:val="00C74836"/>
    <w:rsid w:val="00C74F28"/>
    <w:rsid w:val="00C75D9D"/>
    <w:rsid w:val="00C8003B"/>
    <w:rsid w:val="00C80442"/>
    <w:rsid w:val="00C80D6D"/>
    <w:rsid w:val="00C82243"/>
    <w:rsid w:val="00C82F29"/>
    <w:rsid w:val="00C85C9B"/>
    <w:rsid w:val="00C86986"/>
    <w:rsid w:val="00C86B06"/>
    <w:rsid w:val="00C92010"/>
    <w:rsid w:val="00C92D78"/>
    <w:rsid w:val="00C932F5"/>
    <w:rsid w:val="00C9367E"/>
    <w:rsid w:val="00C9383A"/>
    <w:rsid w:val="00C940FC"/>
    <w:rsid w:val="00C94A15"/>
    <w:rsid w:val="00C94C40"/>
    <w:rsid w:val="00C94FF8"/>
    <w:rsid w:val="00C97A66"/>
    <w:rsid w:val="00CA2FF7"/>
    <w:rsid w:val="00CA454F"/>
    <w:rsid w:val="00CA58C3"/>
    <w:rsid w:val="00CA7931"/>
    <w:rsid w:val="00CB0942"/>
    <w:rsid w:val="00CB3465"/>
    <w:rsid w:val="00CB6822"/>
    <w:rsid w:val="00CB7801"/>
    <w:rsid w:val="00CB7992"/>
    <w:rsid w:val="00CC0234"/>
    <w:rsid w:val="00CC1242"/>
    <w:rsid w:val="00CC13D4"/>
    <w:rsid w:val="00CC29EB"/>
    <w:rsid w:val="00CC2D2A"/>
    <w:rsid w:val="00CC58AD"/>
    <w:rsid w:val="00CC7DD0"/>
    <w:rsid w:val="00CD01D4"/>
    <w:rsid w:val="00CD11E3"/>
    <w:rsid w:val="00CD1DB6"/>
    <w:rsid w:val="00CD29FF"/>
    <w:rsid w:val="00CD3D2C"/>
    <w:rsid w:val="00CD41AC"/>
    <w:rsid w:val="00CD4FDD"/>
    <w:rsid w:val="00CD58FA"/>
    <w:rsid w:val="00CD6105"/>
    <w:rsid w:val="00CD660E"/>
    <w:rsid w:val="00CD69BD"/>
    <w:rsid w:val="00CE0811"/>
    <w:rsid w:val="00CE18CA"/>
    <w:rsid w:val="00CE1E34"/>
    <w:rsid w:val="00CE3C14"/>
    <w:rsid w:val="00CE4E73"/>
    <w:rsid w:val="00CE58F2"/>
    <w:rsid w:val="00CE6711"/>
    <w:rsid w:val="00CE6D82"/>
    <w:rsid w:val="00CE7E61"/>
    <w:rsid w:val="00CF028F"/>
    <w:rsid w:val="00CF1985"/>
    <w:rsid w:val="00CF38B4"/>
    <w:rsid w:val="00CF395F"/>
    <w:rsid w:val="00CF3971"/>
    <w:rsid w:val="00CF55B2"/>
    <w:rsid w:val="00D01AA3"/>
    <w:rsid w:val="00D02856"/>
    <w:rsid w:val="00D04CE3"/>
    <w:rsid w:val="00D100DF"/>
    <w:rsid w:val="00D12005"/>
    <w:rsid w:val="00D16E89"/>
    <w:rsid w:val="00D208FA"/>
    <w:rsid w:val="00D20907"/>
    <w:rsid w:val="00D21A58"/>
    <w:rsid w:val="00D2664F"/>
    <w:rsid w:val="00D27B21"/>
    <w:rsid w:val="00D27F97"/>
    <w:rsid w:val="00D303A2"/>
    <w:rsid w:val="00D31DE7"/>
    <w:rsid w:val="00D31E11"/>
    <w:rsid w:val="00D34D37"/>
    <w:rsid w:val="00D3562B"/>
    <w:rsid w:val="00D36594"/>
    <w:rsid w:val="00D4138A"/>
    <w:rsid w:val="00D43198"/>
    <w:rsid w:val="00D46DC8"/>
    <w:rsid w:val="00D50C65"/>
    <w:rsid w:val="00D517AC"/>
    <w:rsid w:val="00D51D4D"/>
    <w:rsid w:val="00D539AF"/>
    <w:rsid w:val="00D55409"/>
    <w:rsid w:val="00D576E8"/>
    <w:rsid w:val="00D61A31"/>
    <w:rsid w:val="00D64273"/>
    <w:rsid w:val="00D642E6"/>
    <w:rsid w:val="00D65081"/>
    <w:rsid w:val="00D6535A"/>
    <w:rsid w:val="00D6558B"/>
    <w:rsid w:val="00D6589D"/>
    <w:rsid w:val="00D6640B"/>
    <w:rsid w:val="00D67068"/>
    <w:rsid w:val="00D70254"/>
    <w:rsid w:val="00D703DE"/>
    <w:rsid w:val="00D74C14"/>
    <w:rsid w:val="00D74F09"/>
    <w:rsid w:val="00D76F95"/>
    <w:rsid w:val="00D77324"/>
    <w:rsid w:val="00D819AD"/>
    <w:rsid w:val="00D8374F"/>
    <w:rsid w:val="00D84EAF"/>
    <w:rsid w:val="00D85AAA"/>
    <w:rsid w:val="00D86CA2"/>
    <w:rsid w:val="00D8702B"/>
    <w:rsid w:val="00D87B78"/>
    <w:rsid w:val="00D90DC1"/>
    <w:rsid w:val="00D92470"/>
    <w:rsid w:val="00D9273E"/>
    <w:rsid w:val="00D92E88"/>
    <w:rsid w:val="00D941A4"/>
    <w:rsid w:val="00D94AC3"/>
    <w:rsid w:val="00D9709D"/>
    <w:rsid w:val="00D975CB"/>
    <w:rsid w:val="00DA0009"/>
    <w:rsid w:val="00DA0A16"/>
    <w:rsid w:val="00DA2110"/>
    <w:rsid w:val="00DA2168"/>
    <w:rsid w:val="00DA2371"/>
    <w:rsid w:val="00DA2474"/>
    <w:rsid w:val="00DA43CB"/>
    <w:rsid w:val="00DA5621"/>
    <w:rsid w:val="00DA6425"/>
    <w:rsid w:val="00DA6E21"/>
    <w:rsid w:val="00DA6E7B"/>
    <w:rsid w:val="00DA786F"/>
    <w:rsid w:val="00DB0C22"/>
    <w:rsid w:val="00DB1934"/>
    <w:rsid w:val="00DB21D9"/>
    <w:rsid w:val="00DB4C1A"/>
    <w:rsid w:val="00DB542B"/>
    <w:rsid w:val="00DB59D9"/>
    <w:rsid w:val="00DB6779"/>
    <w:rsid w:val="00DB75B6"/>
    <w:rsid w:val="00DC0116"/>
    <w:rsid w:val="00DC3C7F"/>
    <w:rsid w:val="00DC460E"/>
    <w:rsid w:val="00DD2764"/>
    <w:rsid w:val="00DD4F8A"/>
    <w:rsid w:val="00DD784B"/>
    <w:rsid w:val="00DD7FFC"/>
    <w:rsid w:val="00DE2DEE"/>
    <w:rsid w:val="00DE344E"/>
    <w:rsid w:val="00DE6058"/>
    <w:rsid w:val="00DE72BB"/>
    <w:rsid w:val="00DE7424"/>
    <w:rsid w:val="00DF0402"/>
    <w:rsid w:val="00DF08B7"/>
    <w:rsid w:val="00DF17A3"/>
    <w:rsid w:val="00DF188A"/>
    <w:rsid w:val="00DF4715"/>
    <w:rsid w:val="00DF61E2"/>
    <w:rsid w:val="00DF699F"/>
    <w:rsid w:val="00DF704B"/>
    <w:rsid w:val="00E001A4"/>
    <w:rsid w:val="00E00B33"/>
    <w:rsid w:val="00E01952"/>
    <w:rsid w:val="00E02EC9"/>
    <w:rsid w:val="00E05498"/>
    <w:rsid w:val="00E1058A"/>
    <w:rsid w:val="00E108E8"/>
    <w:rsid w:val="00E12B96"/>
    <w:rsid w:val="00E1442C"/>
    <w:rsid w:val="00E15493"/>
    <w:rsid w:val="00E16301"/>
    <w:rsid w:val="00E16802"/>
    <w:rsid w:val="00E17BD9"/>
    <w:rsid w:val="00E21C44"/>
    <w:rsid w:val="00E22194"/>
    <w:rsid w:val="00E23B2E"/>
    <w:rsid w:val="00E2498B"/>
    <w:rsid w:val="00E24EF0"/>
    <w:rsid w:val="00E26A37"/>
    <w:rsid w:val="00E2796D"/>
    <w:rsid w:val="00E279CC"/>
    <w:rsid w:val="00E30D01"/>
    <w:rsid w:val="00E3229E"/>
    <w:rsid w:val="00E400F5"/>
    <w:rsid w:val="00E401AD"/>
    <w:rsid w:val="00E406D9"/>
    <w:rsid w:val="00E41CFE"/>
    <w:rsid w:val="00E43775"/>
    <w:rsid w:val="00E44F8A"/>
    <w:rsid w:val="00E45FDB"/>
    <w:rsid w:val="00E467AF"/>
    <w:rsid w:val="00E522CF"/>
    <w:rsid w:val="00E54223"/>
    <w:rsid w:val="00E543D3"/>
    <w:rsid w:val="00E5668F"/>
    <w:rsid w:val="00E60791"/>
    <w:rsid w:val="00E6173A"/>
    <w:rsid w:val="00E61C40"/>
    <w:rsid w:val="00E62143"/>
    <w:rsid w:val="00E647AC"/>
    <w:rsid w:val="00E670F7"/>
    <w:rsid w:val="00E67D3E"/>
    <w:rsid w:val="00E70397"/>
    <w:rsid w:val="00E70971"/>
    <w:rsid w:val="00E7183D"/>
    <w:rsid w:val="00E72A36"/>
    <w:rsid w:val="00E73072"/>
    <w:rsid w:val="00E730A3"/>
    <w:rsid w:val="00E73298"/>
    <w:rsid w:val="00E74BA9"/>
    <w:rsid w:val="00E75210"/>
    <w:rsid w:val="00E759BE"/>
    <w:rsid w:val="00E762B0"/>
    <w:rsid w:val="00E76981"/>
    <w:rsid w:val="00E77AC8"/>
    <w:rsid w:val="00E77EDB"/>
    <w:rsid w:val="00E8001C"/>
    <w:rsid w:val="00E801EB"/>
    <w:rsid w:val="00E803BD"/>
    <w:rsid w:val="00E82F9A"/>
    <w:rsid w:val="00E83293"/>
    <w:rsid w:val="00E843E3"/>
    <w:rsid w:val="00E86518"/>
    <w:rsid w:val="00E86D70"/>
    <w:rsid w:val="00E87838"/>
    <w:rsid w:val="00E90692"/>
    <w:rsid w:val="00E945A7"/>
    <w:rsid w:val="00E965E1"/>
    <w:rsid w:val="00E96B50"/>
    <w:rsid w:val="00E96E79"/>
    <w:rsid w:val="00E96FF3"/>
    <w:rsid w:val="00E97008"/>
    <w:rsid w:val="00EA17AC"/>
    <w:rsid w:val="00EA2205"/>
    <w:rsid w:val="00EA2307"/>
    <w:rsid w:val="00EA3268"/>
    <w:rsid w:val="00EA48E2"/>
    <w:rsid w:val="00EA53A2"/>
    <w:rsid w:val="00EA5CD4"/>
    <w:rsid w:val="00EA5F27"/>
    <w:rsid w:val="00EB0310"/>
    <w:rsid w:val="00EB19EA"/>
    <w:rsid w:val="00EB2073"/>
    <w:rsid w:val="00EB7E53"/>
    <w:rsid w:val="00EC1428"/>
    <w:rsid w:val="00EC204F"/>
    <w:rsid w:val="00EC3F81"/>
    <w:rsid w:val="00EC6D5C"/>
    <w:rsid w:val="00EC7295"/>
    <w:rsid w:val="00EC7607"/>
    <w:rsid w:val="00ED529A"/>
    <w:rsid w:val="00ED57F8"/>
    <w:rsid w:val="00EE3232"/>
    <w:rsid w:val="00EE35C0"/>
    <w:rsid w:val="00EE5AAE"/>
    <w:rsid w:val="00EF0155"/>
    <w:rsid w:val="00EF10E4"/>
    <w:rsid w:val="00EF1275"/>
    <w:rsid w:val="00EF31FE"/>
    <w:rsid w:val="00EF3A24"/>
    <w:rsid w:val="00EF6D0C"/>
    <w:rsid w:val="00EF6FB7"/>
    <w:rsid w:val="00F014CF"/>
    <w:rsid w:val="00F049A1"/>
    <w:rsid w:val="00F04BB4"/>
    <w:rsid w:val="00F067ED"/>
    <w:rsid w:val="00F078A9"/>
    <w:rsid w:val="00F07C01"/>
    <w:rsid w:val="00F07CC7"/>
    <w:rsid w:val="00F07D0B"/>
    <w:rsid w:val="00F11979"/>
    <w:rsid w:val="00F11CB2"/>
    <w:rsid w:val="00F11D6C"/>
    <w:rsid w:val="00F130E1"/>
    <w:rsid w:val="00F158BA"/>
    <w:rsid w:val="00F204A3"/>
    <w:rsid w:val="00F2108F"/>
    <w:rsid w:val="00F22344"/>
    <w:rsid w:val="00F23F5F"/>
    <w:rsid w:val="00F24299"/>
    <w:rsid w:val="00F24816"/>
    <w:rsid w:val="00F24D21"/>
    <w:rsid w:val="00F25CC9"/>
    <w:rsid w:val="00F310EB"/>
    <w:rsid w:val="00F31A4C"/>
    <w:rsid w:val="00F31C95"/>
    <w:rsid w:val="00F330AE"/>
    <w:rsid w:val="00F344D5"/>
    <w:rsid w:val="00F3774C"/>
    <w:rsid w:val="00F4018F"/>
    <w:rsid w:val="00F4035B"/>
    <w:rsid w:val="00F41662"/>
    <w:rsid w:val="00F43F5C"/>
    <w:rsid w:val="00F44412"/>
    <w:rsid w:val="00F47202"/>
    <w:rsid w:val="00F55859"/>
    <w:rsid w:val="00F6102D"/>
    <w:rsid w:val="00F619A2"/>
    <w:rsid w:val="00F61EA9"/>
    <w:rsid w:val="00F65178"/>
    <w:rsid w:val="00F66DFF"/>
    <w:rsid w:val="00F674B7"/>
    <w:rsid w:val="00F676A7"/>
    <w:rsid w:val="00F677DA"/>
    <w:rsid w:val="00F67C50"/>
    <w:rsid w:val="00F70A88"/>
    <w:rsid w:val="00F712B9"/>
    <w:rsid w:val="00F72844"/>
    <w:rsid w:val="00F72B5E"/>
    <w:rsid w:val="00F73437"/>
    <w:rsid w:val="00F74FF1"/>
    <w:rsid w:val="00F75EF3"/>
    <w:rsid w:val="00F77C56"/>
    <w:rsid w:val="00F81300"/>
    <w:rsid w:val="00F846E5"/>
    <w:rsid w:val="00F84E31"/>
    <w:rsid w:val="00F86EFB"/>
    <w:rsid w:val="00F90C62"/>
    <w:rsid w:val="00F9202C"/>
    <w:rsid w:val="00F934A7"/>
    <w:rsid w:val="00F96972"/>
    <w:rsid w:val="00FA07E9"/>
    <w:rsid w:val="00FA3271"/>
    <w:rsid w:val="00FA5B1A"/>
    <w:rsid w:val="00FA64C3"/>
    <w:rsid w:val="00FB1994"/>
    <w:rsid w:val="00FB301E"/>
    <w:rsid w:val="00FB46EF"/>
    <w:rsid w:val="00FB49E8"/>
    <w:rsid w:val="00FB50CD"/>
    <w:rsid w:val="00FB5522"/>
    <w:rsid w:val="00FB6B3C"/>
    <w:rsid w:val="00FB7ABC"/>
    <w:rsid w:val="00FC1DC1"/>
    <w:rsid w:val="00FC33DA"/>
    <w:rsid w:val="00FC38F5"/>
    <w:rsid w:val="00FC3905"/>
    <w:rsid w:val="00FC5823"/>
    <w:rsid w:val="00FC59DA"/>
    <w:rsid w:val="00FC60A5"/>
    <w:rsid w:val="00FC6EAB"/>
    <w:rsid w:val="00FD1BD1"/>
    <w:rsid w:val="00FD36AF"/>
    <w:rsid w:val="00FD4E29"/>
    <w:rsid w:val="00FD58B7"/>
    <w:rsid w:val="00FD5EA6"/>
    <w:rsid w:val="00FE10AC"/>
    <w:rsid w:val="00FE12CE"/>
    <w:rsid w:val="00FE3541"/>
    <w:rsid w:val="00FE555E"/>
    <w:rsid w:val="00FF14D0"/>
    <w:rsid w:val="00FF311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BC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0"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Note Heading"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697"/>
    <w:pPr>
      <w:spacing w:line="480" w:lineRule="auto"/>
      <w:ind w:firstLine="720"/>
    </w:pPr>
    <w:rPr>
      <w:rFonts w:ascii="Times" w:hAnsi="Times"/>
      <w:lang w:val="en-CA"/>
    </w:rPr>
  </w:style>
  <w:style w:type="paragraph" w:styleId="Heading1">
    <w:name w:val="heading 1"/>
    <w:basedOn w:val="Normal"/>
    <w:next w:val="Normal"/>
    <w:link w:val="Heading1Char"/>
    <w:uiPriority w:val="9"/>
    <w:qFormat/>
    <w:rsid w:val="00536F6A"/>
    <w:pPr>
      <w:keepNext/>
      <w:keepLines/>
      <w:numPr>
        <w:numId w:val="31"/>
      </w:numPr>
      <w:spacing w:before="480" w:line="360" w:lineRule="auto"/>
      <w:outlineLvl w:val="0"/>
    </w:pPr>
    <w:rPr>
      <w:rFonts w:asciiTheme="majorHAnsi" w:eastAsiaTheme="majorEastAsia" w:hAnsiTheme="majorHAnsi" w:cstheme="majorBidi"/>
      <w:b/>
      <w:bCs/>
      <w:caps/>
      <w:color w:val="345A8A" w:themeColor="accent1" w:themeShade="B5"/>
      <w:sz w:val="30"/>
      <w:szCs w:val="32"/>
    </w:rPr>
  </w:style>
  <w:style w:type="paragraph" w:styleId="Heading2">
    <w:name w:val="heading 2"/>
    <w:next w:val="Normal"/>
    <w:link w:val="Heading2Char"/>
    <w:autoRedefine/>
    <w:uiPriority w:val="9"/>
    <w:unhideWhenUsed/>
    <w:qFormat/>
    <w:rsid w:val="00536F6A"/>
    <w:pPr>
      <w:keepNext/>
      <w:keepLines/>
      <w:numPr>
        <w:ilvl w:val="1"/>
        <w:numId w:val="31"/>
      </w:numPr>
      <w:spacing w:before="200" w:line="480" w:lineRule="auto"/>
      <w:outlineLvl w:val="1"/>
    </w:pPr>
    <w:rPr>
      <w:rFonts w:asciiTheme="majorHAnsi" w:eastAsiaTheme="majorEastAsia" w:hAnsiTheme="majorHAnsi" w:cstheme="majorBidi"/>
      <w:b/>
      <w:bCs/>
      <w:color w:val="4F81BD" w:themeColor="accent1"/>
      <w:sz w:val="28"/>
      <w:szCs w:val="26"/>
      <w:lang w:val="en-CA"/>
    </w:rPr>
  </w:style>
  <w:style w:type="paragraph" w:styleId="Heading3">
    <w:name w:val="heading 3"/>
    <w:basedOn w:val="Normal"/>
    <w:next w:val="Normal"/>
    <w:link w:val="Heading3Char"/>
    <w:uiPriority w:val="9"/>
    <w:unhideWhenUsed/>
    <w:qFormat/>
    <w:rsid w:val="00536F6A"/>
    <w:pPr>
      <w:keepNext/>
      <w:keepLines/>
      <w:numPr>
        <w:ilvl w:val="2"/>
        <w:numId w:val="31"/>
      </w:numPr>
      <w:spacing w:before="200"/>
      <w:outlineLvl w:val="2"/>
    </w:pPr>
    <w:rPr>
      <w:rFonts w:asciiTheme="majorHAnsi" w:eastAsiaTheme="majorEastAsia" w:hAnsiTheme="majorHAnsi" w:cstheme="majorBidi"/>
      <w:b/>
      <w:bCs/>
      <w:color w:val="4F81BD" w:themeColor="accent1"/>
      <w:sz w:val="26"/>
    </w:rPr>
  </w:style>
  <w:style w:type="paragraph" w:styleId="Heading4">
    <w:name w:val="heading 4"/>
    <w:basedOn w:val="Normal"/>
    <w:next w:val="Normal"/>
    <w:link w:val="Heading4Char"/>
    <w:unhideWhenUsed/>
    <w:qFormat/>
    <w:rsid w:val="00C32C4E"/>
    <w:pPr>
      <w:keepNext/>
      <w:keepLines/>
      <w:spacing w:before="200"/>
      <w:ind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536F6A"/>
    <w:pPr>
      <w:widowControl w:val="0"/>
      <w:spacing w:before="240" w:after="60"/>
      <w:ind w:firstLine="0"/>
      <w:jc w:val="both"/>
      <w:outlineLvl w:val="4"/>
    </w:pPr>
    <w:rPr>
      <w:rFonts w:ascii="Times New Roman" w:eastAsia="Times New Roman" w:hAnsi="Times New Roman" w:cs="Times New Roman"/>
      <w:b/>
      <w:i/>
      <w:sz w:val="22"/>
      <w:szCs w:val="20"/>
    </w:rPr>
  </w:style>
  <w:style w:type="paragraph" w:styleId="Heading6">
    <w:name w:val="heading 6"/>
    <w:basedOn w:val="Normal"/>
    <w:next w:val="Normal"/>
    <w:link w:val="Heading6Char"/>
    <w:qFormat/>
    <w:rsid w:val="00536F6A"/>
    <w:pPr>
      <w:numPr>
        <w:ilvl w:val="5"/>
        <w:numId w:val="31"/>
      </w:numPr>
      <w:spacing w:before="240" w:after="60" w:line="240" w:lineRule="auto"/>
      <w:jc w:val="both"/>
      <w:outlineLvl w:val="5"/>
    </w:pPr>
    <w:rPr>
      <w:rFonts w:eastAsia="Times New Roman" w:cs="Times New Roman"/>
      <w:b/>
      <w:sz w:val="22"/>
      <w:szCs w:val="20"/>
      <w:lang w:val="en-US"/>
    </w:rPr>
  </w:style>
  <w:style w:type="paragraph" w:styleId="Heading7">
    <w:name w:val="heading 7"/>
    <w:basedOn w:val="Normal"/>
    <w:next w:val="Normal"/>
    <w:link w:val="Heading7Char"/>
    <w:qFormat/>
    <w:rsid w:val="00536F6A"/>
    <w:pPr>
      <w:numPr>
        <w:ilvl w:val="6"/>
        <w:numId w:val="31"/>
      </w:numPr>
      <w:spacing w:before="240" w:after="60" w:line="240" w:lineRule="auto"/>
      <w:jc w:val="both"/>
      <w:outlineLvl w:val="6"/>
    </w:pPr>
    <w:rPr>
      <w:rFonts w:eastAsia="Times New Roman" w:cs="Times New Roman"/>
      <w:sz w:val="20"/>
      <w:szCs w:val="20"/>
      <w:lang w:val="en-US"/>
    </w:rPr>
  </w:style>
  <w:style w:type="paragraph" w:styleId="Heading8">
    <w:name w:val="heading 8"/>
    <w:basedOn w:val="Normal"/>
    <w:next w:val="Normal"/>
    <w:link w:val="Heading8Char"/>
    <w:qFormat/>
    <w:rsid w:val="00536F6A"/>
    <w:pPr>
      <w:numPr>
        <w:ilvl w:val="7"/>
        <w:numId w:val="31"/>
      </w:numPr>
      <w:spacing w:before="240" w:after="60" w:line="240" w:lineRule="auto"/>
      <w:jc w:val="both"/>
      <w:outlineLvl w:val="7"/>
    </w:pPr>
    <w:rPr>
      <w:rFonts w:eastAsia="Times New Roman" w:cs="Times New Roman"/>
      <w:i/>
      <w:sz w:val="20"/>
      <w:szCs w:val="20"/>
      <w:lang w:val="en-US"/>
    </w:rPr>
  </w:style>
  <w:style w:type="paragraph" w:styleId="Heading9">
    <w:name w:val="heading 9"/>
    <w:basedOn w:val="Normal"/>
    <w:next w:val="Normal"/>
    <w:link w:val="Heading9Char"/>
    <w:qFormat/>
    <w:rsid w:val="00536F6A"/>
    <w:pPr>
      <w:numPr>
        <w:ilvl w:val="8"/>
        <w:numId w:val="31"/>
      </w:numPr>
      <w:spacing w:before="240" w:after="60" w:line="240" w:lineRule="auto"/>
      <w:jc w:val="both"/>
      <w:outlineLvl w:val="8"/>
    </w:pPr>
    <w:rPr>
      <w:rFonts w:ascii="Arial" w:eastAsia="Times New Roman" w:hAnsi="Arial" w:cs="Times New Roman"/>
      <w:sz w:val="2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F6A"/>
    <w:rPr>
      <w:rFonts w:asciiTheme="majorHAnsi" w:eastAsiaTheme="majorEastAsia" w:hAnsiTheme="majorHAnsi" w:cstheme="majorBidi"/>
      <w:b/>
      <w:bCs/>
      <w:caps/>
      <w:color w:val="345A8A" w:themeColor="accent1" w:themeShade="B5"/>
      <w:sz w:val="30"/>
      <w:szCs w:val="32"/>
      <w:lang w:val="en-CA"/>
    </w:rPr>
  </w:style>
  <w:style w:type="character" w:styleId="CommentReference">
    <w:name w:val="annotation reference"/>
    <w:basedOn w:val="DefaultParagraphFont"/>
    <w:uiPriority w:val="99"/>
    <w:unhideWhenUsed/>
    <w:rsid w:val="005F6133"/>
    <w:rPr>
      <w:sz w:val="18"/>
      <w:szCs w:val="18"/>
    </w:rPr>
  </w:style>
  <w:style w:type="paragraph" w:styleId="CommentText">
    <w:name w:val="annotation text"/>
    <w:basedOn w:val="Normal"/>
    <w:link w:val="CommentTextChar"/>
    <w:uiPriority w:val="99"/>
    <w:semiHidden/>
    <w:unhideWhenUsed/>
    <w:rsid w:val="005F6133"/>
    <w:pPr>
      <w:spacing w:line="240" w:lineRule="auto"/>
    </w:pPr>
  </w:style>
  <w:style w:type="character" w:customStyle="1" w:styleId="CommentTextChar">
    <w:name w:val="Comment Text Char"/>
    <w:basedOn w:val="DefaultParagraphFont"/>
    <w:link w:val="CommentText"/>
    <w:uiPriority w:val="99"/>
    <w:semiHidden/>
    <w:rsid w:val="005F6133"/>
    <w:rPr>
      <w:rFonts w:ascii="Times" w:hAnsi="Times"/>
      <w:lang w:val="en-CA"/>
    </w:rPr>
  </w:style>
  <w:style w:type="paragraph" w:styleId="CommentSubject">
    <w:name w:val="annotation subject"/>
    <w:basedOn w:val="CommentText"/>
    <w:next w:val="CommentText"/>
    <w:link w:val="CommentSubjectChar"/>
    <w:uiPriority w:val="99"/>
    <w:semiHidden/>
    <w:unhideWhenUsed/>
    <w:rsid w:val="005F6133"/>
    <w:rPr>
      <w:b/>
      <w:bCs/>
      <w:sz w:val="20"/>
      <w:szCs w:val="20"/>
    </w:rPr>
  </w:style>
  <w:style w:type="character" w:customStyle="1" w:styleId="CommentSubjectChar">
    <w:name w:val="Comment Subject Char"/>
    <w:basedOn w:val="CommentTextChar"/>
    <w:link w:val="CommentSubject"/>
    <w:uiPriority w:val="99"/>
    <w:semiHidden/>
    <w:rsid w:val="005F6133"/>
    <w:rPr>
      <w:rFonts w:ascii="Times" w:hAnsi="Times"/>
      <w:b/>
      <w:bCs/>
      <w:sz w:val="20"/>
      <w:szCs w:val="20"/>
      <w:lang w:val="en-CA"/>
    </w:rPr>
  </w:style>
  <w:style w:type="paragraph" w:styleId="BalloonText">
    <w:name w:val="Balloon Text"/>
    <w:basedOn w:val="Normal"/>
    <w:link w:val="BalloonTextChar"/>
    <w:uiPriority w:val="99"/>
    <w:semiHidden/>
    <w:unhideWhenUsed/>
    <w:rsid w:val="005F61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133"/>
    <w:rPr>
      <w:rFonts w:ascii="Lucida Grande" w:hAnsi="Lucida Grande" w:cs="Lucida Grande"/>
      <w:sz w:val="18"/>
      <w:szCs w:val="18"/>
      <w:lang w:val="en-CA"/>
    </w:rPr>
  </w:style>
  <w:style w:type="character" w:customStyle="1" w:styleId="Heading2Char">
    <w:name w:val="Heading 2 Char"/>
    <w:basedOn w:val="DefaultParagraphFont"/>
    <w:link w:val="Heading2"/>
    <w:uiPriority w:val="9"/>
    <w:rsid w:val="00536F6A"/>
    <w:rPr>
      <w:rFonts w:asciiTheme="majorHAnsi" w:eastAsiaTheme="majorEastAsia" w:hAnsiTheme="majorHAnsi" w:cstheme="majorBidi"/>
      <w:b/>
      <w:bCs/>
      <w:color w:val="4F81BD" w:themeColor="accent1"/>
      <w:sz w:val="28"/>
      <w:szCs w:val="26"/>
      <w:lang w:val="en-CA"/>
    </w:rPr>
  </w:style>
  <w:style w:type="character" w:customStyle="1" w:styleId="Heading3Char">
    <w:name w:val="Heading 3 Char"/>
    <w:basedOn w:val="DefaultParagraphFont"/>
    <w:link w:val="Heading3"/>
    <w:uiPriority w:val="9"/>
    <w:rsid w:val="00536F6A"/>
    <w:rPr>
      <w:rFonts w:asciiTheme="majorHAnsi" w:eastAsiaTheme="majorEastAsia" w:hAnsiTheme="majorHAnsi" w:cstheme="majorBidi"/>
      <w:b/>
      <w:bCs/>
      <w:color w:val="4F81BD" w:themeColor="accent1"/>
      <w:sz w:val="26"/>
      <w:lang w:val="en-CA"/>
    </w:rPr>
  </w:style>
  <w:style w:type="paragraph" w:styleId="Quote">
    <w:name w:val="Quote"/>
    <w:basedOn w:val="Normal"/>
    <w:next w:val="Normal"/>
    <w:link w:val="QuoteChar"/>
    <w:uiPriority w:val="29"/>
    <w:qFormat/>
    <w:rsid w:val="00364130"/>
    <w:pPr>
      <w:ind w:left="720" w:right="720" w:firstLine="0"/>
      <w:jc w:val="both"/>
    </w:pPr>
    <w:rPr>
      <w:i/>
      <w:iCs/>
      <w:color w:val="000000" w:themeColor="text1"/>
    </w:rPr>
  </w:style>
  <w:style w:type="character" w:customStyle="1" w:styleId="QuoteChar">
    <w:name w:val="Quote Char"/>
    <w:basedOn w:val="DefaultParagraphFont"/>
    <w:link w:val="Quote"/>
    <w:uiPriority w:val="29"/>
    <w:rsid w:val="00364130"/>
    <w:rPr>
      <w:rFonts w:ascii="Times" w:hAnsi="Times"/>
      <w:i/>
      <w:iCs/>
      <w:color w:val="000000" w:themeColor="text1"/>
      <w:lang w:val="en-CA"/>
    </w:rPr>
  </w:style>
  <w:style w:type="paragraph" w:styleId="FootnoteText">
    <w:name w:val="footnote text"/>
    <w:basedOn w:val="Normal"/>
    <w:link w:val="FootnoteTextChar"/>
    <w:uiPriority w:val="99"/>
    <w:unhideWhenUsed/>
    <w:rsid w:val="00FC6EAB"/>
    <w:pPr>
      <w:spacing w:line="240" w:lineRule="auto"/>
    </w:pPr>
  </w:style>
  <w:style w:type="character" w:customStyle="1" w:styleId="FootnoteTextChar">
    <w:name w:val="Footnote Text Char"/>
    <w:basedOn w:val="DefaultParagraphFont"/>
    <w:link w:val="FootnoteText"/>
    <w:uiPriority w:val="99"/>
    <w:rsid w:val="00FC6EAB"/>
    <w:rPr>
      <w:rFonts w:ascii="Times" w:hAnsi="Times"/>
      <w:lang w:val="en-CA"/>
    </w:rPr>
  </w:style>
  <w:style w:type="character" w:styleId="FootnoteReference">
    <w:name w:val="footnote reference"/>
    <w:basedOn w:val="DefaultParagraphFont"/>
    <w:uiPriority w:val="99"/>
    <w:unhideWhenUsed/>
    <w:rsid w:val="00FC6EAB"/>
    <w:rPr>
      <w:vertAlign w:val="superscript"/>
    </w:rPr>
  </w:style>
  <w:style w:type="paragraph" w:styleId="Caption">
    <w:name w:val="caption"/>
    <w:basedOn w:val="Normal"/>
    <w:next w:val="Normal"/>
    <w:autoRedefine/>
    <w:unhideWhenUsed/>
    <w:qFormat/>
    <w:rsid w:val="00C92D78"/>
    <w:pPr>
      <w:keepNext/>
      <w:spacing w:before="120" w:after="360" w:line="240" w:lineRule="auto"/>
      <w:ind w:firstLine="0"/>
      <w:jc w:val="center"/>
    </w:pPr>
    <w:rPr>
      <w:sz w:val="22"/>
      <w:szCs w:val="18"/>
    </w:rPr>
  </w:style>
  <w:style w:type="paragraph" w:customStyle="1" w:styleId="Figure">
    <w:name w:val="Figure"/>
    <w:qFormat/>
    <w:rsid w:val="00DF699F"/>
    <w:pPr>
      <w:keepNext/>
      <w:jc w:val="center"/>
    </w:pPr>
    <w:rPr>
      <w:rFonts w:ascii="Times" w:hAnsi="Times"/>
      <w:b/>
      <w:noProof/>
      <w:sz w:val="22"/>
    </w:rPr>
  </w:style>
  <w:style w:type="paragraph" w:styleId="NormalWeb">
    <w:name w:val="Normal (Web)"/>
    <w:basedOn w:val="Normal"/>
    <w:uiPriority w:val="99"/>
    <w:unhideWhenUsed/>
    <w:rsid w:val="00E43775"/>
    <w:pPr>
      <w:spacing w:before="100" w:beforeAutospacing="1" w:after="100" w:afterAutospacing="1" w:line="240" w:lineRule="auto"/>
      <w:ind w:firstLine="0"/>
    </w:pPr>
    <w:rPr>
      <w:rFonts w:cs="Times New Roman"/>
      <w:sz w:val="20"/>
      <w:szCs w:val="20"/>
      <w:lang w:val="en-GB"/>
    </w:rPr>
  </w:style>
  <w:style w:type="character" w:customStyle="1" w:styleId="Heading4Char">
    <w:name w:val="Heading 4 Char"/>
    <w:basedOn w:val="DefaultParagraphFont"/>
    <w:link w:val="Heading4"/>
    <w:rsid w:val="00473DDA"/>
    <w:rPr>
      <w:rFonts w:asciiTheme="majorHAnsi" w:eastAsiaTheme="majorEastAsia" w:hAnsiTheme="majorHAnsi" w:cstheme="majorBidi"/>
      <w:b/>
      <w:bCs/>
      <w:i/>
      <w:iCs/>
      <w:color w:val="4F81BD" w:themeColor="accent1"/>
      <w:lang w:val="en-CA"/>
    </w:rPr>
  </w:style>
  <w:style w:type="paragraph" w:styleId="Footer">
    <w:name w:val="footer"/>
    <w:basedOn w:val="Normal"/>
    <w:link w:val="FooterChar"/>
    <w:uiPriority w:val="99"/>
    <w:unhideWhenUsed/>
    <w:rsid w:val="00B43514"/>
    <w:pPr>
      <w:tabs>
        <w:tab w:val="center" w:pos="4320"/>
        <w:tab w:val="right" w:pos="8640"/>
      </w:tabs>
      <w:spacing w:line="240" w:lineRule="auto"/>
    </w:pPr>
  </w:style>
  <w:style w:type="character" w:customStyle="1" w:styleId="FooterChar">
    <w:name w:val="Footer Char"/>
    <w:basedOn w:val="DefaultParagraphFont"/>
    <w:link w:val="Footer"/>
    <w:uiPriority w:val="99"/>
    <w:rsid w:val="00B43514"/>
    <w:rPr>
      <w:rFonts w:ascii="Times" w:hAnsi="Times"/>
      <w:lang w:val="en-CA"/>
    </w:rPr>
  </w:style>
  <w:style w:type="character" w:styleId="PageNumber">
    <w:name w:val="page number"/>
    <w:basedOn w:val="DefaultParagraphFont"/>
    <w:uiPriority w:val="99"/>
    <w:unhideWhenUsed/>
    <w:rsid w:val="00B43514"/>
  </w:style>
  <w:style w:type="character" w:customStyle="1" w:styleId="Heading5Char">
    <w:name w:val="Heading 5 Char"/>
    <w:basedOn w:val="DefaultParagraphFont"/>
    <w:link w:val="Heading5"/>
    <w:rsid w:val="00536F6A"/>
    <w:rPr>
      <w:rFonts w:ascii="Times New Roman" w:eastAsia="Times New Roman" w:hAnsi="Times New Roman" w:cs="Times New Roman"/>
      <w:b/>
      <w:i/>
      <w:sz w:val="22"/>
      <w:szCs w:val="20"/>
      <w:lang w:val="en-CA"/>
    </w:rPr>
  </w:style>
  <w:style w:type="paragraph" w:customStyle="1" w:styleId="Hypothesis">
    <w:name w:val="Hypothesis"/>
    <w:basedOn w:val="Normal"/>
    <w:qFormat/>
    <w:rsid w:val="004666DB"/>
    <w:pPr>
      <w:widowControl w:val="0"/>
      <w:spacing w:before="120" w:after="120"/>
      <w:ind w:left="720"/>
    </w:pPr>
    <w:rPr>
      <w:lang w:val="en-US"/>
    </w:rPr>
  </w:style>
  <w:style w:type="table" w:styleId="LightList-Accent1">
    <w:name w:val="Light List Accent 1"/>
    <w:basedOn w:val="TableNormal"/>
    <w:uiPriority w:val="61"/>
    <w:rsid w:val="00EF3A2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536F6A"/>
    <w:pPr>
      <w:numPr>
        <w:numId w:val="27"/>
      </w:numPr>
      <w:contextualSpacing/>
    </w:pPr>
  </w:style>
  <w:style w:type="table" w:styleId="TableGrid">
    <w:name w:val="Table Grid"/>
    <w:basedOn w:val="TableNormal"/>
    <w:uiPriority w:val="59"/>
    <w:rsid w:val="003B61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xt">
    <w:name w:val="Table Context"/>
    <w:basedOn w:val="Normal"/>
    <w:qFormat/>
    <w:rsid w:val="00620542"/>
    <w:pPr>
      <w:widowControl w:val="0"/>
      <w:spacing w:before="120" w:after="120" w:line="240" w:lineRule="auto"/>
      <w:ind w:firstLine="0"/>
      <w:jc w:val="center"/>
    </w:pPr>
    <w:rPr>
      <w:sz w:val="22"/>
      <w:szCs w:val="20"/>
      <w:lang w:val="en-US"/>
    </w:rPr>
  </w:style>
  <w:style w:type="paragraph" w:styleId="Title">
    <w:name w:val="Title"/>
    <w:link w:val="TitleChar"/>
    <w:qFormat/>
    <w:rsid w:val="003A3017"/>
    <w:pPr>
      <w:spacing w:before="100" w:beforeAutospacing="1" w:after="120" w:line="480" w:lineRule="auto"/>
      <w:jc w:val="center"/>
      <w:outlineLvl w:val="0"/>
    </w:pPr>
    <w:rPr>
      <w:rFonts w:ascii="Times" w:eastAsia="Times New Roman" w:hAnsi="Times" w:cs="Times New Roman"/>
      <w:b/>
      <w:kern w:val="28"/>
      <w:sz w:val="32"/>
      <w:szCs w:val="20"/>
      <w:lang w:val="en-CA"/>
    </w:rPr>
  </w:style>
  <w:style w:type="character" w:customStyle="1" w:styleId="TitleChar">
    <w:name w:val="Title Char"/>
    <w:basedOn w:val="DefaultParagraphFont"/>
    <w:link w:val="Title"/>
    <w:rsid w:val="003A3017"/>
    <w:rPr>
      <w:rFonts w:ascii="Times" w:eastAsia="Times New Roman" w:hAnsi="Times" w:cs="Times New Roman"/>
      <w:b/>
      <w:kern w:val="28"/>
      <w:sz w:val="32"/>
      <w:szCs w:val="20"/>
      <w:lang w:val="en-CA"/>
    </w:rPr>
  </w:style>
  <w:style w:type="paragraph" w:styleId="Revision">
    <w:name w:val="Revision"/>
    <w:hidden/>
    <w:uiPriority w:val="99"/>
    <w:semiHidden/>
    <w:rsid w:val="004666DB"/>
    <w:rPr>
      <w:rFonts w:ascii="Times" w:hAnsi="Times"/>
      <w:lang w:val="en-CA"/>
    </w:rPr>
  </w:style>
  <w:style w:type="character" w:customStyle="1" w:styleId="Heading6Char">
    <w:name w:val="Heading 6 Char"/>
    <w:basedOn w:val="DefaultParagraphFont"/>
    <w:link w:val="Heading6"/>
    <w:rsid w:val="00536F6A"/>
    <w:rPr>
      <w:rFonts w:ascii="Times" w:eastAsia="Times New Roman" w:hAnsi="Times" w:cs="Times New Roman"/>
      <w:b/>
      <w:sz w:val="22"/>
      <w:szCs w:val="20"/>
    </w:rPr>
  </w:style>
  <w:style w:type="character" w:customStyle="1" w:styleId="Heading7Char">
    <w:name w:val="Heading 7 Char"/>
    <w:basedOn w:val="DefaultParagraphFont"/>
    <w:link w:val="Heading7"/>
    <w:rsid w:val="00536F6A"/>
    <w:rPr>
      <w:rFonts w:ascii="Times" w:eastAsia="Times New Roman" w:hAnsi="Times" w:cs="Times New Roman"/>
      <w:sz w:val="20"/>
      <w:szCs w:val="20"/>
    </w:rPr>
  </w:style>
  <w:style w:type="character" w:customStyle="1" w:styleId="Heading8Char">
    <w:name w:val="Heading 8 Char"/>
    <w:basedOn w:val="DefaultParagraphFont"/>
    <w:link w:val="Heading8"/>
    <w:rsid w:val="00536F6A"/>
    <w:rPr>
      <w:rFonts w:ascii="Times" w:eastAsia="Times New Roman" w:hAnsi="Times" w:cs="Times New Roman"/>
      <w:i/>
      <w:sz w:val="20"/>
      <w:szCs w:val="20"/>
    </w:rPr>
  </w:style>
  <w:style w:type="character" w:customStyle="1" w:styleId="Heading9Char">
    <w:name w:val="Heading 9 Char"/>
    <w:basedOn w:val="DefaultParagraphFont"/>
    <w:link w:val="Heading9"/>
    <w:rsid w:val="00536F6A"/>
    <w:rPr>
      <w:rFonts w:ascii="Arial" w:eastAsia="Times New Roman" w:hAnsi="Arial" w:cs="Times New Roman"/>
      <w:sz w:val="22"/>
      <w:szCs w:val="20"/>
    </w:rPr>
  </w:style>
  <w:style w:type="paragraph" w:styleId="Header">
    <w:name w:val="header"/>
    <w:basedOn w:val="Normal"/>
    <w:link w:val="HeaderChar"/>
    <w:rsid w:val="00572BE7"/>
    <w:pPr>
      <w:tabs>
        <w:tab w:val="center" w:pos="4320"/>
        <w:tab w:val="right" w:pos="8640"/>
      </w:tabs>
      <w:spacing w:after="120" w:line="240" w:lineRule="auto"/>
      <w:ind w:firstLine="0"/>
      <w:jc w:val="both"/>
    </w:pPr>
    <w:rPr>
      <w:rFonts w:ascii="Arial" w:eastAsia="Times New Roman" w:hAnsi="Arial" w:cs="Times New Roman"/>
      <w:sz w:val="20"/>
      <w:szCs w:val="20"/>
      <w:lang w:val="en-US"/>
    </w:rPr>
  </w:style>
  <w:style w:type="character" w:customStyle="1" w:styleId="HeaderChar">
    <w:name w:val="Header Char"/>
    <w:basedOn w:val="DefaultParagraphFont"/>
    <w:link w:val="Header"/>
    <w:rsid w:val="00572BE7"/>
    <w:rPr>
      <w:rFonts w:ascii="Arial" w:eastAsia="Times New Roman" w:hAnsi="Arial" w:cs="Times New Roman"/>
      <w:sz w:val="20"/>
      <w:szCs w:val="20"/>
    </w:rPr>
  </w:style>
  <w:style w:type="paragraph" w:customStyle="1" w:styleId="Author">
    <w:name w:val="Author"/>
    <w:basedOn w:val="Normal"/>
    <w:rsid w:val="00572BE7"/>
    <w:pPr>
      <w:spacing w:line="240" w:lineRule="auto"/>
      <w:ind w:firstLine="0"/>
      <w:jc w:val="center"/>
    </w:pPr>
    <w:rPr>
      <w:rFonts w:eastAsia="Times New Roman" w:cs="Times New Roman"/>
      <w:b/>
      <w:color w:val="000000"/>
      <w:szCs w:val="20"/>
      <w:lang w:val="en-US"/>
    </w:rPr>
  </w:style>
  <w:style w:type="paragraph" w:styleId="BlockText">
    <w:name w:val="Block Text"/>
    <w:basedOn w:val="Normal"/>
    <w:rsid w:val="00572BE7"/>
    <w:pPr>
      <w:spacing w:after="120" w:line="240" w:lineRule="auto"/>
      <w:ind w:left="1440" w:right="1440" w:firstLine="0"/>
      <w:jc w:val="both"/>
    </w:pPr>
    <w:rPr>
      <w:rFonts w:eastAsia="Times New Roman" w:cs="Times New Roman"/>
      <w:sz w:val="20"/>
      <w:szCs w:val="20"/>
      <w:lang w:val="en-US"/>
    </w:rPr>
  </w:style>
  <w:style w:type="paragraph" w:styleId="Closing">
    <w:name w:val="Closing"/>
    <w:basedOn w:val="Normal"/>
    <w:link w:val="ClosingChar"/>
    <w:rsid w:val="00572BE7"/>
    <w:pPr>
      <w:spacing w:after="120" w:line="240" w:lineRule="auto"/>
      <w:ind w:left="4320" w:firstLine="0"/>
      <w:jc w:val="both"/>
    </w:pPr>
    <w:rPr>
      <w:rFonts w:eastAsia="Times New Roman" w:cs="Times New Roman"/>
      <w:sz w:val="20"/>
      <w:szCs w:val="20"/>
      <w:lang w:val="en-US"/>
    </w:rPr>
  </w:style>
  <w:style w:type="character" w:customStyle="1" w:styleId="ClosingChar">
    <w:name w:val="Closing Char"/>
    <w:basedOn w:val="DefaultParagraphFont"/>
    <w:link w:val="Closing"/>
    <w:rsid w:val="00572BE7"/>
    <w:rPr>
      <w:rFonts w:ascii="Times" w:eastAsia="Times New Roman" w:hAnsi="Times" w:cs="Times New Roman"/>
      <w:sz w:val="20"/>
      <w:szCs w:val="20"/>
    </w:rPr>
  </w:style>
  <w:style w:type="paragraph" w:styleId="Date">
    <w:name w:val="Date"/>
    <w:basedOn w:val="Normal"/>
    <w:next w:val="Normal"/>
    <w:link w:val="DateChar"/>
    <w:rsid w:val="00572BE7"/>
    <w:pPr>
      <w:spacing w:after="120" w:line="240" w:lineRule="auto"/>
      <w:ind w:firstLine="0"/>
      <w:jc w:val="both"/>
    </w:pPr>
    <w:rPr>
      <w:rFonts w:eastAsia="Times New Roman" w:cs="Times New Roman"/>
      <w:sz w:val="20"/>
      <w:szCs w:val="20"/>
      <w:lang w:val="en-US"/>
    </w:rPr>
  </w:style>
  <w:style w:type="character" w:customStyle="1" w:styleId="DateChar">
    <w:name w:val="Date Char"/>
    <w:basedOn w:val="DefaultParagraphFont"/>
    <w:link w:val="Date"/>
    <w:rsid w:val="00572BE7"/>
    <w:rPr>
      <w:rFonts w:ascii="Times" w:eastAsia="Times New Roman" w:hAnsi="Times" w:cs="Times New Roman"/>
      <w:sz w:val="20"/>
      <w:szCs w:val="20"/>
    </w:rPr>
  </w:style>
  <w:style w:type="paragraph" w:styleId="DocumentMap">
    <w:name w:val="Document Map"/>
    <w:basedOn w:val="Normal"/>
    <w:link w:val="DocumentMapChar"/>
    <w:semiHidden/>
    <w:rsid w:val="00572BE7"/>
    <w:pPr>
      <w:shd w:val="clear" w:color="auto" w:fill="000080"/>
      <w:spacing w:after="120" w:line="240" w:lineRule="auto"/>
      <w:ind w:firstLine="0"/>
      <w:jc w:val="both"/>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572BE7"/>
    <w:rPr>
      <w:rFonts w:ascii="Tahoma" w:eastAsia="Times New Roman" w:hAnsi="Tahoma" w:cs="Times New Roman"/>
      <w:sz w:val="20"/>
      <w:szCs w:val="20"/>
      <w:shd w:val="clear" w:color="auto" w:fill="000080"/>
    </w:rPr>
  </w:style>
  <w:style w:type="paragraph" w:styleId="Index1">
    <w:name w:val="index 1"/>
    <w:basedOn w:val="Normal"/>
    <w:next w:val="Normal"/>
    <w:autoRedefine/>
    <w:semiHidden/>
    <w:rsid w:val="00572BE7"/>
    <w:pPr>
      <w:spacing w:after="120" w:line="240" w:lineRule="auto"/>
      <w:ind w:left="240" w:hanging="240"/>
      <w:jc w:val="both"/>
    </w:pPr>
    <w:rPr>
      <w:rFonts w:eastAsia="Times New Roman" w:cs="Times New Roman"/>
      <w:sz w:val="20"/>
      <w:szCs w:val="20"/>
      <w:lang w:val="en-US"/>
    </w:rPr>
  </w:style>
  <w:style w:type="paragraph" w:styleId="Index2">
    <w:name w:val="index 2"/>
    <w:basedOn w:val="Normal"/>
    <w:next w:val="Normal"/>
    <w:autoRedefine/>
    <w:semiHidden/>
    <w:rsid w:val="00572BE7"/>
    <w:pPr>
      <w:spacing w:after="120" w:line="240" w:lineRule="auto"/>
      <w:ind w:left="480" w:hanging="240"/>
      <w:jc w:val="both"/>
    </w:pPr>
    <w:rPr>
      <w:rFonts w:eastAsia="Times New Roman" w:cs="Times New Roman"/>
      <w:sz w:val="20"/>
      <w:szCs w:val="20"/>
      <w:lang w:val="en-US"/>
    </w:rPr>
  </w:style>
  <w:style w:type="paragraph" w:styleId="Index3">
    <w:name w:val="index 3"/>
    <w:basedOn w:val="Normal"/>
    <w:next w:val="Normal"/>
    <w:autoRedefine/>
    <w:semiHidden/>
    <w:rsid w:val="00572BE7"/>
    <w:pPr>
      <w:spacing w:after="120" w:line="240" w:lineRule="auto"/>
      <w:ind w:left="720" w:hanging="240"/>
      <w:jc w:val="both"/>
    </w:pPr>
    <w:rPr>
      <w:rFonts w:eastAsia="Times New Roman" w:cs="Times New Roman"/>
      <w:sz w:val="20"/>
      <w:szCs w:val="20"/>
      <w:lang w:val="en-US"/>
    </w:rPr>
  </w:style>
  <w:style w:type="paragraph" w:styleId="Index4">
    <w:name w:val="index 4"/>
    <w:basedOn w:val="Normal"/>
    <w:next w:val="Normal"/>
    <w:autoRedefine/>
    <w:semiHidden/>
    <w:rsid w:val="00572BE7"/>
    <w:pPr>
      <w:spacing w:after="120" w:line="240" w:lineRule="auto"/>
      <w:ind w:left="960" w:hanging="240"/>
      <w:jc w:val="both"/>
    </w:pPr>
    <w:rPr>
      <w:rFonts w:eastAsia="Times New Roman" w:cs="Times New Roman"/>
      <w:sz w:val="20"/>
      <w:szCs w:val="20"/>
      <w:lang w:val="en-US"/>
    </w:rPr>
  </w:style>
  <w:style w:type="paragraph" w:styleId="Index5">
    <w:name w:val="index 5"/>
    <w:basedOn w:val="Normal"/>
    <w:next w:val="Normal"/>
    <w:autoRedefine/>
    <w:semiHidden/>
    <w:rsid w:val="00572BE7"/>
    <w:pPr>
      <w:spacing w:after="120" w:line="240" w:lineRule="auto"/>
      <w:ind w:left="1200" w:hanging="240"/>
      <w:jc w:val="both"/>
    </w:pPr>
    <w:rPr>
      <w:rFonts w:eastAsia="Times New Roman" w:cs="Times New Roman"/>
      <w:sz w:val="20"/>
      <w:szCs w:val="20"/>
      <w:lang w:val="en-US"/>
    </w:rPr>
  </w:style>
  <w:style w:type="paragraph" w:styleId="Index6">
    <w:name w:val="index 6"/>
    <w:basedOn w:val="Normal"/>
    <w:next w:val="Normal"/>
    <w:autoRedefine/>
    <w:semiHidden/>
    <w:rsid w:val="00572BE7"/>
    <w:pPr>
      <w:spacing w:after="120" w:line="240" w:lineRule="auto"/>
      <w:ind w:left="1440" w:hanging="240"/>
      <w:jc w:val="both"/>
    </w:pPr>
    <w:rPr>
      <w:rFonts w:eastAsia="Times New Roman" w:cs="Times New Roman"/>
      <w:sz w:val="20"/>
      <w:szCs w:val="20"/>
      <w:lang w:val="en-US"/>
    </w:rPr>
  </w:style>
  <w:style w:type="paragraph" w:styleId="Index7">
    <w:name w:val="index 7"/>
    <w:basedOn w:val="Normal"/>
    <w:next w:val="Normal"/>
    <w:autoRedefine/>
    <w:semiHidden/>
    <w:rsid w:val="00572BE7"/>
    <w:pPr>
      <w:spacing w:after="120" w:line="240" w:lineRule="auto"/>
      <w:ind w:left="1680" w:hanging="240"/>
      <w:jc w:val="both"/>
    </w:pPr>
    <w:rPr>
      <w:rFonts w:eastAsia="Times New Roman" w:cs="Times New Roman"/>
      <w:sz w:val="20"/>
      <w:szCs w:val="20"/>
      <w:lang w:val="en-US"/>
    </w:rPr>
  </w:style>
  <w:style w:type="paragraph" w:styleId="Index8">
    <w:name w:val="index 8"/>
    <w:basedOn w:val="Normal"/>
    <w:next w:val="Normal"/>
    <w:autoRedefine/>
    <w:semiHidden/>
    <w:rsid w:val="00572BE7"/>
    <w:pPr>
      <w:spacing w:after="120" w:line="240" w:lineRule="auto"/>
      <w:ind w:left="1920" w:hanging="240"/>
      <w:jc w:val="both"/>
    </w:pPr>
    <w:rPr>
      <w:rFonts w:eastAsia="Times New Roman" w:cs="Times New Roman"/>
      <w:sz w:val="20"/>
      <w:szCs w:val="20"/>
      <w:lang w:val="en-US"/>
    </w:rPr>
  </w:style>
  <w:style w:type="paragraph" w:styleId="Index9">
    <w:name w:val="index 9"/>
    <w:basedOn w:val="Normal"/>
    <w:next w:val="Normal"/>
    <w:autoRedefine/>
    <w:semiHidden/>
    <w:rsid w:val="00572BE7"/>
    <w:pPr>
      <w:spacing w:after="120" w:line="240" w:lineRule="auto"/>
      <w:ind w:left="2160" w:hanging="240"/>
      <w:jc w:val="both"/>
    </w:pPr>
    <w:rPr>
      <w:rFonts w:eastAsia="Times New Roman" w:cs="Times New Roman"/>
      <w:sz w:val="20"/>
      <w:szCs w:val="20"/>
      <w:lang w:val="en-US"/>
    </w:rPr>
  </w:style>
  <w:style w:type="paragraph" w:styleId="IndexHeading">
    <w:name w:val="index heading"/>
    <w:basedOn w:val="Normal"/>
    <w:next w:val="Index1"/>
    <w:semiHidden/>
    <w:rsid w:val="00572BE7"/>
    <w:pPr>
      <w:spacing w:after="120" w:line="240" w:lineRule="auto"/>
      <w:ind w:firstLine="0"/>
      <w:jc w:val="both"/>
    </w:pPr>
    <w:rPr>
      <w:rFonts w:ascii="Arial" w:eastAsia="Times New Roman" w:hAnsi="Arial" w:cs="Times New Roman"/>
      <w:b/>
      <w:sz w:val="20"/>
      <w:szCs w:val="20"/>
      <w:lang w:val="en-US"/>
    </w:rPr>
  </w:style>
  <w:style w:type="paragraph" w:styleId="List">
    <w:name w:val="List"/>
    <w:basedOn w:val="Normal"/>
    <w:rsid w:val="00572BE7"/>
    <w:pPr>
      <w:spacing w:after="120" w:line="240" w:lineRule="auto"/>
      <w:ind w:left="360" w:hanging="360"/>
      <w:jc w:val="both"/>
    </w:pPr>
    <w:rPr>
      <w:rFonts w:eastAsia="Times New Roman" w:cs="Times New Roman"/>
      <w:sz w:val="20"/>
      <w:szCs w:val="20"/>
      <w:lang w:val="en-US"/>
    </w:rPr>
  </w:style>
  <w:style w:type="paragraph" w:styleId="List2">
    <w:name w:val="List 2"/>
    <w:basedOn w:val="Normal"/>
    <w:rsid w:val="00572BE7"/>
    <w:pPr>
      <w:spacing w:after="120" w:line="240" w:lineRule="auto"/>
      <w:ind w:left="720" w:hanging="360"/>
      <w:jc w:val="both"/>
    </w:pPr>
    <w:rPr>
      <w:rFonts w:eastAsia="Times New Roman" w:cs="Times New Roman"/>
      <w:sz w:val="20"/>
      <w:szCs w:val="20"/>
      <w:lang w:val="en-US"/>
    </w:rPr>
  </w:style>
  <w:style w:type="paragraph" w:styleId="List3">
    <w:name w:val="List 3"/>
    <w:basedOn w:val="Normal"/>
    <w:rsid w:val="00572BE7"/>
    <w:pPr>
      <w:spacing w:after="120" w:line="240" w:lineRule="auto"/>
      <w:ind w:left="1080" w:hanging="360"/>
      <w:jc w:val="both"/>
    </w:pPr>
    <w:rPr>
      <w:rFonts w:eastAsia="Times New Roman" w:cs="Times New Roman"/>
      <w:sz w:val="20"/>
      <w:szCs w:val="20"/>
      <w:lang w:val="en-US"/>
    </w:rPr>
  </w:style>
  <w:style w:type="paragraph" w:styleId="List4">
    <w:name w:val="List 4"/>
    <w:basedOn w:val="Normal"/>
    <w:rsid w:val="00572BE7"/>
    <w:pPr>
      <w:spacing w:after="120" w:line="240" w:lineRule="auto"/>
      <w:ind w:left="1440" w:hanging="360"/>
      <w:jc w:val="both"/>
    </w:pPr>
    <w:rPr>
      <w:rFonts w:eastAsia="Times New Roman" w:cs="Times New Roman"/>
      <w:sz w:val="20"/>
      <w:szCs w:val="20"/>
      <w:lang w:val="en-US"/>
    </w:rPr>
  </w:style>
  <w:style w:type="paragraph" w:styleId="List5">
    <w:name w:val="List 5"/>
    <w:basedOn w:val="Normal"/>
    <w:rsid w:val="00572BE7"/>
    <w:pPr>
      <w:spacing w:after="120" w:line="240" w:lineRule="auto"/>
      <w:ind w:left="1800" w:hanging="360"/>
      <w:jc w:val="both"/>
    </w:pPr>
    <w:rPr>
      <w:rFonts w:eastAsia="Times New Roman" w:cs="Times New Roman"/>
      <w:sz w:val="20"/>
      <w:szCs w:val="20"/>
      <w:lang w:val="en-US"/>
    </w:rPr>
  </w:style>
  <w:style w:type="paragraph" w:styleId="ListBullet">
    <w:name w:val="List Bullet"/>
    <w:basedOn w:val="Normal"/>
    <w:autoRedefine/>
    <w:rsid w:val="00572BE7"/>
    <w:pPr>
      <w:tabs>
        <w:tab w:val="num" w:pos="360"/>
      </w:tabs>
      <w:spacing w:after="120" w:line="240" w:lineRule="auto"/>
      <w:ind w:left="360" w:hanging="360"/>
      <w:jc w:val="both"/>
    </w:pPr>
    <w:rPr>
      <w:rFonts w:eastAsia="Times New Roman" w:cs="Times New Roman"/>
      <w:sz w:val="20"/>
      <w:szCs w:val="20"/>
      <w:lang w:val="en-US"/>
    </w:rPr>
  </w:style>
  <w:style w:type="paragraph" w:styleId="ListBullet2">
    <w:name w:val="List Bullet 2"/>
    <w:basedOn w:val="Normal"/>
    <w:autoRedefine/>
    <w:rsid w:val="00572BE7"/>
    <w:pPr>
      <w:tabs>
        <w:tab w:val="num" w:pos="720"/>
      </w:tabs>
      <w:spacing w:after="120" w:line="240" w:lineRule="auto"/>
      <w:ind w:left="720" w:hanging="360"/>
      <w:jc w:val="both"/>
    </w:pPr>
    <w:rPr>
      <w:rFonts w:eastAsia="Times New Roman" w:cs="Times New Roman"/>
      <w:sz w:val="20"/>
      <w:szCs w:val="20"/>
      <w:lang w:val="en-US"/>
    </w:rPr>
  </w:style>
  <w:style w:type="paragraph" w:styleId="ListBullet3">
    <w:name w:val="List Bullet 3"/>
    <w:basedOn w:val="Normal"/>
    <w:autoRedefine/>
    <w:rsid w:val="00572BE7"/>
    <w:pPr>
      <w:tabs>
        <w:tab w:val="num" w:pos="1080"/>
      </w:tabs>
      <w:spacing w:after="120" w:line="240" w:lineRule="auto"/>
      <w:ind w:left="1080" w:hanging="360"/>
      <w:jc w:val="both"/>
    </w:pPr>
    <w:rPr>
      <w:rFonts w:eastAsia="Times New Roman" w:cs="Times New Roman"/>
      <w:sz w:val="20"/>
      <w:szCs w:val="20"/>
      <w:lang w:val="en-US"/>
    </w:rPr>
  </w:style>
  <w:style w:type="paragraph" w:styleId="ListBullet4">
    <w:name w:val="List Bullet 4"/>
    <w:basedOn w:val="Normal"/>
    <w:autoRedefine/>
    <w:rsid w:val="00572BE7"/>
    <w:pPr>
      <w:tabs>
        <w:tab w:val="num" w:pos="1440"/>
      </w:tabs>
      <w:spacing w:after="120" w:line="240" w:lineRule="auto"/>
      <w:ind w:left="1440" w:hanging="360"/>
      <w:jc w:val="both"/>
    </w:pPr>
    <w:rPr>
      <w:rFonts w:eastAsia="Times New Roman" w:cs="Times New Roman"/>
      <w:sz w:val="20"/>
      <w:szCs w:val="20"/>
      <w:lang w:val="en-US"/>
    </w:rPr>
  </w:style>
  <w:style w:type="paragraph" w:styleId="ListBullet5">
    <w:name w:val="List Bullet 5"/>
    <w:basedOn w:val="Normal"/>
    <w:autoRedefine/>
    <w:rsid w:val="00572BE7"/>
    <w:pPr>
      <w:tabs>
        <w:tab w:val="num" w:pos="1800"/>
      </w:tabs>
      <w:spacing w:after="120" w:line="240" w:lineRule="auto"/>
      <w:ind w:left="1800" w:hanging="360"/>
      <w:jc w:val="both"/>
    </w:pPr>
    <w:rPr>
      <w:rFonts w:eastAsia="Times New Roman" w:cs="Times New Roman"/>
      <w:sz w:val="20"/>
      <w:szCs w:val="20"/>
      <w:lang w:val="en-US"/>
    </w:rPr>
  </w:style>
  <w:style w:type="paragraph" w:styleId="ListContinue">
    <w:name w:val="List Continue"/>
    <w:basedOn w:val="Normal"/>
    <w:rsid w:val="00572BE7"/>
    <w:pPr>
      <w:spacing w:after="120" w:line="240" w:lineRule="auto"/>
      <w:ind w:left="360" w:firstLine="0"/>
      <w:jc w:val="both"/>
    </w:pPr>
    <w:rPr>
      <w:rFonts w:eastAsia="Times New Roman" w:cs="Times New Roman"/>
      <w:sz w:val="20"/>
      <w:szCs w:val="20"/>
      <w:lang w:val="en-US"/>
    </w:rPr>
  </w:style>
  <w:style w:type="paragraph" w:styleId="ListContinue2">
    <w:name w:val="List Continue 2"/>
    <w:basedOn w:val="Normal"/>
    <w:rsid w:val="00572BE7"/>
    <w:pPr>
      <w:spacing w:after="120" w:line="240" w:lineRule="auto"/>
      <w:ind w:left="720" w:firstLine="0"/>
      <w:jc w:val="both"/>
    </w:pPr>
    <w:rPr>
      <w:rFonts w:eastAsia="Times New Roman" w:cs="Times New Roman"/>
      <w:sz w:val="20"/>
      <w:szCs w:val="20"/>
      <w:lang w:val="en-US"/>
    </w:rPr>
  </w:style>
  <w:style w:type="paragraph" w:styleId="ListContinue3">
    <w:name w:val="List Continue 3"/>
    <w:basedOn w:val="Normal"/>
    <w:rsid w:val="00572BE7"/>
    <w:pPr>
      <w:spacing w:after="120" w:line="240" w:lineRule="auto"/>
      <w:ind w:left="1080" w:firstLine="0"/>
      <w:jc w:val="both"/>
    </w:pPr>
    <w:rPr>
      <w:rFonts w:eastAsia="Times New Roman" w:cs="Times New Roman"/>
      <w:sz w:val="20"/>
      <w:szCs w:val="20"/>
      <w:lang w:val="en-US"/>
    </w:rPr>
  </w:style>
  <w:style w:type="paragraph" w:styleId="ListContinue4">
    <w:name w:val="List Continue 4"/>
    <w:basedOn w:val="Normal"/>
    <w:rsid w:val="00572BE7"/>
    <w:pPr>
      <w:spacing w:after="120" w:line="240" w:lineRule="auto"/>
      <w:ind w:left="1440" w:firstLine="0"/>
      <w:jc w:val="both"/>
    </w:pPr>
    <w:rPr>
      <w:rFonts w:eastAsia="Times New Roman" w:cs="Times New Roman"/>
      <w:sz w:val="20"/>
      <w:szCs w:val="20"/>
      <w:lang w:val="en-US"/>
    </w:rPr>
  </w:style>
  <w:style w:type="paragraph" w:styleId="ListContinue5">
    <w:name w:val="List Continue 5"/>
    <w:basedOn w:val="Normal"/>
    <w:rsid w:val="00572BE7"/>
    <w:pPr>
      <w:spacing w:after="120" w:line="240" w:lineRule="auto"/>
      <w:ind w:left="1800" w:firstLine="0"/>
      <w:jc w:val="both"/>
    </w:pPr>
    <w:rPr>
      <w:rFonts w:eastAsia="Times New Roman" w:cs="Times New Roman"/>
      <w:sz w:val="20"/>
      <w:szCs w:val="20"/>
      <w:lang w:val="en-US"/>
    </w:rPr>
  </w:style>
  <w:style w:type="paragraph" w:styleId="ListNumber">
    <w:name w:val="List Number"/>
    <w:basedOn w:val="Normal"/>
    <w:rsid w:val="00572BE7"/>
    <w:pPr>
      <w:tabs>
        <w:tab w:val="num" w:pos="360"/>
      </w:tabs>
      <w:spacing w:after="120" w:line="240" w:lineRule="auto"/>
      <w:ind w:left="360" w:hanging="360"/>
      <w:jc w:val="both"/>
    </w:pPr>
    <w:rPr>
      <w:rFonts w:eastAsia="Times New Roman" w:cs="Times New Roman"/>
      <w:sz w:val="20"/>
      <w:szCs w:val="20"/>
      <w:lang w:val="en-US"/>
    </w:rPr>
  </w:style>
  <w:style w:type="paragraph" w:styleId="ListNumber2">
    <w:name w:val="List Number 2"/>
    <w:basedOn w:val="Normal"/>
    <w:rsid w:val="00572BE7"/>
    <w:pPr>
      <w:tabs>
        <w:tab w:val="num" w:pos="720"/>
      </w:tabs>
      <w:spacing w:after="120" w:line="240" w:lineRule="auto"/>
      <w:ind w:left="720" w:hanging="360"/>
      <w:jc w:val="both"/>
    </w:pPr>
    <w:rPr>
      <w:rFonts w:eastAsia="Times New Roman" w:cs="Times New Roman"/>
      <w:sz w:val="20"/>
      <w:szCs w:val="20"/>
      <w:lang w:val="en-US"/>
    </w:rPr>
  </w:style>
  <w:style w:type="paragraph" w:styleId="ListNumber3">
    <w:name w:val="List Number 3"/>
    <w:basedOn w:val="Normal"/>
    <w:rsid w:val="00572BE7"/>
    <w:pPr>
      <w:tabs>
        <w:tab w:val="num" w:pos="1080"/>
      </w:tabs>
      <w:spacing w:after="120" w:line="240" w:lineRule="auto"/>
      <w:ind w:left="1080" w:hanging="360"/>
      <w:jc w:val="both"/>
    </w:pPr>
    <w:rPr>
      <w:rFonts w:eastAsia="Times New Roman" w:cs="Times New Roman"/>
      <w:sz w:val="20"/>
      <w:szCs w:val="20"/>
      <w:lang w:val="en-US"/>
    </w:rPr>
  </w:style>
  <w:style w:type="paragraph" w:styleId="ListNumber4">
    <w:name w:val="List Number 4"/>
    <w:basedOn w:val="Normal"/>
    <w:rsid w:val="00572BE7"/>
    <w:pPr>
      <w:tabs>
        <w:tab w:val="num" w:pos="1440"/>
      </w:tabs>
      <w:spacing w:after="120" w:line="240" w:lineRule="auto"/>
      <w:ind w:left="1440" w:hanging="360"/>
      <w:jc w:val="both"/>
    </w:pPr>
    <w:rPr>
      <w:rFonts w:eastAsia="Times New Roman" w:cs="Times New Roman"/>
      <w:sz w:val="20"/>
      <w:szCs w:val="20"/>
      <w:lang w:val="en-US"/>
    </w:rPr>
  </w:style>
  <w:style w:type="paragraph" w:styleId="ListNumber5">
    <w:name w:val="List Number 5"/>
    <w:basedOn w:val="Normal"/>
    <w:rsid w:val="00572BE7"/>
    <w:pPr>
      <w:tabs>
        <w:tab w:val="num" w:pos="1800"/>
      </w:tabs>
      <w:spacing w:after="120" w:line="240" w:lineRule="auto"/>
      <w:ind w:left="1800" w:hanging="360"/>
      <w:jc w:val="both"/>
    </w:pPr>
    <w:rPr>
      <w:rFonts w:eastAsia="Times New Roman" w:cs="Times New Roman"/>
      <w:sz w:val="20"/>
      <w:szCs w:val="20"/>
      <w:lang w:val="en-US"/>
    </w:rPr>
  </w:style>
  <w:style w:type="paragraph" w:styleId="MacroText">
    <w:name w:val="macro"/>
    <w:link w:val="MacroTextChar"/>
    <w:semiHidden/>
    <w:rsid w:val="00572BE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572BE7"/>
    <w:rPr>
      <w:rFonts w:ascii="Courier New" w:eastAsia="Times New Roman" w:hAnsi="Courier New" w:cs="Times New Roman"/>
      <w:sz w:val="20"/>
      <w:szCs w:val="20"/>
    </w:rPr>
  </w:style>
  <w:style w:type="paragraph" w:styleId="MessageHeader">
    <w:name w:val="Message Header"/>
    <w:basedOn w:val="Normal"/>
    <w:link w:val="MessageHeaderChar"/>
    <w:rsid w:val="00572BE7"/>
    <w:pPr>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jc w:val="both"/>
    </w:pPr>
    <w:rPr>
      <w:rFonts w:ascii="Arial" w:eastAsia="Times New Roman" w:hAnsi="Arial" w:cs="Times New Roman"/>
      <w:sz w:val="20"/>
      <w:szCs w:val="20"/>
      <w:lang w:val="en-US"/>
    </w:rPr>
  </w:style>
  <w:style w:type="character" w:customStyle="1" w:styleId="MessageHeaderChar">
    <w:name w:val="Message Header Char"/>
    <w:basedOn w:val="DefaultParagraphFont"/>
    <w:link w:val="MessageHeader"/>
    <w:rsid w:val="00572BE7"/>
    <w:rPr>
      <w:rFonts w:ascii="Arial" w:eastAsia="Times New Roman" w:hAnsi="Arial" w:cs="Times New Roman"/>
      <w:sz w:val="20"/>
      <w:szCs w:val="20"/>
      <w:shd w:val="pct20" w:color="auto" w:fill="auto"/>
    </w:rPr>
  </w:style>
  <w:style w:type="paragraph" w:styleId="NormalIndent">
    <w:name w:val="Normal Indent"/>
    <w:basedOn w:val="Normal"/>
    <w:rsid w:val="00572BE7"/>
    <w:pPr>
      <w:spacing w:after="120" w:line="240" w:lineRule="auto"/>
      <w:ind w:left="720" w:firstLine="0"/>
      <w:jc w:val="both"/>
    </w:pPr>
    <w:rPr>
      <w:rFonts w:eastAsia="Times New Roman" w:cs="Times New Roman"/>
      <w:sz w:val="20"/>
      <w:szCs w:val="20"/>
      <w:lang w:val="en-US"/>
    </w:rPr>
  </w:style>
  <w:style w:type="paragraph" w:styleId="NoteHeading">
    <w:name w:val="Note Heading"/>
    <w:basedOn w:val="Normal"/>
    <w:next w:val="Normal"/>
    <w:link w:val="NoteHeadingChar"/>
    <w:rsid w:val="00572BE7"/>
    <w:pPr>
      <w:spacing w:after="120" w:line="240" w:lineRule="auto"/>
      <w:ind w:firstLine="0"/>
      <w:jc w:val="both"/>
    </w:pPr>
    <w:rPr>
      <w:rFonts w:eastAsia="Times New Roman" w:cs="Times New Roman"/>
      <w:sz w:val="20"/>
      <w:szCs w:val="20"/>
      <w:lang w:val="en-US"/>
    </w:rPr>
  </w:style>
  <w:style w:type="character" w:customStyle="1" w:styleId="NoteHeadingChar">
    <w:name w:val="Note Heading Char"/>
    <w:basedOn w:val="DefaultParagraphFont"/>
    <w:link w:val="NoteHeading"/>
    <w:rsid w:val="00572BE7"/>
    <w:rPr>
      <w:rFonts w:ascii="Times" w:eastAsia="Times New Roman" w:hAnsi="Times" w:cs="Times New Roman"/>
      <w:sz w:val="20"/>
      <w:szCs w:val="20"/>
    </w:rPr>
  </w:style>
  <w:style w:type="paragraph" w:styleId="PlainText">
    <w:name w:val="Plain Text"/>
    <w:basedOn w:val="Normal"/>
    <w:link w:val="PlainTextChar"/>
    <w:rsid w:val="00572BE7"/>
    <w:pPr>
      <w:spacing w:after="120" w:line="240" w:lineRule="auto"/>
      <w:ind w:firstLine="0"/>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72BE7"/>
    <w:rPr>
      <w:rFonts w:ascii="Courier New" w:eastAsia="Times New Roman" w:hAnsi="Courier New" w:cs="Times New Roman"/>
      <w:sz w:val="20"/>
      <w:szCs w:val="20"/>
    </w:rPr>
  </w:style>
  <w:style w:type="paragraph" w:styleId="Salutation">
    <w:name w:val="Salutation"/>
    <w:basedOn w:val="Normal"/>
    <w:next w:val="Normal"/>
    <w:link w:val="SalutationChar"/>
    <w:rsid w:val="00572BE7"/>
    <w:pPr>
      <w:spacing w:after="120" w:line="240" w:lineRule="auto"/>
      <w:ind w:firstLine="0"/>
      <w:jc w:val="both"/>
    </w:pPr>
    <w:rPr>
      <w:rFonts w:eastAsia="Times New Roman" w:cs="Times New Roman"/>
      <w:sz w:val="20"/>
      <w:szCs w:val="20"/>
      <w:lang w:val="en-US"/>
    </w:rPr>
  </w:style>
  <w:style w:type="character" w:customStyle="1" w:styleId="SalutationChar">
    <w:name w:val="Salutation Char"/>
    <w:basedOn w:val="DefaultParagraphFont"/>
    <w:link w:val="Salutation"/>
    <w:rsid w:val="00572BE7"/>
    <w:rPr>
      <w:rFonts w:ascii="Times" w:eastAsia="Times New Roman" w:hAnsi="Times" w:cs="Times New Roman"/>
      <w:sz w:val="20"/>
      <w:szCs w:val="20"/>
    </w:rPr>
  </w:style>
  <w:style w:type="paragraph" w:styleId="Signature">
    <w:name w:val="Signature"/>
    <w:basedOn w:val="Normal"/>
    <w:link w:val="SignatureChar"/>
    <w:rsid w:val="00572BE7"/>
    <w:pPr>
      <w:spacing w:after="120" w:line="240" w:lineRule="auto"/>
      <w:ind w:left="4320" w:firstLine="0"/>
      <w:jc w:val="both"/>
    </w:pPr>
    <w:rPr>
      <w:rFonts w:eastAsia="Times New Roman" w:cs="Times New Roman"/>
      <w:sz w:val="20"/>
      <w:szCs w:val="20"/>
      <w:lang w:val="en-US"/>
    </w:rPr>
  </w:style>
  <w:style w:type="character" w:customStyle="1" w:styleId="SignatureChar">
    <w:name w:val="Signature Char"/>
    <w:basedOn w:val="DefaultParagraphFont"/>
    <w:link w:val="Signature"/>
    <w:rsid w:val="00572BE7"/>
    <w:rPr>
      <w:rFonts w:ascii="Times" w:eastAsia="Times New Roman" w:hAnsi="Times" w:cs="Times New Roman"/>
      <w:sz w:val="20"/>
      <w:szCs w:val="20"/>
    </w:rPr>
  </w:style>
  <w:style w:type="paragraph" w:styleId="Subtitle">
    <w:name w:val="Subtitle"/>
    <w:basedOn w:val="Normal"/>
    <w:link w:val="SubtitleChar"/>
    <w:qFormat/>
    <w:rsid w:val="00572BE7"/>
    <w:pPr>
      <w:spacing w:after="60" w:line="240" w:lineRule="auto"/>
      <w:ind w:firstLine="0"/>
      <w:jc w:val="center"/>
      <w:outlineLvl w:val="1"/>
    </w:pPr>
    <w:rPr>
      <w:rFonts w:ascii="Arial" w:eastAsia="Times New Roman" w:hAnsi="Arial" w:cs="Times New Roman"/>
      <w:sz w:val="20"/>
      <w:szCs w:val="20"/>
      <w:lang w:val="en-US"/>
    </w:rPr>
  </w:style>
  <w:style w:type="character" w:customStyle="1" w:styleId="SubtitleChar">
    <w:name w:val="Subtitle Char"/>
    <w:basedOn w:val="DefaultParagraphFont"/>
    <w:link w:val="Subtitle"/>
    <w:rsid w:val="00572BE7"/>
    <w:rPr>
      <w:rFonts w:ascii="Arial" w:eastAsia="Times New Roman" w:hAnsi="Arial" w:cs="Times New Roman"/>
      <w:sz w:val="20"/>
      <w:szCs w:val="20"/>
    </w:rPr>
  </w:style>
  <w:style w:type="paragraph" w:styleId="TableofAuthorities">
    <w:name w:val="table of authorities"/>
    <w:basedOn w:val="Normal"/>
    <w:next w:val="Normal"/>
    <w:semiHidden/>
    <w:rsid w:val="00572BE7"/>
    <w:pPr>
      <w:spacing w:after="120" w:line="240" w:lineRule="auto"/>
      <w:ind w:left="240" w:hanging="240"/>
      <w:jc w:val="both"/>
    </w:pPr>
    <w:rPr>
      <w:rFonts w:eastAsia="Times New Roman" w:cs="Times New Roman"/>
      <w:sz w:val="20"/>
      <w:szCs w:val="20"/>
      <w:lang w:val="en-US"/>
    </w:rPr>
  </w:style>
  <w:style w:type="paragraph" w:styleId="TableofFigures">
    <w:name w:val="table of figures"/>
    <w:basedOn w:val="Normal"/>
    <w:next w:val="Normal"/>
    <w:uiPriority w:val="99"/>
    <w:rsid w:val="00572BE7"/>
    <w:pPr>
      <w:spacing w:after="120" w:line="240" w:lineRule="auto"/>
      <w:ind w:left="480" w:hanging="480"/>
      <w:jc w:val="both"/>
    </w:pPr>
    <w:rPr>
      <w:rFonts w:eastAsia="Times New Roman" w:cs="Times New Roman"/>
      <w:sz w:val="20"/>
      <w:szCs w:val="20"/>
      <w:lang w:val="en-US"/>
    </w:rPr>
  </w:style>
  <w:style w:type="paragraph" w:styleId="TOAHeading">
    <w:name w:val="toa heading"/>
    <w:basedOn w:val="Normal"/>
    <w:next w:val="Normal"/>
    <w:semiHidden/>
    <w:rsid w:val="00572BE7"/>
    <w:pPr>
      <w:spacing w:before="120" w:after="120" w:line="240" w:lineRule="auto"/>
      <w:ind w:firstLine="0"/>
      <w:jc w:val="both"/>
    </w:pPr>
    <w:rPr>
      <w:rFonts w:ascii="Arial" w:eastAsia="Times New Roman" w:hAnsi="Arial" w:cs="Times New Roman"/>
      <w:b/>
      <w:sz w:val="20"/>
      <w:szCs w:val="20"/>
      <w:lang w:val="en-US"/>
    </w:rPr>
  </w:style>
  <w:style w:type="paragraph" w:styleId="TOC1">
    <w:name w:val="toc 1"/>
    <w:basedOn w:val="Normal"/>
    <w:next w:val="Normal"/>
    <w:autoRedefine/>
    <w:uiPriority w:val="39"/>
    <w:rsid w:val="00572BE7"/>
    <w:pPr>
      <w:spacing w:after="120" w:line="240" w:lineRule="auto"/>
      <w:ind w:firstLine="0"/>
      <w:jc w:val="both"/>
    </w:pPr>
    <w:rPr>
      <w:rFonts w:eastAsia="Times New Roman" w:cs="Times New Roman"/>
      <w:sz w:val="20"/>
      <w:szCs w:val="20"/>
      <w:lang w:val="en-US"/>
    </w:rPr>
  </w:style>
  <w:style w:type="paragraph" w:styleId="TOC2">
    <w:name w:val="toc 2"/>
    <w:basedOn w:val="Normal"/>
    <w:next w:val="Normal"/>
    <w:autoRedefine/>
    <w:uiPriority w:val="39"/>
    <w:rsid w:val="00572BE7"/>
    <w:pPr>
      <w:spacing w:after="120" w:line="240" w:lineRule="auto"/>
      <w:ind w:left="240" w:firstLine="0"/>
      <w:jc w:val="both"/>
    </w:pPr>
    <w:rPr>
      <w:rFonts w:eastAsia="Times New Roman" w:cs="Times New Roman"/>
      <w:sz w:val="20"/>
      <w:szCs w:val="20"/>
      <w:lang w:val="en-US"/>
    </w:rPr>
  </w:style>
  <w:style w:type="paragraph" w:styleId="TOC3">
    <w:name w:val="toc 3"/>
    <w:basedOn w:val="Normal"/>
    <w:next w:val="Normal"/>
    <w:autoRedefine/>
    <w:uiPriority w:val="39"/>
    <w:rsid w:val="00572BE7"/>
    <w:pPr>
      <w:spacing w:after="120" w:line="240" w:lineRule="auto"/>
      <w:ind w:left="480" w:firstLine="0"/>
      <w:jc w:val="both"/>
    </w:pPr>
    <w:rPr>
      <w:rFonts w:eastAsia="Times New Roman" w:cs="Times New Roman"/>
      <w:sz w:val="20"/>
      <w:szCs w:val="20"/>
      <w:lang w:val="en-US"/>
    </w:rPr>
  </w:style>
  <w:style w:type="paragraph" w:styleId="TOC4">
    <w:name w:val="toc 4"/>
    <w:basedOn w:val="Normal"/>
    <w:next w:val="Normal"/>
    <w:autoRedefine/>
    <w:semiHidden/>
    <w:rsid w:val="00572BE7"/>
    <w:pPr>
      <w:spacing w:after="120" w:line="240" w:lineRule="auto"/>
      <w:ind w:left="720" w:firstLine="0"/>
      <w:jc w:val="both"/>
    </w:pPr>
    <w:rPr>
      <w:rFonts w:eastAsia="Times New Roman" w:cs="Times New Roman"/>
      <w:sz w:val="20"/>
      <w:szCs w:val="20"/>
      <w:lang w:val="en-US"/>
    </w:rPr>
  </w:style>
  <w:style w:type="paragraph" w:styleId="TOC5">
    <w:name w:val="toc 5"/>
    <w:basedOn w:val="Normal"/>
    <w:next w:val="Normal"/>
    <w:autoRedefine/>
    <w:semiHidden/>
    <w:rsid w:val="00572BE7"/>
    <w:pPr>
      <w:spacing w:after="120" w:line="240" w:lineRule="auto"/>
      <w:ind w:left="960" w:firstLine="0"/>
      <w:jc w:val="both"/>
    </w:pPr>
    <w:rPr>
      <w:rFonts w:eastAsia="Times New Roman" w:cs="Times New Roman"/>
      <w:sz w:val="20"/>
      <w:szCs w:val="20"/>
      <w:lang w:val="en-US"/>
    </w:rPr>
  </w:style>
  <w:style w:type="paragraph" w:styleId="TOC6">
    <w:name w:val="toc 6"/>
    <w:basedOn w:val="Normal"/>
    <w:next w:val="Normal"/>
    <w:autoRedefine/>
    <w:semiHidden/>
    <w:rsid w:val="00572BE7"/>
    <w:pPr>
      <w:spacing w:after="120" w:line="240" w:lineRule="auto"/>
      <w:ind w:left="1200" w:firstLine="0"/>
      <w:jc w:val="both"/>
    </w:pPr>
    <w:rPr>
      <w:rFonts w:eastAsia="Times New Roman" w:cs="Times New Roman"/>
      <w:sz w:val="20"/>
      <w:szCs w:val="20"/>
      <w:lang w:val="en-US"/>
    </w:rPr>
  </w:style>
  <w:style w:type="paragraph" w:styleId="TOC7">
    <w:name w:val="toc 7"/>
    <w:basedOn w:val="Normal"/>
    <w:next w:val="Normal"/>
    <w:autoRedefine/>
    <w:semiHidden/>
    <w:rsid w:val="00572BE7"/>
    <w:pPr>
      <w:spacing w:after="120" w:line="240" w:lineRule="auto"/>
      <w:ind w:left="1440" w:firstLine="0"/>
      <w:jc w:val="both"/>
    </w:pPr>
    <w:rPr>
      <w:rFonts w:eastAsia="Times New Roman" w:cs="Times New Roman"/>
      <w:sz w:val="20"/>
      <w:szCs w:val="20"/>
      <w:lang w:val="en-US"/>
    </w:rPr>
  </w:style>
  <w:style w:type="paragraph" w:styleId="TOC8">
    <w:name w:val="toc 8"/>
    <w:basedOn w:val="Normal"/>
    <w:next w:val="Normal"/>
    <w:autoRedefine/>
    <w:semiHidden/>
    <w:rsid w:val="00572BE7"/>
    <w:pPr>
      <w:spacing w:after="120" w:line="240" w:lineRule="auto"/>
      <w:ind w:left="1680" w:firstLine="0"/>
      <w:jc w:val="both"/>
    </w:pPr>
    <w:rPr>
      <w:rFonts w:eastAsia="Times New Roman" w:cs="Times New Roman"/>
      <w:sz w:val="20"/>
      <w:szCs w:val="20"/>
      <w:lang w:val="en-US"/>
    </w:rPr>
  </w:style>
  <w:style w:type="paragraph" w:styleId="TOC9">
    <w:name w:val="toc 9"/>
    <w:basedOn w:val="Normal"/>
    <w:next w:val="Normal"/>
    <w:autoRedefine/>
    <w:semiHidden/>
    <w:rsid w:val="00572BE7"/>
    <w:pPr>
      <w:spacing w:after="120" w:line="240" w:lineRule="auto"/>
      <w:ind w:left="1920" w:firstLine="0"/>
      <w:jc w:val="both"/>
    </w:pPr>
    <w:rPr>
      <w:rFonts w:eastAsia="Times New Roman" w:cs="Times New Roman"/>
      <w:sz w:val="20"/>
      <w:szCs w:val="20"/>
      <w:lang w:val="en-US"/>
    </w:rPr>
  </w:style>
  <w:style w:type="paragraph" w:customStyle="1" w:styleId="Bullet">
    <w:name w:val="Bullet"/>
    <w:basedOn w:val="Normal"/>
    <w:rsid w:val="00536F6A"/>
    <w:pPr>
      <w:numPr>
        <w:numId w:val="1"/>
      </w:numPr>
      <w:tabs>
        <w:tab w:val="clear" w:pos="720"/>
        <w:tab w:val="left" w:pos="180"/>
      </w:tabs>
      <w:overflowPunct w:val="0"/>
      <w:autoSpaceDE w:val="0"/>
      <w:autoSpaceDN w:val="0"/>
      <w:adjustRightInd w:val="0"/>
      <w:spacing w:after="80" w:line="240" w:lineRule="auto"/>
      <w:ind w:left="180" w:hanging="180"/>
      <w:jc w:val="both"/>
      <w:textAlignment w:val="baseline"/>
    </w:pPr>
    <w:rPr>
      <w:rFonts w:eastAsia="Times New Roman" w:cs="Times New Roman"/>
      <w:sz w:val="20"/>
      <w:szCs w:val="20"/>
      <w:lang w:val="en-US"/>
    </w:rPr>
  </w:style>
  <w:style w:type="paragraph" w:customStyle="1" w:styleId="Paper-Title">
    <w:name w:val="Paper-Title"/>
    <w:basedOn w:val="Normal"/>
    <w:rsid w:val="00572BE7"/>
    <w:pPr>
      <w:overflowPunct w:val="0"/>
      <w:autoSpaceDE w:val="0"/>
      <w:autoSpaceDN w:val="0"/>
      <w:adjustRightInd w:val="0"/>
      <w:spacing w:after="120" w:line="240" w:lineRule="auto"/>
      <w:ind w:firstLine="0"/>
      <w:jc w:val="center"/>
      <w:textAlignment w:val="baseline"/>
    </w:pPr>
    <w:rPr>
      <w:rFonts w:ascii="Helvetica" w:eastAsia="Times New Roman" w:hAnsi="Helvetica" w:cs="Times New Roman"/>
      <w:b/>
      <w:sz w:val="36"/>
      <w:szCs w:val="20"/>
      <w:lang w:val="en-US"/>
    </w:rPr>
  </w:style>
  <w:style w:type="paragraph" w:customStyle="1" w:styleId="References">
    <w:name w:val="References"/>
    <w:basedOn w:val="Normal"/>
    <w:rsid w:val="00572BE7"/>
    <w:pPr>
      <w:overflowPunct w:val="0"/>
      <w:autoSpaceDE w:val="0"/>
      <w:autoSpaceDN w:val="0"/>
      <w:adjustRightInd w:val="0"/>
      <w:spacing w:after="80" w:line="240" w:lineRule="auto"/>
      <w:ind w:left="270" w:hanging="270"/>
      <w:jc w:val="both"/>
      <w:textAlignment w:val="baseline"/>
    </w:pPr>
    <w:rPr>
      <w:rFonts w:eastAsia="Times New Roman" w:cs="Times New Roman"/>
      <w:sz w:val="20"/>
      <w:szCs w:val="20"/>
      <w:lang w:val="en-US"/>
    </w:rPr>
  </w:style>
  <w:style w:type="paragraph" w:customStyle="1" w:styleId="Abstract">
    <w:name w:val="Abstract"/>
    <w:basedOn w:val="Heading1"/>
    <w:rsid w:val="00536F6A"/>
    <w:pPr>
      <w:spacing w:before="40" w:line="240" w:lineRule="auto"/>
      <w:jc w:val="both"/>
      <w:outlineLvl w:val="9"/>
    </w:pPr>
    <w:rPr>
      <w:rFonts w:ascii="Times New Roman" w:eastAsia="Times New Roman" w:hAnsi="Times New Roman" w:cs="Times New Roman"/>
      <w:bCs w:val="0"/>
      <w:color w:val="auto"/>
      <w:kern w:val="28"/>
      <w:sz w:val="24"/>
      <w:szCs w:val="20"/>
      <w:lang w:val="en-US"/>
    </w:rPr>
  </w:style>
  <w:style w:type="character" w:styleId="Hyperlink">
    <w:name w:val="Hyperlink"/>
    <w:rsid w:val="00572BE7"/>
    <w:rPr>
      <w:color w:val="0000FF"/>
      <w:u w:val="single"/>
    </w:rPr>
  </w:style>
  <w:style w:type="paragraph" w:customStyle="1" w:styleId="Affiliation">
    <w:name w:val="Affiliation"/>
    <w:basedOn w:val="Author"/>
    <w:rsid w:val="00572BE7"/>
    <w:rPr>
      <w:b w:val="0"/>
    </w:rPr>
  </w:style>
  <w:style w:type="paragraph" w:customStyle="1" w:styleId="Copyright">
    <w:name w:val="Copyright"/>
    <w:basedOn w:val="Normal"/>
    <w:rsid w:val="00572BE7"/>
    <w:pPr>
      <w:framePr w:w="4680" w:h="1977" w:hRule="exact" w:hSpace="187" w:wrap="auto" w:vAnchor="page" w:hAnchor="page" w:x="1155" w:y="12605" w:anchorLock="1"/>
      <w:spacing w:line="240" w:lineRule="auto"/>
      <w:ind w:firstLine="0"/>
      <w:jc w:val="both"/>
    </w:pPr>
    <w:rPr>
      <w:rFonts w:eastAsia="Times New Roman" w:cs="Times New Roman"/>
      <w:sz w:val="16"/>
      <w:szCs w:val="20"/>
      <w:lang w:val="en-US"/>
    </w:rPr>
  </w:style>
  <w:style w:type="paragraph" w:customStyle="1" w:styleId="cell">
    <w:name w:val="cell"/>
    <w:basedOn w:val="Normal"/>
    <w:rsid w:val="00572BE7"/>
    <w:pPr>
      <w:keepNext/>
      <w:keepLines/>
      <w:spacing w:after="120" w:line="240" w:lineRule="auto"/>
      <w:ind w:firstLine="0"/>
      <w:jc w:val="center"/>
    </w:pPr>
    <w:rPr>
      <w:rFonts w:eastAsia="Times New Roman" w:cs="Times New Roman"/>
      <w:b/>
      <w:sz w:val="20"/>
      <w:szCs w:val="20"/>
      <w:lang w:val="en-US"/>
    </w:rPr>
  </w:style>
  <w:style w:type="character" w:customStyle="1" w:styleId="v8n000000">
    <w:name w:val="v8n000000"/>
    <w:basedOn w:val="DefaultParagraphFont"/>
    <w:rsid w:val="00572BE7"/>
  </w:style>
  <w:style w:type="paragraph" w:customStyle="1" w:styleId="TableText">
    <w:name w:val="Table Text"/>
    <w:basedOn w:val="Normal"/>
    <w:rsid w:val="00BE0256"/>
    <w:pPr>
      <w:keepLines/>
      <w:spacing w:before="40" w:after="40" w:line="240" w:lineRule="auto"/>
      <w:ind w:left="57" w:hanging="57"/>
    </w:pPr>
    <w:rPr>
      <w:rFonts w:eastAsia="Times New Roman" w:cs="Times New Roman"/>
      <w:sz w:val="22"/>
      <w:szCs w:val="20"/>
      <w:lang w:val="en-US"/>
    </w:rPr>
  </w:style>
  <w:style w:type="character" w:styleId="FollowedHyperlink">
    <w:name w:val="FollowedHyperlink"/>
    <w:rsid w:val="00572BE7"/>
    <w:rPr>
      <w:color w:val="800080"/>
      <w:u w:val="single"/>
    </w:rPr>
  </w:style>
  <w:style w:type="character" w:customStyle="1" w:styleId="q">
    <w:name w:val="q"/>
    <w:basedOn w:val="DefaultParagraphFont"/>
    <w:rsid w:val="00572BE7"/>
  </w:style>
  <w:style w:type="character" w:customStyle="1" w:styleId="MediumGrid1-Accent4Char">
    <w:name w:val="Medium Grid 1 - Accent 4 Char"/>
    <w:link w:val="MediumGrid1-Accent4"/>
    <w:uiPriority w:val="29"/>
    <w:rsid w:val="00572BE7"/>
    <w:rPr>
      <w:rFonts w:eastAsia="Times New Roman"/>
      <w:i/>
      <w:iCs/>
      <w:color w:val="000000"/>
      <w:lang w:val="en-US"/>
    </w:rPr>
  </w:style>
  <w:style w:type="table" w:styleId="MediumGrid1-Accent4">
    <w:name w:val="Medium Grid 1 Accent 4"/>
    <w:basedOn w:val="TableNormal"/>
    <w:link w:val="MediumGrid1-Accent4Char"/>
    <w:uiPriority w:val="29"/>
    <w:rsid w:val="00572BE7"/>
    <w:rPr>
      <w:rFonts w:eastAsia="Times New Roman"/>
      <w:i/>
      <w:iCs/>
      <w:color w:val="00000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lastRow">
      <w:tblPr/>
      <w:tcPr>
        <w:tcBorders>
          <w:top w:val="single" w:sz="18" w:space="0" w:color="9F8AB9" w:themeColor="accent4" w:themeTint="BF"/>
        </w:tcBorders>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PlaceholderText">
    <w:name w:val="Placeholder Text"/>
    <w:basedOn w:val="DefaultParagraphFont"/>
    <w:uiPriority w:val="99"/>
    <w:semiHidden/>
    <w:rsid w:val="00DD2764"/>
    <w:rPr>
      <w:color w:val="808080"/>
    </w:rPr>
  </w:style>
  <w:style w:type="paragraph" w:styleId="BodyText">
    <w:name w:val="Body Text"/>
    <w:basedOn w:val="Normal"/>
    <w:link w:val="BodyTextChar"/>
    <w:uiPriority w:val="99"/>
    <w:semiHidden/>
    <w:unhideWhenUsed/>
    <w:rsid w:val="009503F5"/>
    <w:pPr>
      <w:spacing w:after="120"/>
      <w:ind w:firstLine="0"/>
    </w:pPr>
    <w:rPr>
      <w:sz w:val="22"/>
    </w:rPr>
  </w:style>
  <w:style w:type="character" w:customStyle="1" w:styleId="BodyTextChar">
    <w:name w:val="Body Text Char"/>
    <w:basedOn w:val="DefaultParagraphFont"/>
    <w:link w:val="BodyText"/>
    <w:uiPriority w:val="99"/>
    <w:semiHidden/>
    <w:rsid w:val="009503F5"/>
    <w:rPr>
      <w:rFonts w:ascii="Times" w:hAnsi="Times"/>
      <w:sz w:val="22"/>
      <w:lang w:val="en-CA"/>
    </w:rPr>
  </w:style>
  <w:style w:type="paragraph" w:customStyle="1" w:styleId="TableList">
    <w:name w:val="Table List"/>
    <w:basedOn w:val="ListParagraph"/>
    <w:qFormat/>
    <w:rsid w:val="00536F6A"/>
    <w:pPr>
      <w:widowControl w:val="0"/>
      <w:numPr>
        <w:numId w:val="13"/>
      </w:numPr>
      <w:spacing w:before="120" w:after="120" w:line="360" w:lineRule="auto"/>
    </w:pPr>
    <w:rPr>
      <w:szCs w:val="20"/>
    </w:rPr>
  </w:style>
  <w:style w:type="paragraph" w:customStyle="1" w:styleId="AppendixHeading">
    <w:name w:val="Appendix Heading"/>
    <w:qFormat/>
    <w:rsid w:val="00536F6A"/>
    <w:pPr>
      <w:numPr>
        <w:numId w:val="9"/>
      </w:numPr>
    </w:pPr>
    <w:rPr>
      <w:rFonts w:asciiTheme="majorHAnsi" w:eastAsiaTheme="majorEastAsia" w:hAnsiTheme="majorHAnsi" w:cstheme="majorBidi"/>
      <w:b/>
      <w:bCs/>
      <w:caps/>
      <w:color w:val="345A8A" w:themeColor="accent1" w:themeShade="B5"/>
      <w:sz w:val="30"/>
      <w:szCs w:val="32"/>
      <w:lang w:val="en-CA"/>
    </w:rPr>
  </w:style>
  <w:style w:type="paragraph" w:customStyle="1" w:styleId="Basictext">
    <w:name w:val="Basic text"/>
    <w:link w:val="BasictextChar"/>
    <w:rsid w:val="0088127F"/>
    <w:pPr>
      <w:spacing w:before="120"/>
      <w:jc w:val="both"/>
    </w:pPr>
    <w:rPr>
      <w:rFonts w:ascii="Times New Roman" w:eastAsia="Times New Roman" w:hAnsi="Times New Roman" w:cs="Arial"/>
      <w:color w:val="000000"/>
      <w:sz w:val="22"/>
      <w:szCs w:val="15"/>
      <w:lang w:val="en-GB" w:bidi="en-US"/>
    </w:rPr>
  </w:style>
  <w:style w:type="character" w:customStyle="1" w:styleId="BasictextChar">
    <w:name w:val="Basic text Char"/>
    <w:basedOn w:val="DefaultParagraphFont"/>
    <w:link w:val="Basictext"/>
    <w:rsid w:val="0088127F"/>
    <w:rPr>
      <w:rFonts w:ascii="Times New Roman" w:eastAsia="Times New Roman" w:hAnsi="Times New Roman" w:cs="Arial"/>
      <w:color w:val="000000"/>
      <w:sz w:val="22"/>
      <w:szCs w:val="15"/>
      <w:lang w:val="en-GB"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0"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Note Heading"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697"/>
    <w:pPr>
      <w:spacing w:line="480" w:lineRule="auto"/>
      <w:ind w:firstLine="720"/>
    </w:pPr>
    <w:rPr>
      <w:rFonts w:ascii="Times" w:hAnsi="Times"/>
      <w:lang w:val="en-CA"/>
    </w:rPr>
  </w:style>
  <w:style w:type="paragraph" w:styleId="Heading1">
    <w:name w:val="heading 1"/>
    <w:basedOn w:val="Normal"/>
    <w:next w:val="Normal"/>
    <w:link w:val="Heading1Char"/>
    <w:uiPriority w:val="9"/>
    <w:qFormat/>
    <w:rsid w:val="00536F6A"/>
    <w:pPr>
      <w:keepNext/>
      <w:keepLines/>
      <w:numPr>
        <w:numId w:val="31"/>
      </w:numPr>
      <w:spacing w:before="480" w:line="360" w:lineRule="auto"/>
      <w:outlineLvl w:val="0"/>
    </w:pPr>
    <w:rPr>
      <w:rFonts w:asciiTheme="majorHAnsi" w:eastAsiaTheme="majorEastAsia" w:hAnsiTheme="majorHAnsi" w:cstheme="majorBidi"/>
      <w:b/>
      <w:bCs/>
      <w:caps/>
      <w:color w:val="345A8A" w:themeColor="accent1" w:themeShade="B5"/>
      <w:sz w:val="30"/>
      <w:szCs w:val="32"/>
    </w:rPr>
  </w:style>
  <w:style w:type="paragraph" w:styleId="Heading2">
    <w:name w:val="heading 2"/>
    <w:next w:val="Normal"/>
    <w:link w:val="Heading2Char"/>
    <w:autoRedefine/>
    <w:uiPriority w:val="9"/>
    <w:unhideWhenUsed/>
    <w:qFormat/>
    <w:rsid w:val="00536F6A"/>
    <w:pPr>
      <w:keepNext/>
      <w:keepLines/>
      <w:numPr>
        <w:ilvl w:val="1"/>
        <w:numId w:val="31"/>
      </w:numPr>
      <w:spacing w:before="200" w:line="480" w:lineRule="auto"/>
      <w:outlineLvl w:val="1"/>
    </w:pPr>
    <w:rPr>
      <w:rFonts w:asciiTheme="majorHAnsi" w:eastAsiaTheme="majorEastAsia" w:hAnsiTheme="majorHAnsi" w:cstheme="majorBidi"/>
      <w:b/>
      <w:bCs/>
      <w:color w:val="4F81BD" w:themeColor="accent1"/>
      <w:sz w:val="28"/>
      <w:szCs w:val="26"/>
      <w:lang w:val="en-CA"/>
    </w:rPr>
  </w:style>
  <w:style w:type="paragraph" w:styleId="Heading3">
    <w:name w:val="heading 3"/>
    <w:basedOn w:val="Normal"/>
    <w:next w:val="Normal"/>
    <w:link w:val="Heading3Char"/>
    <w:uiPriority w:val="9"/>
    <w:unhideWhenUsed/>
    <w:qFormat/>
    <w:rsid w:val="00536F6A"/>
    <w:pPr>
      <w:keepNext/>
      <w:keepLines/>
      <w:numPr>
        <w:ilvl w:val="2"/>
        <w:numId w:val="31"/>
      </w:numPr>
      <w:spacing w:before="200"/>
      <w:outlineLvl w:val="2"/>
    </w:pPr>
    <w:rPr>
      <w:rFonts w:asciiTheme="majorHAnsi" w:eastAsiaTheme="majorEastAsia" w:hAnsiTheme="majorHAnsi" w:cstheme="majorBidi"/>
      <w:b/>
      <w:bCs/>
      <w:color w:val="4F81BD" w:themeColor="accent1"/>
      <w:sz w:val="26"/>
    </w:rPr>
  </w:style>
  <w:style w:type="paragraph" w:styleId="Heading4">
    <w:name w:val="heading 4"/>
    <w:basedOn w:val="Normal"/>
    <w:next w:val="Normal"/>
    <w:link w:val="Heading4Char"/>
    <w:unhideWhenUsed/>
    <w:qFormat/>
    <w:rsid w:val="00C32C4E"/>
    <w:pPr>
      <w:keepNext/>
      <w:keepLines/>
      <w:spacing w:before="200"/>
      <w:ind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536F6A"/>
    <w:pPr>
      <w:widowControl w:val="0"/>
      <w:spacing w:before="240" w:after="60"/>
      <w:ind w:firstLine="0"/>
      <w:jc w:val="both"/>
      <w:outlineLvl w:val="4"/>
    </w:pPr>
    <w:rPr>
      <w:rFonts w:ascii="Times New Roman" w:eastAsia="Times New Roman" w:hAnsi="Times New Roman" w:cs="Times New Roman"/>
      <w:b/>
      <w:i/>
      <w:sz w:val="22"/>
      <w:szCs w:val="20"/>
    </w:rPr>
  </w:style>
  <w:style w:type="paragraph" w:styleId="Heading6">
    <w:name w:val="heading 6"/>
    <w:basedOn w:val="Normal"/>
    <w:next w:val="Normal"/>
    <w:link w:val="Heading6Char"/>
    <w:qFormat/>
    <w:rsid w:val="00536F6A"/>
    <w:pPr>
      <w:numPr>
        <w:ilvl w:val="5"/>
        <w:numId w:val="31"/>
      </w:numPr>
      <w:spacing w:before="240" w:after="60" w:line="240" w:lineRule="auto"/>
      <w:jc w:val="both"/>
      <w:outlineLvl w:val="5"/>
    </w:pPr>
    <w:rPr>
      <w:rFonts w:eastAsia="Times New Roman" w:cs="Times New Roman"/>
      <w:b/>
      <w:sz w:val="22"/>
      <w:szCs w:val="20"/>
      <w:lang w:val="en-US"/>
    </w:rPr>
  </w:style>
  <w:style w:type="paragraph" w:styleId="Heading7">
    <w:name w:val="heading 7"/>
    <w:basedOn w:val="Normal"/>
    <w:next w:val="Normal"/>
    <w:link w:val="Heading7Char"/>
    <w:qFormat/>
    <w:rsid w:val="00536F6A"/>
    <w:pPr>
      <w:numPr>
        <w:ilvl w:val="6"/>
        <w:numId w:val="31"/>
      </w:numPr>
      <w:spacing w:before="240" w:after="60" w:line="240" w:lineRule="auto"/>
      <w:jc w:val="both"/>
      <w:outlineLvl w:val="6"/>
    </w:pPr>
    <w:rPr>
      <w:rFonts w:eastAsia="Times New Roman" w:cs="Times New Roman"/>
      <w:sz w:val="20"/>
      <w:szCs w:val="20"/>
      <w:lang w:val="en-US"/>
    </w:rPr>
  </w:style>
  <w:style w:type="paragraph" w:styleId="Heading8">
    <w:name w:val="heading 8"/>
    <w:basedOn w:val="Normal"/>
    <w:next w:val="Normal"/>
    <w:link w:val="Heading8Char"/>
    <w:qFormat/>
    <w:rsid w:val="00536F6A"/>
    <w:pPr>
      <w:numPr>
        <w:ilvl w:val="7"/>
        <w:numId w:val="31"/>
      </w:numPr>
      <w:spacing w:before="240" w:after="60" w:line="240" w:lineRule="auto"/>
      <w:jc w:val="both"/>
      <w:outlineLvl w:val="7"/>
    </w:pPr>
    <w:rPr>
      <w:rFonts w:eastAsia="Times New Roman" w:cs="Times New Roman"/>
      <w:i/>
      <w:sz w:val="20"/>
      <w:szCs w:val="20"/>
      <w:lang w:val="en-US"/>
    </w:rPr>
  </w:style>
  <w:style w:type="paragraph" w:styleId="Heading9">
    <w:name w:val="heading 9"/>
    <w:basedOn w:val="Normal"/>
    <w:next w:val="Normal"/>
    <w:link w:val="Heading9Char"/>
    <w:qFormat/>
    <w:rsid w:val="00536F6A"/>
    <w:pPr>
      <w:numPr>
        <w:ilvl w:val="8"/>
        <w:numId w:val="31"/>
      </w:numPr>
      <w:spacing w:before="240" w:after="60" w:line="240" w:lineRule="auto"/>
      <w:jc w:val="both"/>
      <w:outlineLvl w:val="8"/>
    </w:pPr>
    <w:rPr>
      <w:rFonts w:ascii="Arial" w:eastAsia="Times New Roman" w:hAnsi="Arial" w:cs="Times New Roman"/>
      <w:sz w:val="2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F6A"/>
    <w:rPr>
      <w:rFonts w:asciiTheme="majorHAnsi" w:eastAsiaTheme="majorEastAsia" w:hAnsiTheme="majorHAnsi" w:cstheme="majorBidi"/>
      <w:b/>
      <w:bCs/>
      <w:caps/>
      <w:color w:val="345A8A" w:themeColor="accent1" w:themeShade="B5"/>
      <w:sz w:val="30"/>
      <w:szCs w:val="32"/>
      <w:lang w:val="en-CA"/>
    </w:rPr>
  </w:style>
  <w:style w:type="character" w:styleId="CommentReference">
    <w:name w:val="annotation reference"/>
    <w:basedOn w:val="DefaultParagraphFont"/>
    <w:uiPriority w:val="99"/>
    <w:unhideWhenUsed/>
    <w:rsid w:val="005F6133"/>
    <w:rPr>
      <w:sz w:val="18"/>
      <w:szCs w:val="18"/>
    </w:rPr>
  </w:style>
  <w:style w:type="paragraph" w:styleId="CommentText">
    <w:name w:val="annotation text"/>
    <w:basedOn w:val="Normal"/>
    <w:link w:val="CommentTextChar"/>
    <w:uiPriority w:val="99"/>
    <w:semiHidden/>
    <w:unhideWhenUsed/>
    <w:rsid w:val="005F6133"/>
    <w:pPr>
      <w:spacing w:line="240" w:lineRule="auto"/>
    </w:pPr>
  </w:style>
  <w:style w:type="character" w:customStyle="1" w:styleId="CommentTextChar">
    <w:name w:val="Comment Text Char"/>
    <w:basedOn w:val="DefaultParagraphFont"/>
    <w:link w:val="CommentText"/>
    <w:uiPriority w:val="99"/>
    <w:semiHidden/>
    <w:rsid w:val="005F6133"/>
    <w:rPr>
      <w:rFonts w:ascii="Times" w:hAnsi="Times"/>
      <w:lang w:val="en-CA"/>
    </w:rPr>
  </w:style>
  <w:style w:type="paragraph" w:styleId="CommentSubject">
    <w:name w:val="annotation subject"/>
    <w:basedOn w:val="CommentText"/>
    <w:next w:val="CommentText"/>
    <w:link w:val="CommentSubjectChar"/>
    <w:uiPriority w:val="99"/>
    <w:semiHidden/>
    <w:unhideWhenUsed/>
    <w:rsid w:val="005F6133"/>
    <w:rPr>
      <w:b/>
      <w:bCs/>
      <w:sz w:val="20"/>
      <w:szCs w:val="20"/>
    </w:rPr>
  </w:style>
  <w:style w:type="character" w:customStyle="1" w:styleId="CommentSubjectChar">
    <w:name w:val="Comment Subject Char"/>
    <w:basedOn w:val="CommentTextChar"/>
    <w:link w:val="CommentSubject"/>
    <w:uiPriority w:val="99"/>
    <w:semiHidden/>
    <w:rsid w:val="005F6133"/>
    <w:rPr>
      <w:rFonts w:ascii="Times" w:hAnsi="Times"/>
      <w:b/>
      <w:bCs/>
      <w:sz w:val="20"/>
      <w:szCs w:val="20"/>
      <w:lang w:val="en-CA"/>
    </w:rPr>
  </w:style>
  <w:style w:type="paragraph" w:styleId="BalloonText">
    <w:name w:val="Balloon Text"/>
    <w:basedOn w:val="Normal"/>
    <w:link w:val="BalloonTextChar"/>
    <w:uiPriority w:val="99"/>
    <w:semiHidden/>
    <w:unhideWhenUsed/>
    <w:rsid w:val="005F61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133"/>
    <w:rPr>
      <w:rFonts w:ascii="Lucida Grande" w:hAnsi="Lucida Grande" w:cs="Lucida Grande"/>
      <w:sz w:val="18"/>
      <w:szCs w:val="18"/>
      <w:lang w:val="en-CA"/>
    </w:rPr>
  </w:style>
  <w:style w:type="character" w:customStyle="1" w:styleId="Heading2Char">
    <w:name w:val="Heading 2 Char"/>
    <w:basedOn w:val="DefaultParagraphFont"/>
    <w:link w:val="Heading2"/>
    <w:uiPriority w:val="9"/>
    <w:rsid w:val="00536F6A"/>
    <w:rPr>
      <w:rFonts w:asciiTheme="majorHAnsi" w:eastAsiaTheme="majorEastAsia" w:hAnsiTheme="majorHAnsi" w:cstheme="majorBidi"/>
      <w:b/>
      <w:bCs/>
      <w:color w:val="4F81BD" w:themeColor="accent1"/>
      <w:sz w:val="28"/>
      <w:szCs w:val="26"/>
      <w:lang w:val="en-CA"/>
    </w:rPr>
  </w:style>
  <w:style w:type="character" w:customStyle="1" w:styleId="Heading3Char">
    <w:name w:val="Heading 3 Char"/>
    <w:basedOn w:val="DefaultParagraphFont"/>
    <w:link w:val="Heading3"/>
    <w:uiPriority w:val="9"/>
    <w:rsid w:val="00536F6A"/>
    <w:rPr>
      <w:rFonts w:asciiTheme="majorHAnsi" w:eastAsiaTheme="majorEastAsia" w:hAnsiTheme="majorHAnsi" w:cstheme="majorBidi"/>
      <w:b/>
      <w:bCs/>
      <w:color w:val="4F81BD" w:themeColor="accent1"/>
      <w:sz w:val="26"/>
      <w:lang w:val="en-CA"/>
    </w:rPr>
  </w:style>
  <w:style w:type="paragraph" w:styleId="Quote">
    <w:name w:val="Quote"/>
    <w:basedOn w:val="Normal"/>
    <w:next w:val="Normal"/>
    <w:link w:val="QuoteChar"/>
    <w:uiPriority w:val="29"/>
    <w:qFormat/>
    <w:rsid w:val="00364130"/>
    <w:pPr>
      <w:ind w:left="720" w:right="720" w:firstLine="0"/>
      <w:jc w:val="both"/>
    </w:pPr>
    <w:rPr>
      <w:i/>
      <w:iCs/>
      <w:color w:val="000000" w:themeColor="text1"/>
    </w:rPr>
  </w:style>
  <w:style w:type="character" w:customStyle="1" w:styleId="QuoteChar">
    <w:name w:val="Quote Char"/>
    <w:basedOn w:val="DefaultParagraphFont"/>
    <w:link w:val="Quote"/>
    <w:uiPriority w:val="29"/>
    <w:rsid w:val="00364130"/>
    <w:rPr>
      <w:rFonts w:ascii="Times" w:hAnsi="Times"/>
      <w:i/>
      <w:iCs/>
      <w:color w:val="000000" w:themeColor="text1"/>
      <w:lang w:val="en-CA"/>
    </w:rPr>
  </w:style>
  <w:style w:type="paragraph" w:styleId="FootnoteText">
    <w:name w:val="footnote text"/>
    <w:basedOn w:val="Normal"/>
    <w:link w:val="FootnoteTextChar"/>
    <w:uiPriority w:val="99"/>
    <w:unhideWhenUsed/>
    <w:rsid w:val="00FC6EAB"/>
    <w:pPr>
      <w:spacing w:line="240" w:lineRule="auto"/>
    </w:pPr>
  </w:style>
  <w:style w:type="character" w:customStyle="1" w:styleId="FootnoteTextChar">
    <w:name w:val="Footnote Text Char"/>
    <w:basedOn w:val="DefaultParagraphFont"/>
    <w:link w:val="FootnoteText"/>
    <w:uiPriority w:val="99"/>
    <w:rsid w:val="00FC6EAB"/>
    <w:rPr>
      <w:rFonts w:ascii="Times" w:hAnsi="Times"/>
      <w:lang w:val="en-CA"/>
    </w:rPr>
  </w:style>
  <w:style w:type="character" w:styleId="FootnoteReference">
    <w:name w:val="footnote reference"/>
    <w:basedOn w:val="DefaultParagraphFont"/>
    <w:uiPriority w:val="99"/>
    <w:unhideWhenUsed/>
    <w:rsid w:val="00FC6EAB"/>
    <w:rPr>
      <w:vertAlign w:val="superscript"/>
    </w:rPr>
  </w:style>
  <w:style w:type="paragraph" w:styleId="Caption">
    <w:name w:val="caption"/>
    <w:basedOn w:val="Normal"/>
    <w:next w:val="Normal"/>
    <w:autoRedefine/>
    <w:unhideWhenUsed/>
    <w:qFormat/>
    <w:rsid w:val="00C92D78"/>
    <w:pPr>
      <w:keepNext/>
      <w:spacing w:before="120" w:after="360" w:line="240" w:lineRule="auto"/>
      <w:ind w:firstLine="0"/>
      <w:jc w:val="center"/>
    </w:pPr>
    <w:rPr>
      <w:sz w:val="22"/>
      <w:szCs w:val="18"/>
    </w:rPr>
  </w:style>
  <w:style w:type="paragraph" w:customStyle="1" w:styleId="Figure">
    <w:name w:val="Figure"/>
    <w:qFormat/>
    <w:rsid w:val="00DF699F"/>
    <w:pPr>
      <w:keepNext/>
      <w:jc w:val="center"/>
    </w:pPr>
    <w:rPr>
      <w:rFonts w:ascii="Times" w:hAnsi="Times"/>
      <w:b/>
      <w:noProof/>
      <w:sz w:val="22"/>
    </w:rPr>
  </w:style>
  <w:style w:type="paragraph" w:styleId="NormalWeb">
    <w:name w:val="Normal (Web)"/>
    <w:basedOn w:val="Normal"/>
    <w:uiPriority w:val="99"/>
    <w:unhideWhenUsed/>
    <w:rsid w:val="00E43775"/>
    <w:pPr>
      <w:spacing w:before="100" w:beforeAutospacing="1" w:after="100" w:afterAutospacing="1" w:line="240" w:lineRule="auto"/>
      <w:ind w:firstLine="0"/>
    </w:pPr>
    <w:rPr>
      <w:rFonts w:cs="Times New Roman"/>
      <w:sz w:val="20"/>
      <w:szCs w:val="20"/>
      <w:lang w:val="en-GB"/>
    </w:rPr>
  </w:style>
  <w:style w:type="character" w:customStyle="1" w:styleId="Heading4Char">
    <w:name w:val="Heading 4 Char"/>
    <w:basedOn w:val="DefaultParagraphFont"/>
    <w:link w:val="Heading4"/>
    <w:rsid w:val="00473DDA"/>
    <w:rPr>
      <w:rFonts w:asciiTheme="majorHAnsi" w:eastAsiaTheme="majorEastAsia" w:hAnsiTheme="majorHAnsi" w:cstheme="majorBidi"/>
      <w:b/>
      <w:bCs/>
      <w:i/>
      <w:iCs/>
      <w:color w:val="4F81BD" w:themeColor="accent1"/>
      <w:lang w:val="en-CA"/>
    </w:rPr>
  </w:style>
  <w:style w:type="paragraph" w:styleId="Footer">
    <w:name w:val="footer"/>
    <w:basedOn w:val="Normal"/>
    <w:link w:val="FooterChar"/>
    <w:uiPriority w:val="99"/>
    <w:unhideWhenUsed/>
    <w:rsid w:val="00B43514"/>
    <w:pPr>
      <w:tabs>
        <w:tab w:val="center" w:pos="4320"/>
        <w:tab w:val="right" w:pos="8640"/>
      </w:tabs>
      <w:spacing w:line="240" w:lineRule="auto"/>
    </w:pPr>
  </w:style>
  <w:style w:type="character" w:customStyle="1" w:styleId="FooterChar">
    <w:name w:val="Footer Char"/>
    <w:basedOn w:val="DefaultParagraphFont"/>
    <w:link w:val="Footer"/>
    <w:uiPriority w:val="99"/>
    <w:rsid w:val="00B43514"/>
    <w:rPr>
      <w:rFonts w:ascii="Times" w:hAnsi="Times"/>
      <w:lang w:val="en-CA"/>
    </w:rPr>
  </w:style>
  <w:style w:type="character" w:styleId="PageNumber">
    <w:name w:val="page number"/>
    <w:basedOn w:val="DefaultParagraphFont"/>
    <w:uiPriority w:val="99"/>
    <w:unhideWhenUsed/>
    <w:rsid w:val="00B43514"/>
  </w:style>
  <w:style w:type="character" w:customStyle="1" w:styleId="Heading5Char">
    <w:name w:val="Heading 5 Char"/>
    <w:basedOn w:val="DefaultParagraphFont"/>
    <w:link w:val="Heading5"/>
    <w:rsid w:val="00536F6A"/>
    <w:rPr>
      <w:rFonts w:ascii="Times New Roman" w:eastAsia="Times New Roman" w:hAnsi="Times New Roman" w:cs="Times New Roman"/>
      <w:b/>
      <w:i/>
      <w:sz w:val="22"/>
      <w:szCs w:val="20"/>
      <w:lang w:val="en-CA"/>
    </w:rPr>
  </w:style>
  <w:style w:type="paragraph" w:customStyle="1" w:styleId="Hypothesis">
    <w:name w:val="Hypothesis"/>
    <w:basedOn w:val="Normal"/>
    <w:qFormat/>
    <w:rsid w:val="004666DB"/>
    <w:pPr>
      <w:widowControl w:val="0"/>
      <w:spacing w:before="120" w:after="120"/>
      <w:ind w:left="720"/>
    </w:pPr>
    <w:rPr>
      <w:lang w:val="en-US"/>
    </w:rPr>
  </w:style>
  <w:style w:type="table" w:styleId="LightList-Accent1">
    <w:name w:val="Light List Accent 1"/>
    <w:basedOn w:val="TableNormal"/>
    <w:uiPriority w:val="61"/>
    <w:rsid w:val="00EF3A2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536F6A"/>
    <w:pPr>
      <w:numPr>
        <w:numId w:val="27"/>
      </w:numPr>
      <w:contextualSpacing/>
    </w:pPr>
  </w:style>
  <w:style w:type="table" w:styleId="TableGrid">
    <w:name w:val="Table Grid"/>
    <w:basedOn w:val="TableNormal"/>
    <w:uiPriority w:val="59"/>
    <w:rsid w:val="003B61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xt">
    <w:name w:val="Table Context"/>
    <w:basedOn w:val="Normal"/>
    <w:qFormat/>
    <w:rsid w:val="00620542"/>
    <w:pPr>
      <w:widowControl w:val="0"/>
      <w:spacing w:before="120" w:after="120" w:line="240" w:lineRule="auto"/>
      <w:ind w:firstLine="0"/>
      <w:jc w:val="center"/>
    </w:pPr>
    <w:rPr>
      <w:sz w:val="22"/>
      <w:szCs w:val="20"/>
      <w:lang w:val="en-US"/>
    </w:rPr>
  </w:style>
  <w:style w:type="paragraph" w:styleId="Title">
    <w:name w:val="Title"/>
    <w:link w:val="TitleChar"/>
    <w:qFormat/>
    <w:rsid w:val="003A3017"/>
    <w:pPr>
      <w:spacing w:before="100" w:beforeAutospacing="1" w:after="120" w:line="480" w:lineRule="auto"/>
      <w:jc w:val="center"/>
      <w:outlineLvl w:val="0"/>
    </w:pPr>
    <w:rPr>
      <w:rFonts w:ascii="Times" w:eastAsia="Times New Roman" w:hAnsi="Times" w:cs="Times New Roman"/>
      <w:b/>
      <w:kern w:val="28"/>
      <w:sz w:val="32"/>
      <w:szCs w:val="20"/>
      <w:lang w:val="en-CA"/>
    </w:rPr>
  </w:style>
  <w:style w:type="character" w:customStyle="1" w:styleId="TitleChar">
    <w:name w:val="Title Char"/>
    <w:basedOn w:val="DefaultParagraphFont"/>
    <w:link w:val="Title"/>
    <w:rsid w:val="003A3017"/>
    <w:rPr>
      <w:rFonts w:ascii="Times" w:eastAsia="Times New Roman" w:hAnsi="Times" w:cs="Times New Roman"/>
      <w:b/>
      <w:kern w:val="28"/>
      <w:sz w:val="32"/>
      <w:szCs w:val="20"/>
      <w:lang w:val="en-CA"/>
    </w:rPr>
  </w:style>
  <w:style w:type="paragraph" w:styleId="Revision">
    <w:name w:val="Revision"/>
    <w:hidden/>
    <w:uiPriority w:val="99"/>
    <w:semiHidden/>
    <w:rsid w:val="004666DB"/>
    <w:rPr>
      <w:rFonts w:ascii="Times" w:hAnsi="Times"/>
      <w:lang w:val="en-CA"/>
    </w:rPr>
  </w:style>
  <w:style w:type="character" w:customStyle="1" w:styleId="Heading6Char">
    <w:name w:val="Heading 6 Char"/>
    <w:basedOn w:val="DefaultParagraphFont"/>
    <w:link w:val="Heading6"/>
    <w:rsid w:val="00536F6A"/>
    <w:rPr>
      <w:rFonts w:ascii="Times" w:eastAsia="Times New Roman" w:hAnsi="Times" w:cs="Times New Roman"/>
      <w:b/>
      <w:sz w:val="22"/>
      <w:szCs w:val="20"/>
    </w:rPr>
  </w:style>
  <w:style w:type="character" w:customStyle="1" w:styleId="Heading7Char">
    <w:name w:val="Heading 7 Char"/>
    <w:basedOn w:val="DefaultParagraphFont"/>
    <w:link w:val="Heading7"/>
    <w:rsid w:val="00536F6A"/>
    <w:rPr>
      <w:rFonts w:ascii="Times" w:eastAsia="Times New Roman" w:hAnsi="Times" w:cs="Times New Roman"/>
      <w:sz w:val="20"/>
      <w:szCs w:val="20"/>
    </w:rPr>
  </w:style>
  <w:style w:type="character" w:customStyle="1" w:styleId="Heading8Char">
    <w:name w:val="Heading 8 Char"/>
    <w:basedOn w:val="DefaultParagraphFont"/>
    <w:link w:val="Heading8"/>
    <w:rsid w:val="00536F6A"/>
    <w:rPr>
      <w:rFonts w:ascii="Times" w:eastAsia="Times New Roman" w:hAnsi="Times" w:cs="Times New Roman"/>
      <w:i/>
      <w:sz w:val="20"/>
      <w:szCs w:val="20"/>
    </w:rPr>
  </w:style>
  <w:style w:type="character" w:customStyle="1" w:styleId="Heading9Char">
    <w:name w:val="Heading 9 Char"/>
    <w:basedOn w:val="DefaultParagraphFont"/>
    <w:link w:val="Heading9"/>
    <w:rsid w:val="00536F6A"/>
    <w:rPr>
      <w:rFonts w:ascii="Arial" w:eastAsia="Times New Roman" w:hAnsi="Arial" w:cs="Times New Roman"/>
      <w:sz w:val="22"/>
      <w:szCs w:val="20"/>
    </w:rPr>
  </w:style>
  <w:style w:type="paragraph" w:styleId="Header">
    <w:name w:val="header"/>
    <w:basedOn w:val="Normal"/>
    <w:link w:val="HeaderChar"/>
    <w:rsid w:val="00572BE7"/>
    <w:pPr>
      <w:tabs>
        <w:tab w:val="center" w:pos="4320"/>
        <w:tab w:val="right" w:pos="8640"/>
      </w:tabs>
      <w:spacing w:after="120" w:line="240" w:lineRule="auto"/>
      <w:ind w:firstLine="0"/>
      <w:jc w:val="both"/>
    </w:pPr>
    <w:rPr>
      <w:rFonts w:ascii="Arial" w:eastAsia="Times New Roman" w:hAnsi="Arial" w:cs="Times New Roman"/>
      <w:sz w:val="20"/>
      <w:szCs w:val="20"/>
      <w:lang w:val="en-US"/>
    </w:rPr>
  </w:style>
  <w:style w:type="character" w:customStyle="1" w:styleId="HeaderChar">
    <w:name w:val="Header Char"/>
    <w:basedOn w:val="DefaultParagraphFont"/>
    <w:link w:val="Header"/>
    <w:rsid w:val="00572BE7"/>
    <w:rPr>
      <w:rFonts w:ascii="Arial" w:eastAsia="Times New Roman" w:hAnsi="Arial" w:cs="Times New Roman"/>
      <w:sz w:val="20"/>
      <w:szCs w:val="20"/>
    </w:rPr>
  </w:style>
  <w:style w:type="paragraph" w:customStyle="1" w:styleId="Author">
    <w:name w:val="Author"/>
    <w:basedOn w:val="Normal"/>
    <w:rsid w:val="00572BE7"/>
    <w:pPr>
      <w:spacing w:line="240" w:lineRule="auto"/>
      <w:ind w:firstLine="0"/>
      <w:jc w:val="center"/>
    </w:pPr>
    <w:rPr>
      <w:rFonts w:eastAsia="Times New Roman" w:cs="Times New Roman"/>
      <w:b/>
      <w:color w:val="000000"/>
      <w:szCs w:val="20"/>
      <w:lang w:val="en-US"/>
    </w:rPr>
  </w:style>
  <w:style w:type="paragraph" w:styleId="BlockText">
    <w:name w:val="Block Text"/>
    <w:basedOn w:val="Normal"/>
    <w:rsid w:val="00572BE7"/>
    <w:pPr>
      <w:spacing w:after="120" w:line="240" w:lineRule="auto"/>
      <w:ind w:left="1440" w:right="1440" w:firstLine="0"/>
      <w:jc w:val="both"/>
    </w:pPr>
    <w:rPr>
      <w:rFonts w:eastAsia="Times New Roman" w:cs="Times New Roman"/>
      <w:sz w:val="20"/>
      <w:szCs w:val="20"/>
      <w:lang w:val="en-US"/>
    </w:rPr>
  </w:style>
  <w:style w:type="paragraph" w:styleId="Closing">
    <w:name w:val="Closing"/>
    <w:basedOn w:val="Normal"/>
    <w:link w:val="ClosingChar"/>
    <w:rsid w:val="00572BE7"/>
    <w:pPr>
      <w:spacing w:after="120" w:line="240" w:lineRule="auto"/>
      <w:ind w:left="4320" w:firstLine="0"/>
      <w:jc w:val="both"/>
    </w:pPr>
    <w:rPr>
      <w:rFonts w:eastAsia="Times New Roman" w:cs="Times New Roman"/>
      <w:sz w:val="20"/>
      <w:szCs w:val="20"/>
      <w:lang w:val="en-US"/>
    </w:rPr>
  </w:style>
  <w:style w:type="character" w:customStyle="1" w:styleId="ClosingChar">
    <w:name w:val="Closing Char"/>
    <w:basedOn w:val="DefaultParagraphFont"/>
    <w:link w:val="Closing"/>
    <w:rsid w:val="00572BE7"/>
    <w:rPr>
      <w:rFonts w:ascii="Times" w:eastAsia="Times New Roman" w:hAnsi="Times" w:cs="Times New Roman"/>
      <w:sz w:val="20"/>
      <w:szCs w:val="20"/>
    </w:rPr>
  </w:style>
  <w:style w:type="paragraph" w:styleId="Date">
    <w:name w:val="Date"/>
    <w:basedOn w:val="Normal"/>
    <w:next w:val="Normal"/>
    <w:link w:val="DateChar"/>
    <w:rsid w:val="00572BE7"/>
    <w:pPr>
      <w:spacing w:after="120" w:line="240" w:lineRule="auto"/>
      <w:ind w:firstLine="0"/>
      <w:jc w:val="both"/>
    </w:pPr>
    <w:rPr>
      <w:rFonts w:eastAsia="Times New Roman" w:cs="Times New Roman"/>
      <w:sz w:val="20"/>
      <w:szCs w:val="20"/>
      <w:lang w:val="en-US"/>
    </w:rPr>
  </w:style>
  <w:style w:type="character" w:customStyle="1" w:styleId="DateChar">
    <w:name w:val="Date Char"/>
    <w:basedOn w:val="DefaultParagraphFont"/>
    <w:link w:val="Date"/>
    <w:rsid w:val="00572BE7"/>
    <w:rPr>
      <w:rFonts w:ascii="Times" w:eastAsia="Times New Roman" w:hAnsi="Times" w:cs="Times New Roman"/>
      <w:sz w:val="20"/>
      <w:szCs w:val="20"/>
    </w:rPr>
  </w:style>
  <w:style w:type="paragraph" w:styleId="DocumentMap">
    <w:name w:val="Document Map"/>
    <w:basedOn w:val="Normal"/>
    <w:link w:val="DocumentMapChar"/>
    <w:semiHidden/>
    <w:rsid w:val="00572BE7"/>
    <w:pPr>
      <w:shd w:val="clear" w:color="auto" w:fill="000080"/>
      <w:spacing w:after="120" w:line="240" w:lineRule="auto"/>
      <w:ind w:firstLine="0"/>
      <w:jc w:val="both"/>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572BE7"/>
    <w:rPr>
      <w:rFonts w:ascii="Tahoma" w:eastAsia="Times New Roman" w:hAnsi="Tahoma" w:cs="Times New Roman"/>
      <w:sz w:val="20"/>
      <w:szCs w:val="20"/>
      <w:shd w:val="clear" w:color="auto" w:fill="000080"/>
    </w:rPr>
  </w:style>
  <w:style w:type="paragraph" w:styleId="Index1">
    <w:name w:val="index 1"/>
    <w:basedOn w:val="Normal"/>
    <w:next w:val="Normal"/>
    <w:autoRedefine/>
    <w:semiHidden/>
    <w:rsid w:val="00572BE7"/>
    <w:pPr>
      <w:spacing w:after="120" w:line="240" w:lineRule="auto"/>
      <w:ind w:left="240" w:hanging="240"/>
      <w:jc w:val="both"/>
    </w:pPr>
    <w:rPr>
      <w:rFonts w:eastAsia="Times New Roman" w:cs="Times New Roman"/>
      <w:sz w:val="20"/>
      <w:szCs w:val="20"/>
      <w:lang w:val="en-US"/>
    </w:rPr>
  </w:style>
  <w:style w:type="paragraph" w:styleId="Index2">
    <w:name w:val="index 2"/>
    <w:basedOn w:val="Normal"/>
    <w:next w:val="Normal"/>
    <w:autoRedefine/>
    <w:semiHidden/>
    <w:rsid w:val="00572BE7"/>
    <w:pPr>
      <w:spacing w:after="120" w:line="240" w:lineRule="auto"/>
      <w:ind w:left="480" w:hanging="240"/>
      <w:jc w:val="both"/>
    </w:pPr>
    <w:rPr>
      <w:rFonts w:eastAsia="Times New Roman" w:cs="Times New Roman"/>
      <w:sz w:val="20"/>
      <w:szCs w:val="20"/>
      <w:lang w:val="en-US"/>
    </w:rPr>
  </w:style>
  <w:style w:type="paragraph" w:styleId="Index3">
    <w:name w:val="index 3"/>
    <w:basedOn w:val="Normal"/>
    <w:next w:val="Normal"/>
    <w:autoRedefine/>
    <w:semiHidden/>
    <w:rsid w:val="00572BE7"/>
    <w:pPr>
      <w:spacing w:after="120" w:line="240" w:lineRule="auto"/>
      <w:ind w:left="720" w:hanging="240"/>
      <w:jc w:val="both"/>
    </w:pPr>
    <w:rPr>
      <w:rFonts w:eastAsia="Times New Roman" w:cs="Times New Roman"/>
      <w:sz w:val="20"/>
      <w:szCs w:val="20"/>
      <w:lang w:val="en-US"/>
    </w:rPr>
  </w:style>
  <w:style w:type="paragraph" w:styleId="Index4">
    <w:name w:val="index 4"/>
    <w:basedOn w:val="Normal"/>
    <w:next w:val="Normal"/>
    <w:autoRedefine/>
    <w:semiHidden/>
    <w:rsid w:val="00572BE7"/>
    <w:pPr>
      <w:spacing w:after="120" w:line="240" w:lineRule="auto"/>
      <w:ind w:left="960" w:hanging="240"/>
      <w:jc w:val="both"/>
    </w:pPr>
    <w:rPr>
      <w:rFonts w:eastAsia="Times New Roman" w:cs="Times New Roman"/>
      <w:sz w:val="20"/>
      <w:szCs w:val="20"/>
      <w:lang w:val="en-US"/>
    </w:rPr>
  </w:style>
  <w:style w:type="paragraph" w:styleId="Index5">
    <w:name w:val="index 5"/>
    <w:basedOn w:val="Normal"/>
    <w:next w:val="Normal"/>
    <w:autoRedefine/>
    <w:semiHidden/>
    <w:rsid w:val="00572BE7"/>
    <w:pPr>
      <w:spacing w:after="120" w:line="240" w:lineRule="auto"/>
      <w:ind w:left="1200" w:hanging="240"/>
      <w:jc w:val="both"/>
    </w:pPr>
    <w:rPr>
      <w:rFonts w:eastAsia="Times New Roman" w:cs="Times New Roman"/>
      <w:sz w:val="20"/>
      <w:szCs w:val="20"/>
      <w:lang w:val="en-US"/>
    </w:rPr>
  </w:style>
  <w:style w:type="paragraph" w:styleId="Index6">
    <w:name w:val="index 6"/>
    <w:basedOn w:val="Normal"/>
    <w:next w:val="Normal"/>
    <w:autoRedefine/>
    <w:semiHidden/>
    <w:rsid w:val="00572BE7"/>
    <w:pPr>
      <w:spacing w:after="120" w:line="240" w:lineRule="auto"/>
      <w:ind w:left="1440" w:hanging="240"/>
      <w:jc w:val="both"/>
    </w:pPr>
    <w:rPr>
      <w:rFonts w:eastAsia="Times New Roman" w:cs="Times New Roman"/>
      <w:sz w:val="20"/>
      <w:szCs w:val="20"/>
      <w:lang w:val="en-US"/>
    </w:rPr>
  </w:style>
  <w:style w:type="paragraph" w:styleId="Index7">
    <w:name w:val="index 7"/>
    <w:basedOn w:val="Normal"/>
    <w:next w:val="Normal"/>
    <w:autoRedefine/>
    <w:semiHidden/>
    <w:rsid w:val="00572BE7"/>
    <w:pPr>
      <w:spacing w:after="120" w:line="240" w:lineRule="auto"/>
      <w:ind w:left="1680" w:hanging="240"/>
      <w:jc w:val="both"/>
    </w:pPr>
    <w:rPr>
      <w:rFonts w:eastAsia="Times New Roman" w:cs="Times New Roman"/>
      <w:sz w:val="20"/>
      <w:szCs w:val="20"/>
      <w:lang w:val="en-US"/>
    </w:rPr>
  </w:style>
  <w:style w:type="paragraph" w:styleId="Index8">
    <w:name w:val="index 8"/>
    <w:basedOn w:val="Normal"/>
    <w:next w:val="Normal"/>
    <w:autoRedefine/>
    <w:semiHidden/>
    <w:rsid w:val="00572BE7"/>
    <w:pPr>
      <w:spacing w:after="120" w:line="240" w:lineRule="auto"/>
      <w:ind w:left="1920" w:hanging="240"/>
      <w:jc w:val="both"/>
    </w:pPr>
    <w:rPr>
      <w:rFonts w:eastAsia="Times New Roman" w:cs="Times New Roman"/>
      <w:sz w:val="20"/>
      <w:szCs w:val="20"/>
      <w:lang w:val="en-US"/>
    </w:rPr>
  </w:style>
  <w:style w:type="paragraph" w:styleId="Index9">
    <w:name w:val="index 9"/>
    <w:basedOn w:val="Normal"/>
    <w:next w:val="Normal"/>
    <w:autoRedefine/>
    <w:semiHidden/>
    <w:rsid w:val="00572BE7"/>
    <w:pPr>
      <w:spacing w:after="120" w:line="240" w:lineRule="auto"/>
      <w:ind w:left="2160" w:hanging="240"/>
      <w:jc w:val="both"/>
    </w:pPr>
    <w:rPr>
      <w:rFonts w:eastAsia="Times New Roman" w:cs="Times New Roman"/>
      <w:sz w:val="20"/>
      <w:szCs w:val="20"/>
      <w:lang w:val="en-US"/>
    </w:rPr>
  </w:style>
  <w:style w:type="paragraph" w:styleId="IndexHeading">
    <w:name w:val="index heading"/>
    <w:basedOn w:val="Normal"/>
    <w:next w:val="Index1"/>
    <w:semiHidden/>
    <w:rsid w:val="00572BE7"/>
    <w:pPr>
      <w:spacing w:after="120" w:line="240" w:lineRule="auto"/>
      <w:ind w:firstLine="0"/>
      <w:jc w:val="both"/>
    </w:pPr>
    <w:rPr>
      <w:rFonts w:ascii="Arial" w:eastAsia="Times New Roman" w:hAnsi="Arial" w:cs="Times New Roman"/>
      <w:b/>
      <w:sz w:val="20"/>
      <w:szCs w:val="20"/>
      <w:lang w:val="en-US"/>
    </w:rPr>
  </w:style>
  <w:style w:type="paragraph" w:styleId="List">
    <w:name w:val="List"/>
    <w:basedOn w:val="Normal"/>
    <w:rsid w:val="00572BE7"/>
    <w:pPr>
      <w:spacing w:after="120" w:line="240" w:lineRule="auto"/>
      <w:ind w:left="360" w:hanging="360"/>
      <w:jc w:val="both"/>
    </w:pPr>
    <w:rPr>
      <w:rFonts w:eastAsia="Times New Roman" w:cs="Times New Roman"/>
      <w:sz w:val="20"/>
      <w:szCs w:val="20"/>
      <w:lang w:val="en-US"/>
    </w:rPr>
  </w:style>
  <w:style w:type="paragraph" w:styleId="List2">
    <w:name w:val="List 2"/>
    <w:basedOn w:val="Normal"/>
    <w:rsid w:val="00572BE7"/>
    <w:pPr>
      <w:spacing w:after="120" w:line="240" w:lineRule="auto"/>
      <w:ind w:left="720" w:hanging="360"/>
      <w:jc w:val="both"/>
    </w:pPr>
    <w:rPr>
      <w:rFonts w:eastAsia="Times New Roman" w:cs="Times New Roman"/>
      <w:sz w:val="20"/>
      <w:szCs w:val="20"/>
      <w:lang w:val="en-US"/>
    </w:rPr>
  </w:style>
  <w:style w:type="paragraph" w:styleId="List3">
    <w:name w:val="List 3"/>
    <w:basedOn w:val="Normal"/>
    <w:rsid w:val="00572BE7"/>
    <w:pPr>
      <w:spacing w:after="120" w:line="240" w:lineRule="auto"/>
      <w:ind w:left="1080" w:hanging="360"/>
      <w:jc w:val="both"/>
    </w:pPr>
    <w:rPr>
      <w:rFonts w:eastAsia="Times New Roman" w:cs="Times New Roman"/>
      <w:sz w:val="20"/>
      <w:szCs w:val="20"/>
      <w:lang w:val="en-US"/>
    </w:rPr>
  </w:style>
  <w:style w:type="paragraph" w:styleId="List4">
    <w:name w:val="List 4"/>
    <w:basedOn w:val="Normal"/>
    <w:rsid w:val="00572BE7"/>
    <w:pPr>
      <w:spacing w:after="120" w:line="240" w:lineRule="auto"/>
      <w:ind w:left="1440" w:hanging="360"/>
      <w:jc w:val="both"/>
    </w:pPr>
    <w:rPr>
      <w:rFonts w:eastAsia="Times New Roman" w:cs="Times New Roman"/>
      <w:sz w:val="20"/>
      <w:szCs w:val="20"/>
      <w:lang w:val="en-US"/>
    </w:rPr>
  </w:style>
  <w:style w:type="paragraph" w:styleId="List5">
    <w:name w:val="List 5"/>
    <w:basedOn w:val="Normal"/>
    <w:rsid w:val="00572BE7"/>
    <w:pPr>
      <w:spacing w:after="120" w:line="240" w:lineRule="auto"/>
      <w:ind w:left="1800" w:hanging="360"/>
      <w:jc w:val="both"/>
    </w:pPr>
    <w:rPr>
      <w:rFonts w:eastAsia="Times New Roman" w:cs="Times New Roman"/>
      <w:sz w:val="20"/>
      <w:szCs w:val="20"/>
      <w:lang w:val="en-US"/>
    </w:rPr>
  </w:style>
  <w:style w:type="paragraph" w:styleId="ListBullet">
    <w:name w:val="List Bullet"/>
    <w:basedOn w:val="Normal"/>
    <w:autoRedefine/>
    <w:rsid w:val="00572BE7"/>
    <w:pPr>
      <w:tabs>
        <w:tab w:val="num" w:pos="360"/>
      </w:tabs>
      <w:spacing w:after="120" w:line="240" w:lineRule="auto"/>
      <w:ind w:left="360" w:hanging="360"/>
      <w:jc w:val="both"/>
    </w:pPr>
    <w:rPr>
      <w:rFonts w:eastAsia="Times New Roman" w:cs="Times New Roman"/>
      <w:sz w:val="20"/>
      <w:szCs w:val="20"/>
      <w:lang w:val="en-US"/>
    </w:rPr>
  </w:style>
  <w:style w:type="paragraph" w:styleId="ListBullet2">
    <w:name w:val="List Bullet 2"/>
    <w:basedOn w:val="Normal"/>
    <w:autoRedefine/>
    <w:rsid w:val="00572BE7"/>
    <w:pPr>
      <w:tabs>
        <w:tab w:val="num" w:pos="720"/>
      </w:tabs>
      <w:spacing w:after="120" w:line="240" w:lineRule="auto"/>
      <w:ind w:left="720" w:hanging="360"/>
      <w:jc w:val="both"/>
    </w:pPr>
    <w:rPr>
      <w:rFonts w:eastAsia="Times New Roman" w:cs="Times New Roman"/>
      <w:sz w:val="20"/>
      <w:szCs w:val="20"/>
      <w:lang w:val="en-US"/>
    </w:rPr>
  </w:style>
  <w:style w:type="paragraph" w:styleId="ListBullet3">
    <w:name w:val="List Bullet 3"/>
    <w:basedOn w:val="Normal"/>
    <w:autoRedefine/>
    <w:rsid w:val="00572BE7"/>
    <w:pPr>
      <w:tabs>
        <w:tab w:val="num" w:pos="1080"/>
      </w:tabs>
      <w:spacing w:after="120" w:line="240" w:lineRule="auto"/>
      <w:ind w:left="1080" w:hanging="360"/>
      <w:jc w:val="both"/>
    </w:pPr>
    <w:rPr>
      <w:rFonts w:eastAsia="Times New Roman" w:cs="Times New Roman"/>
      <w:sz w:val="20"/>
      <w:szCs w:val="20"/>
      <w:lang w:val="en-US"/>
    </w:rPr>
  </w:style>
  <w:style w:type="paragraph" w:styleId="ListBullet4">
    <w:name w:val="List Bullet 4"/>
    <w:basedOn w:val="Normal"/>
    <w:autoRedefine/>
    <w:rsid w:val="00572BE7"/>
    <w:pPr>
      <w:tabs>
        <w:tab w:val="num" w:pos="1440"/>
      </w:tabs>
      <w:spacing w:after="120" w:line="240" w:lineRule="auto"/>
      <w:ind w:left="1440" w:hanging="360"/>
      <w:jc w:val="both"/>
    </w:pPr>
    <w:rPr>
      <w:rFonts w:eastAsia="Times New Roman" w:cs="Times New Roman"/>
      <w:sz w:val="20"/>
      <w:szCs w:val="20"/>
      <w:lang w:val="en-US"/>
    </w:rPr>
  </w:style>
  <w:style w:type="paragraph" w:styleId="ListBullet5">
    <w:name w:val="List Bullet 5"/>
    <w:basedOn w:val="Normal"/>
    <w:autoRedefine/>
    <w:rsid w:val="00572BE7"/>
    <w:pPr>
      <w:tabs>
        <w:tab w:val="num" w:pos="1800"/>
      </w:tabs>
      <w:spacing w:after="120" w:line="240" w:lineRule="auto"/>
      <w:ind w:left="1800" w:hanging="360"/>
      <w:jc w:val="both"/>
    </w:pPr>
    <w:rPr>
      <w:rFonts w:eastAsia="Times New Roman" w:cs="Times New Roman"/>
      <w:sz w:val="20"/>
      <w:szCs w:val="20"/>
      <w:lang w:val="en-US"/>
    </w:rPr>
  </w:style>
  <w:style w:type="paragraph" w:styleId="ListContinue">
    <w:name w:val="List Continue"/>
    <w:basedOn w:val="Normal"/>
    <w:rsid w:val="00572BE7"/>
    <w:pPr>
      <w:spacing w:after="120" w:line="240" w:lineRule="auto"/>
      <w:ind w:left="360" w:firstLine="0"/>
      <w:jc w:val="both"/>
    </w:pPr>
    <w:rPr>
      <w:rFonts w:eastAsia="Times New Roman" w:cs="Times New Roman"/>
      <w:sz w:val="20"/>
      <w:szCs w:val="20"/>
      <w:lang w:val="en-US"/>
    </w:rPr>
  </w:style>
  <w:style w:type="paragraph" w:styleId="ListContinue2">
    <w:name w:val="List Continue 2"/>
    <w:basedOn w:val="Normal"/>
    <w:rsid w:val="00572BE7"/>
    <w:pPr>
      <w:spacing w:after="120" w:line="240" w:lineRule="auto"/>
      <w:ind w:left="720" w:firstLine="0"/>
      <w:jc w:val="both"/>
    </w:pPr>
    <w:rPr>
      <w:rFonts w:eastAsia="Times New Roman" w:cs="Times New Roman"/>
      <w:sz w:val="20"/>
      <w:szCs w:val="20"/>
      <w:lang w:val="en-US"/>
    </w:rPr>
  </w:style>
  <w:style w:type="paragraph" w:styleId="ListContinue3">
    <w:name w:val="List Continue 3"/>
    <w:basedOn w:val="Normal"/>
    <w:rsid w:val="00572BE7"/>
    <w:pPr>
      <w:spacing w:after="120" w:line="240" w:lineRule="auto"/>
      <w:ind w:left="1080" w:firstLine="0"/>
      <w:jc w:val="both"/>
    </w:pPr>
    <w:rPr>
      <w:rFonts w:eastAsia="Times New Roman" w:cs="Times New Roman"/>
      <w:sz w:val="20"/>
      <w:szCs w:val="20"/>
      <w:lang w:val="en-US"/>
    </w:rPr>
  </w:style>
  <w:style w:type="paragraph" w:styleId="ListContinue4">
    <w:name w:val="List Continue 4"/>
    <w:basedOn w:val="Normal"/>
    <w:rsid w:val="00572BE7"/>
    <w:pPr>
      <w:spacing w:after="120" w:line="240" w:lineRule="auto"/>
      <w:ind w:left="1440" w:firstLine="0"/>
      <w:jc w:val="both"/>
    </w:pPr>
    <w:rPr>
      <w:rFonts w:eastAsia="Times New Roman" w:cs="Times New Roman"/>
      <w:sz w:val="20"/>
      <w:szCs w:val="20"/>
      <w:lang w:val="en-US"/>
    </w:rPr>
  </w:style>
  <w:style w:type="paragraph" w:styleId="ListContinue5">
    <w:name w:val="List Continue 5"/>
    <w:basedOn w:val="Normal"/>
    <w:rsid w:val="00572BE7"/>
    <w:pPr>
      <w:spacing w:after="120" w:line="240" w:lineRule="auto"/>
      <w:ind w:left="1800" w:firstLine="0"/>
      <w:jc w:val="both"/>
    </w:pPr>
    <w:rPr>
      <w:rFonts w:eastAsia="Times New Roman" w:cs="Times New Roman"/>
      <w:sz w:val="20"/>
      <w:szCs w:val="20"/>
      <w:lang w:val="en-US"/>
    </w:rPr>
  </w:style>
  <w:style w:type="paragraph" w:styleId="ListNumber">
    <w:name w:val="List Number"/>
    <w:basedOn w:val="Normal"/>
    <w:rsid w:val="00572BE7"/>
    <w:pPr>
      <w:tabs>
        <w:tab w:val="num" w:pos="360"/>
      </w:tabs>
      <w:spacing w:after="120" w:line="240" w:lineRule="auto"/>
      <w:ind w:left="360" w:hanging="360"/>
      <w:jc w:val="both"/>
    </w:pPr>
    <w:rPr>
      <w:rFonts w:eastAsia="Times New Roman" w:cs="Times New Roman"/>
      <w:sz w:val="20"/>
      <w:szCs w:val="20"/>
      <w:lang w:val="en-US"/>
    </w:rPr>
  </w:style>
  <w:style w:type="paragraph" w:styleId="ListNumber2">
    <w:name w:val="List Number 2"/>
    <w:basedOn w:val="Normal"/>
    <w:rsid w:val="00572BE7"/>
    <w:pPr>
      <w:tabs>
        <w:tab w:val="num" w:pos="720"/>
      </w:tabs>
      <w:spacing w:after="120" w:line="240" w:lineRule="auto"/>
      <w:ind w:left="720" w:hanging="360"/>
      <w:jc w:val="both"/>
    </w:pPr>
    <w:rPr>
      <w:rFonts w:eastAsia="Times New Roman" w:cs="Times New Roman"/>
      <w:sz w:val="20"/>
      <w:szCs w:val="20"/>
      <w:lang w:val="en-US"/>
    </w:rPr>
  </w:style>
  <w:style w:type="paragraph" w:styleId="ListNumber3">
    <w:name w:val="List Number 3"/>
    <w:basedOn w:val="Normal"/>
    <w:rsid w:val="00572BE7"/>
    <w:pPr>
      <w:tabs>
        <w:tab w:val="num" w:pos="1080"/>
      </w:tabs>
      <w:spacing w:after="120" w:line="240" w:lineRule="auto"/>
      <w:ind w:left="1080" w:hanging="360"/>
      <w:jc w:val="both"/>
    </w:pPr>
    <w:rPr>
      <w:rFonts w:eastAsia="Times New Roman" w:cs="Times New Roman"/>
      <w:sz w:val="20"/>
      <w:szCs w:val="20"/>
      <w:lang w:val="en-US"/>
    </w:rPr>
  </w:style>
  <w:style w:type="paragraph" w:styleId="ListNumber4">
    <w:name w:val="List Number 4"/>
    <w:basedOn w:val="Normal"/>
    <w:rsid w:val="00572BE7"/>
    <w:pPr>
      <w:tabs>
        <w:tab w:val="num" w:pos="1440"/>
      </w:tabs>
      <w:spacing w:after="120" w:line="240" w:lineRule="auto"/>
      <w:ind w:left="1440" w:hanging="360"/>
      <w:jc w:val="both"/>
    </w:pPr>
    <w:rPr>
      <w:rFonts w:eastAsia="Times New Roman" w:cs="Times New Roman"/>
      <w:sz w:val="20"/>
      <w:szCs w:val="20"/>
      <w:lang w:val="en-US"/>
    </w:rPr>
  </w:style>
  <w:style w:type="paragraph" w:styleId="ListNumber5">
    <w:name w:val="List Number 5"/>
    <w:basedOn w:val="Normal"/>
    <w:rsid w:val="00572BE7"/>
    <w:pPr>
      <w:tabs>
        <w:tab w:val="num" w:pos="1800"/>
      </w:tabs>
      <w:spacing w:after="120" w:line="240" w:lineRule="auto"/>
      <w:ind w:left="1800" w:hanging="360"/>
      <w:jc w:val="both"/>
    </w:pPr>
    <w:rPr>
      <w:rFonts w:eastAsia="Times New Roman" w:cs="Times New Roman"/>
      <w:sz w:val="20"/>
      <w:szCs w:val="20"/>
      <w:lang w:val="en-US"/>
    </w:rPr>
  </w:style>
  <w:style w:type="paragraph" w:styleId="MacroText">
    <w:name w:val="macro"/>
    <w:link w:val="MacroTextChar"/>
    <w:semiHidden/>
    <w:rsid w:val="00572BE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572BE7"/>
    <w:rPr>
      <w:rFonts w:ascii="Courier New" w:eastAsia="Times New Roman" w:hAnsi="Courier New" w:cs="Times New Roman"/>
      <w:sz w:val="20"/>
      <w:szCs w:val="20"/>
    </w:rPr>
  </w:style>
  <w:style w:type="paragraph" w:styleId="MessageHeader">
    <w:name w:val="Message Header"/>
    <w:basedOn w:val="Normal"/>
    <w:link w:val="MessageHeaderChar"/>
    <w:rsid w:val="00572BE7"/>
    <w:pPr>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jc w:val="both"/>
    </w:pPr>
    <w:rPr>
      <w:rFonts w:ascii="Arial" w:eastAsia="Times New Roman" w:hAnsi="Arial" w:cs="Times New Roman"/>
      <w:sz w:val="20"/>
      <w:szCs w:val="20"/>
      <w:lang w:val="en-US"/>
    </w:rPr>
  </w:style>
  <w:style w:type="character" w:customStyle="1" w:styleId="MessageHeaderChar">
    <w:name w:val="Message Header Char"/>
    <w:basedOn w:val="DefaultParagraphFont"/>
    <w:link w:val="MessageHeader"/>
    <w:rsid w:val="00572BE7"/>
    <w:rPr>
      <w:rFonts w:ascii="Arial" w:eastAsia="Times New Roman" w:hAnsi="Arial" w:cs="Times New Roman"/>
      <w:sz w:val="20"/>
      <w:szCs w:val="20"/>
      <w:shd w:val="pct20" w:color="auto" w:fill="auto"/>
    </w:rPr>
  </w:style>
  <w:style w:type="paragraph" w:styleId="NormalIndent">
    <w:name w:val="Normal Indent"/>
    <w:basedOn w:val="Normal"/>
    <w:rsid w:val="00572BE7"/>
    <w:pPr>
      <w:spacing w:after="120" w:line="240" w:lineRule="auto"/>
      <w:ind w:left="720" w:firstLine="0"/>
      <w:jc w:val="both"/>
    </w:pPr>
    <w:rPr>
      <w:rFonts w:eastAsia="Times New Roman" w:cs="Times New Roman"/>
      <w:sz w:val="20"/>
      <w:szCs w:val="20"/>
      <w:lang w:val="en-US"/>
    </w:rPr>
  </w:style>
  <w:style w:type="paragraph" w:styleId="NoteHeading">
    <w:name w:val="Note Heading"/>
    <w:basedOn w:val="Normal"/>
    <w:next w:val="Normal"/>
    <w:link w:val="NoteHeadingChar"/>
    <w:rsid w:val="00572BE7"/>
    <w:pPr>
      <w:spacing w:after="120" w:line="240" w:lineRule="auto"/>
      <w:ind w:firstLine="0"/>
      <w:jc w:val="both"/>
    </w:pPr>
    <w:rPr>
      <w:rFonts w:eastAsia="Times New Roman" w:cs="Times New Roman"/>
      <w:sz w:val="20"/>
      <w:szCs w:val="20"/>
      <w:lang w:val="en-US"/>
    </w:rPr>
  </w:style>
  <w:style w:type="character" w:customStyle="1" w:styleId="NoteHeadingChar">
    <w:name w:val="Note Heading Char"/>
    <w:basedOn w:val="DefaultParagraphFont"/>
    <w:link w:val="NoteHeading"/>
    <w:rsid w:val="00572BE7"/>
    <w:rPr>
      <w:rFonts w:ascii="Times" w:eastAsia="Times New Roman" w:hAnsi="Times" w:cs="Times New Roman"/>
      <w:sz w:val="20"/>
      <w:szCs w:val="20"/>
    </w:rPr>
  </w:style>
  <w:style w:type="paragraph" w:styleId="PlainText">
    <w:name w:val="Plain Text"/>
    <w:basedOn w:val="Normal"/>
    <w:link w:val="PlainTextChar"/>
    <w:rsid w:val="00572BE7"/>
    <w:pPr>
      <w:spacing w:after="120" w:line="240" w:lineRule="auto"/>
      <w:ind w:firstLine="0"/>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72BE7"/>
    <w:rPr>
      <w:rFonts w:ascii="Courier New" w:eastAsia="Times New Roman" w:hAnsi="Courier New" w:cs="Times New Roman"/>
      <w:sz w:val="20"/>
      <w:szCs w:val="20"/>
    </w:rPr>
  </w:style>
  <w:style w:type="paragraph" w:styleId="Salutation">
    <w:name w:val="Salutation"/>
    <w:basedOn w:val="Normal"/>
    <w:next w:val="Normal"/>
    <w:link w:val="SalutationChar"/>
    <w:rsid w:val="00572BE7"/>
    <w:pPr>
      <w:spacing w:after="120" w:line="240" w:lineRule="auto"/>
      <w:ind w:firstLine="0"/>
      <w:jc w:val="both"/>
    </w:pPr>
    <w:rPr>
      <w:rFonts w:eastAsia="Times New Roman" w:cs="Times New Roman"/>
      <w:sz w:val="20"/>
      <w:szCs w:val="20"/>
      <w:lang w:val="en-US"/>
    </w:rPr>
  </w:style>
  <w:style w:type="character" w:customStyle="1" w:styleId="SalutationChar">
    <w:name w:val="Salutation Char"/>
    <w:basedOn w:val="DefaultParagraphFont"/>
    <w:link w:val="Salutation"/>
    <w:rsid w:val="00572BE7"/>
    <w:rPr>
      <w:rFonts w:ascii="Times" w:eastAsia="Times New Roman" w:hAnsi="Times" w:cs="Times New Roman"/>
      <w:sz w:val="20"/>
      <w:szCs w:val="20"/>
    </w:rPr>
  </w:style>
  <w:style w:type="paragraph" w:styleId="Signature">
    <w:name w:val="Signature"/>
    <w:basedOn w:val="Normal"/>
    <w:link w:val="SignatureChar"/>
    <w:rsid w:val="00572BE7"/>
    <w:pPr>
      <w:spacing w:after="120" w:line="240" w:lineRule="auto"/>
      <w:ind w:left="4320" w:firstLine="0"/>
      <w:jc w:val="both"/>
    </w:pPr>
    <w:rPr>
      <w:rFonts w:eastAsia="Times New Roman" w:cs="Times New Roman"/>
      <w:sz w:val="20"/>
      <w:szCs w:val="20"/>
      <w:lang w:val="en-US"/>
    </w:rPr>
  </w:style>
  <w:style w:type="character" w:customStyle="1" w:styleId="SignatureChar">
    <w:name w:val="Signature Char"/>
    <w:basedOn w:val="DefaultParagraphFont"/>
    <w:link w:val="Signature"/>
    <w:rsid w:val="00572BE7"/>
    <w:rPr>
      <w:rFonts w:ascii="Times" w:eastAsia="Times New Roman" w:hAnsi="Times" w:cs="Times New Roman"/>
      <w:sz w:val="20"/>
      <w:szCs w:val="20"/>
    </w:rPr>
  </w:style>
  <w:style w:type="paragraph" w:styleId="Subtitle">
    <w:name w:val="Subtitle"/>
    <w:basedOn w:val="Normal"/>
    <w:link w:val="SubtitleChar"/>
    <w:qFormat/>
    <w:rsid w:val="00572BE7"/>
    <w:pPr>
      <w:spacing w:after="60" w:line="240" w:lineRule="auto"/>
      <w:ind w:firstLine="0"/>
      <w:jc w:val="center"/>
      <w:outlineLvl w:val="1"/>
    </w:pPr>
    <w:rPr>
      <w:rFonts w:ascii="Arial" w:eastAsia="Times New Roman" w:hAnsi="Arial" w:cs="Times New Roman"/>
      <w:sz w:val="20"/>
      <w:szCs w:val="20"/>
      <w:lang w:val="en-US"/>
    </w:rPr>
  </w:style>
  <w:style w:type="character" w:customStyle="1" w:styleId="SubtitleChar">
    <w:name w:val="Subtitle Char"/>
    <w:basedOn w:val="DefaultParagraphFont"/>
    <w:link w:val="Subtitle"/>
    <w:rsid w:val="00572BE7"/>
    <w:rPr>
      <w:rFonts w:ascii="Arial" w:eastAsia="Times New Roman" w:hAnsi="Arial" w:cs="Times New Roman"/>
      <w:sz w:val="20"/>
      <w:szCs w:val="20"/>
    </w:rPr>
  </w:style>
  <w:style w:type="paragraph" w:styleId="TableofAuthorities">
    <w:name w:val="table of authorities"/>
    <w:basedOn w:val="Normal"/>
    <w:next w:val="Normal"/>
    <w:semiHidden/>
    <w:rsid w:val="00572BE7"/>
    <w:pPr>
      <w:spacing w:after="120" w:line="240" w:lineRule="auto"/>
      <w:ind w:left="240" w:hanging="240"/>
      <w:jc w:val="both"/>
    </w:pPr>
    <w:rPr>
      <w:rFonts w:eastAsia="Times New Roman" w:cs="Times New Roman"/>
      <w:sz w:val="20"/>
      <w:szCs w:val="20"/>
      <w:lang w:val="en-US"/>
    </w:rPr>
  </w:style>
  <w:style w:type="paragraph" w:styleId="TableofFigures">
    <w:name w:val="table of figures"/>
    <w:basedOn w:val="Normal"/>
    <w:next w:val="Normal"/>
    <w:uiPriority w:val="99"/>
    <w:rsid w:val="00572BE7"/>
    <w:pPr>
      <w:spacing w:after="120" w:line="240" w:lineRule="auto"/>
      <w:ind w:left="480" w:hanging="480"/>
      <w:jc w:val="both"/>
    </w:pPr>
    <w:rPr>
      <w:rFonts w:eastAsia="Times New Roman" w:cs="Times New Roman"/>
      <w:sz w:val="20"/>
      <w:szCs w:val="20"/>
      <w:lang w:val="en-US"/>
    </w:rPr>
  </w:style>
  <w:style w:type="paragraph" w:styleId="TOAHeading">
    <w:name w:val="toa heading"/>
    <w:basedOn w:val="Normal"/>
    <w:next w:val="Normal"/>
    <w:semiHidden/>
    <w:rsid w:val="00572BE7"/>
    <w:pPr>
      <w:spacing w:before="120" w:after="120" w:line="240" w:lineRule="auto"/>
      <w:ind w:firstLine="0"/>
      <w:jc w:val="both"/>
    </w:pPr>
    <w:rPr>
      <w:rFonts w:ascii="Arial" w:eastAsia="Times New Roman" w:hAnsi="Arial" w:cs="Times New Roman"/>
      <w:b/>
      <w:sz w:val="20"/>
      <w:szCs w:val="20"/>
      <w:lang w:val="en-US"/>
    </w:rPr>
  </w:style>
  <w:style w:type="paragraph" w:styleId="TOC1">
    <w:name w:val="toc 1"/>
    <w:basedOn w:val="Normal"/>
    <w:next w:val="Normal"/>
    <w:autoRedefine/>
    <w:uiPriority w:val="39"/>
    <w:rsid w:val="00572BE7"/>
    <w:pPr>
      <w:spacing w:after="120" w:line="240" w:lineRule="auto"/>
      <w:ind w:firstLine="0"/>
      <w:jc w:val="both"/>
    </w:pPr>
    <w:rPr>
      <w:rFonts w:eastAsia="Times New Roman" w:cs="Times New Roman"/>
      <w:sz w:val="20"/>
      <w:szCs w:val="20"/>
      <w:lang w:val="en-US"/>
    </w:rPr>
  </w:style>
  <w:style w:type="paragraph" w:styleId="TOC2">
    <w:name w:val="toc 2"/>
    <w:basedOn w:val="Normal"/>
    <w:next w:val="Normal"/>
    <w:autoRedefine/>
    <w:uiPriority w:val="39"/>
    <w:rsid w:val="00572BE7"/>
    <w:pPr>
      <w:spacing w:after="120" w:line="240" w:lineRule="auto"/>
      <w:ind w:left="240" w:firstLine="0"/>
      <w:jc w:val="both"/>
    </w:pPr>
    <w:rPr>
      <w:rFonts w:eastAsia="Times New Roman" w:cs="Times New Roman"/>
      <w:sz w:val="20"/>
      <w:szCs w:val="20"/>
      <w:lang w:val="en-US"/>
    </w:rPr>
  </w:style>
  <w:style w:type="paragraph" w:styleId="TOC3">
    <w:name w:val="toc 3"/>
    <w:basedOn w:val="Normal"/>
    <w:next w:val="Normal"/>
    <w:autoRedefine/>
    <w:uiPriority w:val="39"/>
    <w:rsid w:val="00572BE7"/>
    <w:pPr>
      <w:spacing w:after="120" w:line="240" w:lineRule="auto"/>
      <w:ind w:left="480" w:firstLine="0"/>
      <w:jc w:val="both"/>
    </w:pPr>
    <w:rPr>
      <w:rFonts w:eastAsia="Times New Roman" w:cs="Times New Roman"/>
      <w:sz w:val="20"/>
      <w:szCs w:val="20"/>
      <w:lang w:val="en-US"/>
    </w:rPr>
  </w:style>
  <w:style w:type="paragraph" w:styleId="TOC4">
    <w:name w:val="toc 4"/>
    <w:basedOn w:val="Normal"/>
    <w:next w:val="Normal"/>
    <w:autoRedefine/>
    <w:semiHidden/>
    <w:rsid w:val="00572BE7"/>
    <w:pPr>
      <w:spacing w:after="120" w:line="240" w:lineRule="auto"/>
      <w:ind w:left="720" w:firstLine="0"/>
      <w:jc w:val="both"/>
    </w:pPr>
    <w:rPr>
      <w:rFonts w:eastAsia="Times New Roman" w:cs="Times New Roman"/>
      <w:sz w:val="20"/>
      <w:szCs w:val="20"/>
      <w:lang w:val="en-US"/>
    </w:rPr>
  </w:style>
  <w:style w:type="paragraph" w:styleId="TOC5">
    <w:name w:val="toc 5"/>
    <w:basedOn w:val="Normal"/>
    <w:next w:val="Normal"/>
    <w:autoRedefine/>
    <w:semiHidden/>
    <w:rsid w:val="00572BE7"/>
    <w:pPr>
      <w:spacing w:after="120" w:line="240" w:lineRule="auto"/>
      <w:ind w:left="960" w:firstLine="0"/>
      <w:jc w:val="both"/>
    </w:pPr>
    <w:rPr>
      <w:rFonts w:eastAsia="Times New Roman" w:cs="Times New Roman"/>
      <w:sz w:val="20"/>
      <w:szCs w:val="20"/>
      <w:lang w:val="en-US"/>
    </w:rPr>
  </w:style>
  <w:style w:type="paragraph" w:styleId="TOC6">
    <w:name w:val="toc 6"/>
    <w:basedOn w:val="Normal"/>
    <w:next w:val="Normal"/>
    <w:autoRedefine/>
    <w:semiHidden/>
    <w:rsid w:val="00572BE7"/>
    <w:pPr>
      <w:spacing w:after="120" w:line="240" w:lineRule="auto"/>
      <w:ind w:left="1200" w:firstLine="0"/>
      <w:jc w:val="both"/>
    </w:pPr>
    <w:rPr>
      <w:rFonts w:eastAsia="Times New Roman" w:cs="Times New Roman"/>
      <w:sz w:val="20"/>
      <w:szCs w:val="20"/>
      <w:lang w:val="en-US"/>
    </w:rPr>
  </w:style>
  <w:style w:type="paragraph" w:styleId="TOC7">
    <w:name w:val="toc 7"/>
    <w:basedOn w:val="Normal"/>
    <w:next w:val="Normal"/>
    <w:autoRedefine/>
    <w:semiHidden/>
    <w:rsid w:val="00572BE7"/>
    <w:pPr>
      <w:spacing w:after="120" w:line="240" w:lineRule="auto"/>
      <w:ind w:left="1440" w:firstLine="0"/>
      <w:jc w:val="both"/>
    </w:pPr>
    <w:rPr>
      <w:rFonts w:eastAsia="Times New Roman" w:cs="Times New Roman"/>
      <w:sz w:val="20"/>
      <w:szCs w:val="20"/>
      <w:lang w:val="en-US"/>
    </w:rPr>
  </w:style>
  <w:style w:type="paragraph" w:styleId="TOC8">
    <w:name w:val="toc 8"/>
    <w:basedOn w:val="Normal"/>
    <w:next w:val="Normal"/>
    <w:autoRedefine/>
    <w:semiHidden/>
    <w:rsid w:val="00572BE7"/>
    <w:pPr>
      <w:spacing w:after="120" w:line="240" w:lineRule="auto"/>
      <w:ind w:left="1680" w:firstLine="0"/>
      <w:jc w:val="both"/>
    </w:pPr>
    <w:rPr>
      <w:rFonts w:eastAsia="Times New Roman" w:cs="Times New Roman"/>
      <w:sz w:val="20"/>
      <w:szCs w:val="20"/>
      <w:lang w:val="en-US"/>
    </w:rPr>
  </w:style>
  <w:style w:type="paragraph" w:styleId="TOC9">
    <w:name w:val="toc 9"/>
    <w:basedOn w:val="Normal"/>
    <w:next w:val="Normal"/>
    <w:autoRedefine/>
    <w:semiHidden/>
    <w:rsid w:val="00572BE7"/>
    <w:pPr>
      <w:spacing w:after="120" w:line="240" w:lineRule="auto"/>
      <w:ind w:left="1920" w:firstLine="0"/>
      <w:jc w:val="both"/>
    </w:pPr>
    <w:rPr>
      <w:rFonts w:eastAsia="Times New Roman" w:cs="Times New Roman"/>
      <w:sz w:val="20"/>
      <w:szCs w:val="20"/>
      <w:lang w:val="en-US"/>
    </w:rPr>
  </w:style>
  <w:style w:type="paragraph" w:customStyle="1" w:styleId="Bullet">
    <w:name w:val="Bullet"/>
    <w:basedOn w:val="Normal"/>
    <w:rsid w:val="00536F6A"/>
    <w:pPr>
      <w:numPr>
        <w:numId w:val="1"/>
      </w:numPr>
      <w:tabs>
        <w:tab w:val="clear" w:pos="720"/>
        <w:tab w:val="left" w:pos="180"/>
      </w:tabs>
      <w:overflowPunct w:val="0"/>
      <w:autoSpaceDE w:val="0"/>
      <w:autoSpaceDN w:val="0"/>
      <w:adjustRightInd w:val="0"/>
      <w:spacing w:after="80" w:line="240" w:lineRule="auto"/>
      <w:ind w:left="180" w:hanging="180"/>
      <w:jc w:val="both"/>
      <w:textAlignment w:val="baseline"/>
    </w:pPr>
    <w:rPr>
      <w:rFonts w:eastAsia="Times New Roman" w:cs="Times New Roman"/>
      <w:sz w:val="20"/>
      <w:szCs w:val="20"/>
      <w:lang w:val="en-US"/>
    </w:rPr>
  </w:style>
  <w:style w:type="paragraph" w:customStyle="1" w:styleId="Paper-Title">
    <w:name w:val="Paper-Title"/>
    <w:basedOn w:val="Normal"/>
    <w:rsid w:val="00572BE7"/>
    <w:pPr>
      <w:overflowPunct w:val="0"/>
      <w:autoSpaceDE w:val="0"/>
      <w:autoSpaceDN w:val="0"/>
      <w:adjustRightInd w:val="0"/>
      <w:spacing w:after="120" w:line="240" w:lineRule="auto"/>
      <w:ind w:firstLine="0"/>
      <w:jc w:val="center"/>
      <w:textAlignment w:val="baseline"/>
    </w:pPr>
    <w:rPr>
      <w:rFonts w:ascii="Helvetica" w:eastAsia="Times New Roman" w:hAnsi="Helvetica" w:cs="Times New Roman"/>
      <w:b/>
      <w:sz w:val="36"/>
      <w:szCs w:val="20"/>
      <w:lang w:val="en-US"/>
    </w:rPr>
  </w:style>
  <w:style w:type="paragraph" w:customStyle="1" w:styleId="References">
    <w:name w:val="References"/>
    <w:basedOn w:val="Normal"/>
    <w:rsid w:val="00572BE7"/>
    <w:pPr>
      <w:overflowPunct w:val="0"/>
      <w:autoSpaceDE w:val="0"/>
      <w:autoSpaceDN w:val="0"/>
      <w:adjustRightInd w:val="0"/>
      <w:spacing w:after="80" w:line="240" w:lineRule="auto"/>
      <w:ind w:left="270" w:hanging="270"/>
      <w:jc w:val="both"/>
      <w:textAlignment w:val="baseline"/>
    </w:pPr>
    <w:rPr>
      <w:rFonts w:eastAsia="Times New Roman" w:cs="Times New Roman"/>
      <w:sz w:val="20"/>
      <w:szCs w:val="20"/>
      <w:lang w:val="en-US"/>
    </w:rPr>
  </w:style>
  <w:style w:type="paragraph" w:customStyle="1" w:styleId="Abstract">
    <w:name w:val="Abstract"/>
    <w:basedOn w:val="Heading1"/>
    <w:rsid w:val="00536F6A"/>
    <w:pPr>
      <w:spacing w:before="40" w:line="240" w:lineRule="auto"/>
      <w:jc w:val="both"/>
      <w:outlineLvl w:val="9"/>
    </w:pPr>
    <w:rPr>
      <w:rFonts w:ascii="Times New Roman" w:eastAsia="Times New Roman" w:hAnsi="Times New Roman" w:cs="Times New Roman"/>
      <w:bCs w:val="0"/>
      <w:color w:val="auto"/>
      <w:kern w:val="28"/>
      <w:sz w:val="24"/>
      <w:szCs w:val="20"/>
      <w:lang w:val="en-US"/>
    </w:rPr>
  </w:style>
  <w:style w:type="character" w:styleId="Hyperlink">
    <w:name w:val="Hyperlink"/>
    <w:rsid w:val="00572BE7"/>
    <w:rPr>
      <w:color w:val="0000FF"/>
      <w:u w:val="single"/>
    </w:rPr>
  </w:style>
  <w:style w:type="paragraph" w:customStyle="1" w:styleId="Affiliation">
    <w:name w:val="Affiliation"/>
    <w:basedOn w:val="Author"/>
    <w:rsid w:val="00572BE7"/>
    <w:rPr>
      <w:b w:val="0"/>
    </w:rPr>
  </w:style>
  <w:style w:type="paragraph" w:customStyle="1" w:styleId="Copyright">
    <w:name w:val="Copyright"/>
    <w:basedOn w:val="Normal"/>
    <w:rsid w:val="00572BE7"/>
    <w:pPr>
      <w:framePr w:w="4680" w:h="1977" w:hRule="exact" w:hSpace="187" w:wrap="auto" w:vAnchor="page" w:hAnchor="page" w:x="1155" w:y="12605" w:anchorLock="1"/>
      <w:spacing w:line="240" w:lineRule="auto"/>
      <w:ind w:firstLine="0"/>
      <w:jc w:val="both"/>
    </w:pPr>
    <w:rPr>
      <w:rFonts w:eastAsia="Times New Roman" w:cs="Times New Roman"/>
      <w:sz w:val="16"/>
      <w:szCs w:val="20"/>
      <w:lang w:val="en-US"/>
    </w:rPr>
  </w:style>
  <w:style w:type="paragraph" w:customStyle="1" w:styleId="cell">
    <w:name w:val="cell"/>
    <w:basedOn w:val="Normal"/>
    <w:rsid w:val="00572BE7"/>
    <w:pPr>
      <w:keepNext/>
      <w:keepLines/>
      <w:spacing w:after="120" w:line="240" w:lineRule="auto"/>
      <w:ind w:firstLine="0"/>
      <w:jc w:val="center"/>
    </w:pPr>
    <w:rPr>
      <w:rFonts w:eastAsia="Times New Roman" w:cs="Times New Roman"/>
      <w:b/>
      <w:sz w:val="20"/>
      <w:szCs w:val="20"/>
      <w:lang w:val="en-US"/>
    </w:rPr>
  </w:style>
  <w:style w:type="character" w:customStyle="1" w:styleId="v8n000000">
    <w:name w:val="v8n000000"/>
    <w:basedOn w:val="DefaultParagraphFont"/>
    <w:rsid w:val="00572BE7"/>
  </w:style>
  <w:style w:type="paragraph" w:customStyle="1" w:styleId="TableText">
    <w:name w:val="Table Text"/>
    <w:basedOn w:val="Normal"/>
    <w:rsid w:val="00BE0256"/>
    <w:pPr>
      <w:keepLines/>
      <w:spacing w:before="40" w:after="40" w:line="240" w:lineRule="auto"/>
      <w:ind w:left="57" w:hanging="57"/>
    </w:pPr>
    <w:rPr>
      <w:rFonts w:eastAsia="Times New Roman" w:cs="Times New Roman"/>
      <w:sz w:val="22"/>
      <w:szCs w:val="20"/>
      <w:lang w:val="en-US"/>
    </w:rPr>
  </w:style>
  <w:style w:type="character" w:styleId="FollowedHyperlink">
    <w:name w:val="FollowedHyperlink"/>
    <w:rsid w:val="00572BE7"/>
    <w:rPr>
      <w:color w:val="800080"/>
      <w:u w:val="single"/>
    </w:rPr>
  </w:style>
  <w:style w:type="character" w:customStyle="1" w:styleId="q">
    <w:name w:val="q"/>
    <w:basedOn w:val="DefaultParagraphFont"/>
    <w:rsid w:val="00572BE7"/>
  </w:style>
  <w:style w:type="character" w:customStyle="1" w:styleId="MediumGrid1-Accent4Char">
    <w:name w:val="Medium Grid 1 - Accent 4 Char"/>
    <w:link w:val="MediumGrid1-Accent4"/>
    <w:uiPriority w:val="29"/>
    <w:rsid w:val="00572BE7"/>
    <w:rPr>
      <w:rFonts w:eastAsia="Times New Roman"/>
      <w:i/>
      <w:iCs/>
      <w:color w:val="000000"/>
      <w:lang w:val="en-US"/>
    </w:rPr>
  </w:style>
  <w:style w:type="table" w:styleId="MediumGrid1-Accent4">
    <w:name w:val="Medium Grid 1 Accent 4"/>
    <w:basedOn w:val="TableNormal"/>
    <w:link w:val="MediumGrid1-Accent4Char"/>
    <w:uiPriority w:val="29"/>
    <w:rsid w:val="00572BE7"/>
    <w:rPr>
      <w:rFonts w:eastAsia="Times New Roman"/>
      <w:i/>
      <w:iCs/>
      <w:color w:val="00000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lastRow">
      <w:tblPr/>
      <w:tcPr>
        <w:tcBorders>
          <w:top w:val="single" w:sz="18" w:space="0" w:color="9F8AB9" w:themeColor="accent4" w:themeTint="BF"/>
        </w:tcBorders>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PlaceholderText">
    <w:name w:val="Placeholder Text"/>
    <w:basedOn w:val="DefaultParagraphFont"/>
    <w:uiPriority w:val="99"/>
    <w:semiHidden/>
    <w:rsid w:val="00DD2764"/>
    <w:rPr>
      <w:color w:val="808080"/>
    </w:rPr>
  </w:style>
  <w:style w:type="paragraph" w:styleId="BodyText">
    <w:name w:val="Body Text"/>
    <w:basedOn w:val="Normal"/>
    <w:link w:val="BodyTextChar"/>
    <w:uiPriority w:val="99"/>
    <w:semiHidden/>
    <w:unhideWhenUsed/>
    <w:rsid w:val="009503F5"/>
    <w:pPr>
      <w:spacing w:after="120"/>
      <w:ind w:firstLine="0"/>
    </w:pPr>
    <w:rPr>
      <w:sz w:val="22"/>
    </w:rPr>
  </w:style>
  <w:style w:type="character" w:customStyle="1" w:styleId="BodyTextChar">
    <w:name w:val="Body Text Char"/>
    <w:basedOn w:val="DefaultParagraphFont"/>
    <w:link w:val="BodyText"/>
    <w:uiPriority w:val="99"/>
    <w:semiHidden/>
    <w:rsid w:val="009503F5"/>
    <w:rPr>
      <w:rFonts w:ascii="Times" w:hAnsi="Times"/>
      <w:sz w:val="22"/>
      <w:lang w:val="en-CA"/>
    </w:rPr>
  </w:style>
  <w:style w:type="paragraph" w:customStyle="1" w:styleId="TableList">
    <w:name w:val="Table List"/>
    <w:basedOn w:val="ListParagraph"/>
    <w:qFormat/>
    <w:rsid w:val="00536F6A"/>
    <w:pPr>
      <w:widowControl w:val="0"/>
      <w:numPr>
        <w:numId w:val="13"/>
      </w:numPr>
      <w:spacing w:before="120" w:after="120" w:line="360" w:lineRule="auto"/>
    </w:pPr>
    <w:rPr>
      <w:szCs w:val="20"/>
    </w:rPr>
  </w:style>
  <w:style w:type="paragraph" w:customStyle="1" w:styleId="AppendixHeading">
    <w:name w:val="Appendix Heading"/>
    <w:qFormat/>
    <w:rsid w:val="00536F6A"/>
    <w:pPr>
      <w:numPr>
        <w:numId w:val="9"/>
      </w:numPr>
    </w:pPr>
    <w:rPr>
      <w:rFonts w:asciiTheme="majorHAnsi" w:eastAsiaTheme="majorEastAsia" w:hAnsiTheme="majorHAnsi" w:cstheme="majorBidi"/>
      <w:b/>
      <w:bCs/>
      <w:caps/>
      <w:color w:val="345A8A" w:themeColor="accent1" w:themeShade="B5"/>
      <w:sz w:val="30"/>
      <w:szCs w:val="32"/>
      <w:lang w:val="en-CA"/>
    </w:rPr>
  </w:style>
  <w:style w:type="paragraph" w:customStyle="1" w:styleId="Basictext">
    <w:name w:val="Basic text"/>
    <w:link w:val="BasictextChar"/>
    <w:rsid w:val="0088127F"/>
    <w:pPr>
      <w:spacing w:before="120"/>
      <w:jc w:val="both"/>
    </w:pPr>
    <w:rPr>
      <w:rFonts w:ascii="Times New Roman" w:eastAsia="Times New Roman" w:hAnsi="Times New Roman" w:cs="Arial"/>
      <w:color w:val="000000"/>
      <w:sz w:val="22"/>
      <w:szCs w:val="15"/>
      <w:lang w:val="en-GB" w:bidi="en-US"/>
    </w:rPr>
  </w:style>
  <w:style w:type="character" w:customStyle="1" w:styleId="BasictextChar">
    <w:name w:val="Basic text Char"/>
    <w:basedOn w:val="DefaultParagraphFont"/>
    <w:link w:val="Basictext"/>
    <w:rsid w:val="0088127F"/>
    <w:rPr>
      <w:rFonts w:ascii="Times New Roman" w:eastAsia="Times New Roman" w:hAnsi="Times New Roman" w:cs="Arial"/>
      <w:color w:val="000000"/>
      <w:sz w:val="22"/>
      <w:szCs w:val="15"/>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035">
      <w:bodyDiv w:val="1"/>
      <w:marLeft w:val="0"/>
      <w:marRight w:val="0"/>
      <w:marTop w:val="0"/>
      <w:marBottom w:val="0"/>
      <w:divBdr>
        <w:top w:val="none" w:sz="0" w:space="0" w:color="auto"/>
        <w:left w:val="none" w:sz="0" w:space="0" w:color="auto"/>
        <w:bottom w:val="none" w:sz="0" w:space="0" w:color="auto"/>
        <w:right w:val="none" w:sz="0" w:space="0" w:color="auto"/>
      </w:divBdr>
    </w:div>
    <w:div w:id="47343356">
      <w:bodyDiv w:val="1"/>
      <w:marLeft w:val="0"/>
      <w:marRight w:val="0"/>
      <w:marTop w:val="0"/>
      <w:marBottom w:val="0"/>
      <w:divBdr>
        <w:top w:val="none" w:sz="0" w:space="0" w:color="auto"/>
        <w:left w:val="none" w:sz="0" w:space="0" w:color="auto"/>
        <w:bottom w:val="none" w:sz="0" w:space="0" w:color="auto"/>
        <w:right w:val="none" w:sz="0" w:space="0" w:color="auto"/>
      </w:divBdr>
      <w:divsChild>
        <w:div w:id="1595892156">
          <w:marLeft w:val="0"/>
          <w:marRight w:val="0"/>
          <w:marTop w:val="0"/>
          <w:marBottom w:val="0"/>
          <w:divBdr>
            <w:top w:val="none" w:sz="0" w:space="0" w:color="auto"/>
            <w:left w:val="none" w:sz="0" w:space="0" w:color="auto"/>
            <w:bottom w:val="none" w:sz="0" w:space="0" w:color="auto"/>
            <w:right w:val="none" w:sz="0" w:space="0" w:color="auto"/>
          </w:divBdr>
        </w:div>
        <w:div w:id="39982077">
          <w:marLeft w:val="0"/>
          <w:marRight w:val="0"/>
          <w:marTop w:val="0"/>
          <w:marBottom w:val="0"/>
          <w:divBdr>
            <w:top w:val="none" w:sz="0" w:space="0" w:color="auto"/>
            <w:left w:val="none" w:sz="0" w:space="0" w:color="auto"/>
            <w:bottom w:val="none" w:sz="0" w:space="0" w:color="auto"/>
            <w:right w:val="none" w:sz="0" w:space="0" w:color="auto"/>
          </w:divBdr>
        </w:div>
        <w:div w:id="1472475790">
          <w:marLeft w:val="0"/>
          <w:marRight w:val="0"/>
          <w:marTop w:val="0"/>
          <w:marBottom w:val="0"/>
          <w:divBdr>
            <w:top w:val="none" w:sz="0" w:space="0" w:color="auto"/>
            <w:left w:val="none" w:sz="0" w:space="0" w:color="auto"/>
            <w:bottom w:val="none" w:sz="0" w:space="0" w:color="auto"/>
            <w:right w:val="none" w:sz="0" w:space="0" w:color="auto"/>
          </w:divBdr>
        </w:div>
        <w:div w:id="150996198">
          <w:marLeft w:val="0"/>
          <w:marRight w:val="0"/>
          <w:marTop w:val="0"/>
          <w:marBottom w:val="0"/>
          <w:divBdr>
            <w:top w:val="none" w:sz="0" w:space="0" w:color="auto"/>
            <w:left w:val="none" w:sz="0" w:space="0" w:color="auto"/>
            <w:bottom w:val="none" w:sz="0" w:space="0" w:color="auto"/>
            <w:right w:val="none" w:sz="0" w:space="0" w:color="auto"/>
          </w:divBdr>
        </w:div>
        <w:div w:id="18624716">
          <w:marLeft w:val="0"/>
          <w:marRight w:val="0"/>
          <w:marTop w:val="0"/>
          <w:marBottom w:val="0"/>
          <w:divBdr>
            <w:top w:val="none" w:sz="0" w:space="0" w:color="auto"/>
            <w:left w:val="none" w:sz="0" w:space="0" w:color="auto"/>
            <w:bottom w:val="none" w:sz="0" w:space="0" w:color="auto"/>
            <w:right w:val="none" w:sz="0" w:space="0" w:color="auto"/>
          </w:divBdr>
        </w:div>
        <w:div w:id="194780748">
          <w:marLeft w:val="0"/>
          <w:marRight w:val="0"/>
          <w:marTop w:val="0"/>
          <w:marBottom w:val="0"/>
          <w:divBdr>
            <w:top w:val="none" w:sz="0" w:space="0" w:color="auto"/>
            <w:left w:val="none" w:sz="0" w:space="0" w:color="auto"/>
            <w:bottom w:val="none" w:sz="0" w:space="0" w:color="auto"/>
            <w:right w:val="none" w:sz="0" w:space="0" w:color="auto"/>
          </w:divBdr>
        </w:div>
        <w:div w:id="1337539368">
          <w:marLeft w:val="0"/>
          <w:marRight w:val="0"/>
          <w:marTop w:val="0"/>
          <w:marBottom w:val="0"/>
          <w:divBdr>
            <w:top w:val="none" w:sz="0" w:space="0" w:color="auto"/>
            <w:left w:val="none" w:sz="0" w:space="0" w:color="auto"/>
            <w:bottom w:val="none" w:sz="0" w:space="0" w:color="auto"/>
            <w:right w:val="none" w:sz="0" w:space="0" w:color="auto"/>
          </w:divBdr>
        </w:div>
        <w:div w:id="95910232">
          <w:marLeft w:val="0"/>
          <w:marRight w:val="0"/>
          <w:marTop w:val="0"/>
          <w:marBottom w:val="0"/>
          <w:divBdr>
            <w:top w:val="none" w:sz="0" w:space="0" w:color="auto"/>
            <w:left w:val="none" w:sz="0" w:space="0" w:color="auto"/>
            <w:bottom w:val="none" w:sz="0" w:space="0" w:color="auto"/>
            <w:right w:val="none" w:sz="0" w:space="0" w:color="auto"/>
          </w:divBdr>
        </w:div>
        <w:div w:id="1165514716">
          <w:marLeft w:val="0"/>
          <w:marRight w:val="0"/>
          <w:marTop w:val="0"/>
          <w:marBottom w:val="0"/>
          <w:divBdr>
            <w:top w:val="none" w:sz="0" w:space="0" w:color="auto"/>
            <w:left w:val="none" w:sz="0" w:space="0" w:color="auto"/>
            <w:bottom w:val="none" w:sz="0" w:space="0" w:color="auto"/>
            <w:right w:val="none" w:sz="0" w:space="0" w:color="auto"/>
          </w:divBdr>
        </w:div>
        <w:div w:id="1128545639">
          <w:marLeft w:val="0"/>
          <w:marRight w:val="0"/>
          <w:marTop w:val="0"/>
          <w:marBottom w:val="0"/>
          <w:divBdr>
            <w:top w:val="none" w:sz="0" w:space="0" w:color="auto"/>
            <w:left w:val="none" w:sz="0" w:space="0" w:color="auto"/>
            <w:bottom w:val="none" w:sz="0" w:space="0" w:color="auto"/>
            <w:right w:val="none" w:sz="0" w:space="0" w:color="auto"/>
          </w:divBdr>
        </w:div>
        <w:div w:id="630794614">
          <w:marLeft w:val="0"/>
          <w:marRight w:val="0"/>
          <w:marTop w:val="0"/>
          <w:marBottom w:val="0"/>
          <w:divBdr>
            <w:top w:val="none" w:sz="0" w:space="0" w:color="auto"/>
            <w:left w:val="none" w:sz="0" w:space="0" w:color="auto"/>
            <w:bottom w:val="none" w:sz="0" w:space="0" w:color="auto"/>
            <w:right w:val="none" w:sz="0" w:space="0" w:color="auto"/>
          </w:divBdr>
        </w:div>
        <w:div w:id="687609908">
          <w:marLeft w:val="0"/>
          <w:marRight w:val="0"/>
          <w:marTop w:val="0"/>
          <w:marBottom w:val="0"/>
          <w:divBdr>
            <w:top w:val="none" w:sz="0" w:space="0" w:color="auto"/>
            <w:left w:val="none" w:sz="0" w:space="0" w:color="auto"/>
            <w:bottom w:val="none" w:sz="0" w:space="0" w:color="auto"/>
            <w:right w:val="none" w:sz="0" w:space="0" w:color="auto"/>
          </w:divBdr>
        </w:div>
      </w:divsChild>
    </w:div>
    <w:div w:id="139999036">
      <w:bodyDiv w:val="1"/>
      <w:marLeft w:val="0"/>
      <w:marRight w:val="0"/>
      <w:marTop w:val="0"/>
      <w:marBottom w:val="0"/>
      <w:divBdr>
        <w:top w:val="none" w:sz="0" w:space="0" w:color="auto"/>
        <w:left w:val="none" w:sz="0" w:space="0" w:color="auto"/>
        <w:bottom w:val="none" w:sz="0" w:space="0" w:color="auto"/>
        <w:right w:val="none" w:sz="0" w:space="0" w:color="auto"/>
      </w:divBdr>
    </w:div>
    <w:div w:id="219483805">
      <w:bodyDiv w:val="1"/>
      <w:marLeft w:val="0"/>
      <w:marRight w:val="0"/>
      <w:marTop w:val="0"/>
      <w:marBottom w:val="0"/>
      <w:divBdr>
        <w:top w:val="none" w:sz="0" w:space="0" w:color="auto"/>
        <w:left w:val="none" w:sz="0" w:space="0" w:color="auto"/>
        <w:bottom w:val="none" w:sz="0" w:space="0" w:color="auto"/>
        <w:right w:val="none" w:sz="0" w:space="0" w:color="auto"/>
      </w:divBdr>
    </w:div>
    <w:div w:id="264654777">
      <w:bodyDiv w:val="1"/>
      <w:marLeft w:val="0"/>
      <w:marRight w:val="0"/>
      <w:marTop w:val="0"/>
      <w:marBottom w:val="0"/>
      <w:divBdr>
        <w:top w:val="none" w:sz="0" w:space="0" w:color="auto"/>
        <w:left w:val="none" w:sz="0" w:space="0" w:color="auto"/>
        <w:bottom w:val="none" w:sz="0" w:space="0" w:color="auto"/>
        <w:right w:val="none" w:sz="0" w:space="0" w:color="auto"/>
      </w:divBdr>
    </w:div>
    <w:div w:id="281304218">
      <w:bodyDiv w:val="1"/>
      <w:marLeft w:val="0"/>
      <w:marRight w:val="0"/>
      <w:marTop w:val="0"/>
      <w:marBottom w:val="0"/>
      <w:divBdr>
        <w:top w:val="none" w:sz="0" w:space="0" w:color="auto"/>
        <w:left w:val="none" w:sz="0" w:space="0" w:color="auto"/>
        <w:bottom w:val="none" w:sz="0" w:space="0" w:color="auto"/>
        <w:right w:val="none" w:sz="0" w:space="0" w:color="auto"/>
      </w:divBdr>
    </w:div>
    <w:div w:id="315916184">
      <w:bodyDiv w:val="1"/>
      <w:marLeft w:val="0"/>
      <w:marRight w:val="0"/>
      <w:marTop w:val="0"/>
      <w:marBottom w:val="0"/>
      <w:divBdr>
        <w:top w:val="none" w:sz="0" w:space="0" w:color="auto"/>
        <w:left w:val="none" w:sz="0" w:space="0" w:color="auto"/>
        <w:bottom w:val="none" w:sz="0" w:space="0" w:color="auto"/>
        <w:right w:val="none" w:sz="0" w:space="0" w:color="auto"/>
      </w:divBdr>
    </w:div>
    <w:div w:id="393048475">
      <w:bodyDiv w:val="1"/>
      <w:marLeft w:val="0"/>
      <w:marRight w:val="0"/>
      <w:marTop w:val="0"/>
      <w:marBottom w:val="0"/>
      <w:divBdr>
        <w:top w:val="none" w:sz="0" w:space="0" w:color="auto"/>
        <w:left w:val="none" w:sz="0" w:space="0" w:color="auto"/>
        <w:bottom w:val="none" w:sz="0" w:space="0" w:color="auto"/>
        <w:right w:val="none" w:sz="0" w:space="0" w:color="auto"/>
      </w:divBdr>
    </w:div>
    <w:div w:id="464616867">
      <w:bodyDiv w:val="1"/>
      <w:marLeft w:val="0"/>
      <w:marRight w:val="0"/>
      <w:marTop w:val="0"/>
      <w:marBottom w:val="0"/>
      <w:divBdr>
        <w:top w:val="none" w:sz="0" w:space="0" w:color="auto"/>
        <w:left w:val="none" w:sz="0" w:space="0" w:color="auto"/>
        <w:bottom w:val="none" w:sz="0" w:space="0" w:color="auto"/>
        <w:right w:val="none" w:sz="0" w:space="0" w:color="auto"/>
      </w:divBdr>
    </w:div>
    <w:div w:id="510342799">
      <w:bodyDiv w:val="1"/>
      <w:marLeft w:val="0"/>
      <w:marRight w:val="0"/>
      <w:marTop w:val="0"/>
      <w:marBottom w:val="0"/>
      <w:divBdr>
        <w:top w:val="none" w:sz="0" w:space="0" w:color="auto"/>
        <w:left w:val="none" w:sz="0" w:space="0" w:color="auto"/>
        <w:bottom w:val="none" w:sz="0" w:space="0" w:color="auto"/>
        <w:right w:val="none" w:sz="0" w:space="0" w:color="auto"/>
      </w:divBdr>
    </w:div>
    <w:div w:id="532495938">
      <w:bodyDiv w:val="1"/>
      <w:marLeft w:val="0"/>
      <w:marRight w:val="0"/>
      <w:marTop w:val="0"/>
      <w:marBottom w:val="0"/>
      <w:divBdr>
        <w:top w:val="none" w:sz="0" w:space="0" w:color="auto"/>
        <w:left w:val="none" w:sz="0" w:space="0" w:color="auto"/>
        <w:bottom w:val="none" w:sz="0" w:space="0" w:color="auto"/>
        <w:right w:val="none" w:sz="0" w:space="0" w:color="auto"/>
      </w:divBdr>
    </w:div>
    <w:div w:id="582179678">
      <w:bodyDiv w:val="1"/>
      <w:marLeft w:val="0"/>
      <w:marRight w:val="0"/>
      <w:marTop w:val="0"/>
      <w:marBottom w:val="0"/>
      <w:divBdr>
        <w:top w:val="none" w:sz="0" w:space="0" w:color="auto"/>
        <w:left w:val="none" w:sz="0" w:space="0" w:color="auto"/>
        <w:bottom w:val="none" w:sz="0" w:space="0" w:color="auto"/>
        <w:right w:val="none" w:sz="0" w:space="0" w:color="auto"/>
      </w:divBdr>
      <w:divsChild>
        <w:div w:id="1292977694">
          <w:marLeft w:val="0"/>
          <w:marRight w:val="0"/>
          <w:marTop w:val="0"/>
          <w:marBottom w:val="0"/>
          <w:divBdr>
            <w:top w:val="none" w:sz="0" w:space="0" w:color="auto"/>
            <w:left w:val="none" w:sz="0" w:space="0" w:color="auto"/>
            <w:bottom w:val="none" w:sz="0" w:space="0" w:color="auto"/>
            <w:right w:val="none" w:sz="0" w:space="0" w:color="auto"/>
          </w:divBdr>
        </w:div>
      </w:divsChild>
    </w:div>
    <w:div w:id="660156314">
      <w:bodyDiv w:val="1"/>
      <w:marLeft w:val="0"/>
      <w:marRight w:val="0"/>
      <w:marTop w:val="0"/>
      <w:marBottom w:val="0"/>
      <w:divBdr>
        <w:top w:val="none" w:sz="0" w:space="0" w:color="auto"/>
        <w:left w:val="none" w:sz="0" w:space="0" w:color="auto"/>
        <w:bottom w:val="none" w:sz="0" w:space="0" w:color="auto"/>
        <w:right w:val="none" w:sz="0" w:space="0" w:color="auto"/>
      </w:divBdr>
    </w:div>
    <w:div w:id="771435776">
      <w:bodyDiv w:val="1"/>
      <w:marLeft w:val="0"/>
      <w:marRight w:val="0"/>
      <w:marTop w:val="0"/>
      <w:marBottom w:val="0"/>
      <w:divBdr>
        <w:top w:val="none" w:sz="0" w:space="0" w:color="auto"/>
        <w:left w:val="none" w:sz="0" w:space="0" w:color="auto"/>
        <w:bottom w:val="none" w:sz="0" w:space="0" w:color="auto"/>
        <w:right w:val="none" w:sz="0" w:space="0" w:color="auto"/>
      </w:divBdr>
    </w:div>
    <w:div w:id="860973542">
      <w:bodyDiv w:val="1"/>
      <w:marLeft w:val="0"/>
      <w:marRight w:val="0"/>
      <w:marTop w:val="0"/>
      <w:marBottom w:val="0"/>
      <w:divBdr>
        <w:top w:val="none" w:sz="0" w:space="0" w:color="auto"/>
        <w:left w:val="none" w:sz="0" w:space="0" w:color="auto"/>
        <w:bottom w:val="none" w:sz="0" w:space="0" w:color="auto"/>
        <w:right w:val="none" w:sz="0" w:space="0" w:color="auto"/>
      </w:divBdr>
    </w:div>
    <w:div w:id="971054312">
      <w:bodyDiv w:val="1"/>
      <w:marLeft w:val="0"/>
      <w:marRight w:val="0"/>
      <w:marTop w:val="0"/>
      <w:marBottom w:val="0"/>
      <w:divBdr>
        <w:top w:val="none" w:sz="0" w:space="0" w:color="auto"/>
        <w:left w:val="none" w:sz="0" w:space="0" w:color="auto"/>
        <w:bottom w:val="none" w:sz="0" w:space="0" w:color="auto"/>
        <w:right w:val="none" w:sz="0" w:space="0" w:color="auto"/>
      </w:divBdr>
      <w:divsChild>
        <w:div w:id="1944070729">
          <w:marLeft w:val="0"/>
          <w:marRight w:val="0"/>
          <w:marTop w:val="0"/>
          <w:marBottom w:val="0"/>
          <w:divBdr>
            <w:top w:val="none" w:sz="0" w:space="0" w:color="auto"/>
            <w:left w:val="none" w:sz="0" w:space="0" w:color="auto"/>
            <w:bottom w:val="none" w:sz="0" w:space="0" w:color="auto"/>
            <w:right w:val="none" w:sz="0" w:space="0" w:color="auto"/>
          </w:divBdr>
        </w:div>
      </w:divsChild>
    </w:div>
    <w:div w:id="972062028">
      <w:bodyDiv w:val="1"/>
      <w:marLeft w:val="0"/>
      <w:marRight w:val="0"/>
      <w:marTop w:val="0"/>
      <w:marBottom w:val="0"/>
      <w:divBdr>
        <w:top w:val="none" w:sz="0" w:space="0" w:color="auto"/>
        <w:left w:val="none" w:sz="0" w:space="0" w:color="auto"/>
        <w:bottom w:val="none" w:sz="0" w:space="0" w:color="auto"/>
        <w:right w:val="none" w:sz="0" w:space="0" w:color="auto"/>
      </w:divBdr>
    </w:div>
    <w:div w:id="982275458">
      <w:bodyDiv w:val="1"/>
      <w:marLeft w:val="0"/>
      <w:marRight w:val="0"/>
      <w:marTop w:val="0"/>
      <w:marBottom w:val="0"/>
      <w:divBdr>
        <w:top w:val="none" w:sz="0" w:space="0" w:color="auto"/>
        <w:left w:val="none" w:sz="0" w:space="0" w:color="auto"/>
        <w:bottom w:val="none" w:sz="0" w:space="0" w:color="auto"/>
        <w:right w:val="none" w:sz="0" w:space="0" w:color="auto"/>
      </w:divBdr>
    </w:div>
    <w:div w:id="986325538">
      <w:bodyDiv w:val="1"/>
      <w:marLeft w:val="0"/>
      <w:marRight w:val="0"/>
      <w:marTop w:val="0"/>
      <w:marBottom w:val="0"/>
      <w:divBdr>
        <w:top w:val="none" w:sz="0" w:space="0" w:color="auto"/>
        <w:left w:val="none" w:sz="0" w:space="0" w:color="auto"/>
        <w:bottom w:val="none" w:sz="0" w:space="0" w:color="auto"/>
        <w:right w:val="none" w:sz="0" w:space="0" w:color="auto"/>
      </w:divBdr>
    </w:div>
    <w:div w:id="1060834306">
      <w:bodyDiv w:val="1"/>
      <w:marLeft w:val="0"/>
      <w:marRight w:val="0"/>
      <w:marTop w:val="0"/>
      <w:marBottom w:val="0"/>
      <w:divBdr>
        <w:top w:val="none" w:sz="0" w:space="0" w:color="auto"/>
        <w:left w:val="none" w:sz="0" w:space="0" w:color="auto"/>
        <w:bottom w:val="none" w:sz="0" w:space="0" w:color="auto"/>
        <w:right w:val="none" w:sz="0" w:space="0" w:color="auto"/>
      </w:divBdr>
    </w:div>
    <w:div w:id="1071388769">
      <w:bodyDiv w:val="1"/>
      <w:marLeft w:val="0"/>
      <w:marRight w:val="0"/>
      <w:marTop w:val="0"/>
      <w:marBottom w:val="0"/>
      <w:divBdr>
        <w:top w:val="none" w:sz="0" w:space="0" w:color="auto"/>
        <w:left w:val="none" w:sz="0" w:space="0" w:color="auto"/>
        <w:bottom w:val="none" w:sz="0" w:space="0" w:color="auto"/>
        <w:right w:val="none" w:sz="0" w:space="0" w:color="auto"/>
      </w:divBdr>
    </w:div>
    <w:div w:id="1097947070">
      <w:bodyDiv w:val="1"/>
      <w:marLeft w:val="0"/>
      <w:marRight w:val="0"/>
      <w:marTop w:val="0"/>
      <w:marBottom w:val="0"/>
      <w:divBdr>
        <w:top w:val="none" w:sz="0" w:space="0" w:color="auto"/>
        <w:left w:val="none" w:sz="0" w:space="0" w:color="auto"/>
        <w:bottom w:val="none" w:sz="0" w:space="0" w:color="auto"/>
        <w:right w:val="none" w:sz="0" w:space="0" w:color="auto"/>
      </w:divBdr>
    </w:div>
    <w:div w:id="1145661522">
      <w:bodyDiv w:val="1"/>
      <w:marLeft w:val="0"/>
      <w:marRight w:val="0"/>
      <w:marTop w:val="0"/>
      <w:marBottom w:val="0"/>
      <w:divBdr>
        <w:top w:val="none" w:sz="0" w:space="0" w:color="auto"/>
        <w:left w:val="none" w:sz="0" w:space="0" w:color="auto"/>
        <w:bottom w:val="none" w:sz="0" w:space="0" w:color="auto"/>
        <w:right w:val="none" w:sz="0" w:space="0" w:color="auto"/>
      </w:divBdr>
    </w:div>
    <w:div w:id="1195341276">
      <w:bodyDiv w:val="1"/>
      <w:marLeft w:val="0"/>
      <w:marRight w:val="0"/>
      <w:marTop w:val="0"/>
      <w:marBottom w:val="0"/>
      <w:divBdr>
        <w:top w:val="none" w:sz="0" w:space="0" w:color="auto"/>
        <w:left w:val="none" w:sz="0" w:space="0" w:color="auto"/>
        <w:bottom w:val="none" w:sz="0" w:space="0" w:color="auto"/>
        <w:right w:val="none" w:sz="0" w:space="0" w:color="auto"/>
      </w:divBdr>
    </w:div>
    <w:div w:id="1249146399">
      <w:bodyDiv w:val="1"/>
      <w:marLeft w:val="0"/>
      <w:marRight w:val="0"/>
      <w:marTop w:val="0"/>
      <w:marBottom w:val="0"/>
      <w:divBdr>
        <w:top w:val="none" w:sz="0" w:space="0" w:color="auto"/>
        <w:left w:val="none" w:sz="0" w:space="0" w:color="auto"/>
        <w:bottom w:val="none" w:sz="0" w:space="0" w:color="auto"/>
        <w:right w:val="none" w:sz="0" w:space="0" w:color="auto"/>
      </w:divBdr>
    </w:div>
    <w:div w:id="1255941820">
      <w:bodyDiv w:val="1"/>
      <w:marLeft w:val="0"/>
      <w:marRight w:val="0"/>
      <w:marTop w:val="0"/>
      <w:marBottom w:val="0"/>
      <w:divBdr>
        <w:top w:val="none" w:sz="0" w:space="0" w:color="auto"/>
        <w:left w:val="none" w:sz="0" w:space="0" w:color="auto"/>
        <w:bottom w:val="none" w:sz="0" w:space="0" w:color="auto"/>
        <w:right w:val="none" w:sz="0" w:space="0" w:color="auto"/>
      </w:divBdr>
    </w:div>
    <w:div w:id="1309747317">
      <w:bodyDiv w:val="1"/>
      <w:marLeft w:val="0"/>
      <w:marRight w:val="0"/>
      <w:marTop w:val="0"/>
      <w:marBottom w:val="0"/>
      <w:divBdr>
        <w:top w:val="none" w:sz="0" w:space="0" w:color="auto"/>
        <w:left w:val="none" w:sz="0" w:space="0" w:color="auto"/>
        <w:bottom w:val="none" w:sz="0" w:space="0" w:color="auto"/>
        <w:right w:val="none" w:sz="0" w:space="0" w:color="auto"/>
      </w:divBdr>
    </w:div>
    <w:div w:id="1309937364">
      <w:bodyDiv w:val="1"/>
      <w:marLeft w:val="0"/>
      <w:marRight w:val="0"/>
      <w:marTop w:val="0"/>
      <w:marBottom w:val="0"/>
      <w:divBdr>
        <w:top w:val="none" w:sz="0" w:space="0" w:color="auto"/>
        <w:left w:val="none" w:sz="0" w:space="0" w:color="auto"/>
        <w:bottom w:val="none" w:sz="0" w:space="0" w:color="auto"/>
        <w:right w:val="none" w:sz="0" w:space="0" w:color="auto"/>
      </w:divBdr>
    </w:div>
    <w:div w:id="1316032071">
      <w:bodyDiv w:val="1"/>
      <w:marLeft w:val="0"/>
      <w:marRight w:val="0"/>
      <w:marTop w:val="0"/>
      <w:marBottom w:val="0"/>
      <w:divBdr>
        <w:top w:val="none" w:sz="0" w:space="0" w:color="auto"/>
        <w:left w:val="none" w:sz="0" w:space="0" w:color="auto"/>
        <w:bottom w:val="none" w:sz="0" w:space="0" w:color="auto"/>
        <w:right w:val="none" w:sz="0" w:space="0" w:color="auto"/>
      </w:divBdr>
    </w:div>
    <w:div w:id="1327249144">
      <w:bodyDiv w:val="1"/>
      <w:marLeft w:val="0"/>
      <w:marRight w:val="0"/>
      <w:marTop w:val="0"/>
      <w:marBottom w:val="0"/>
      <w:divBdr>
        <w:top w:val="none" w:sz="0" w:space="0" w:color="auto"/>
        <w:left w:val="none" w:sz="0" w:space="0" w:color="auto"/>
        <w:bottom w:val="none" w:sz="0" w:space="0" w:color="auto"/>
        <w:right w:val="none" w:sz="0" w:space="0" w:color="auto"/>
      </w:divBdr>
    </w:div>
    <w:div w:id="1380975693">
      <w:bodyDiv w:val="1"/>
      <w:marLeft w:val="0"/>
      <w:marRight w:val="0"/>
      <w:marTop w:val="0"/>
      <w:marBottom w:val="0"/>
      <w:divBdr>
        <w:top w:val="none" w:sz="0" w:space="0" w:color="auto"/>
        <w:left w:val="none" w:sz="0" w:space="0" w:color="auto"/>
        <w:bottom w:val="none" w:sz="0" w:space="0" w:color="auto"/>
        <w:right w:val="none" w:sz="0" w:space="0" w:color="auto"/>
      </w:divBdr>
    </w:div>
    <w:div w:id="1389258947">
      <w:bodyDiv w:val="1"/>
      <w:marLeft w:val="0"/>
      <w:marRight w:val="0"/>
      <w:marTop w:val="0"/>
      <w:marBottom w:val="0"/>
      <w:divBdr>
        <w:top w:val="none" w:sz="0" w:space="0" w:color="auto"/>
        <w:left w:val="none" w:sz="0" w:space="0" w:color="auto"/>
        <w:bottom w:val="none" w:sz="0" w:space="0" w:color="auto"/>
        <w:right w:val="none" w:sz="0" w:space="0" w:color="auto"/>
      </w:divBdr>
    </w:div>
    <w:div w:id="1399553088">
      <w:bodyDiv w:val="1"/>
      <w:marLeft w:val="0"/>
      <w:marRight w:val="0"/>
      <w:marTop w:val="0"/>
      <w:marBottom w:val="0"/>
      <w:divBdr>
        <w:top w:val="none" w:sz="0" w:space="0" w:color="auto"/>
        <w:left w:val="none" w:sz="0" w:space="0" w:color="auto"/>
        <w:bottom w:val="none" w:sz="0" w:space="0" w:color="auto"/>
        <w:right w:val="none" w:sz="0" w:space="0" w:color="auto"/>
      </w:divBdr>
    </w:div>
    <w:div w:id="1408306983">
      <w:bodyDiv w:val="1"/>
      <w:marLeft w:val="0"/>
      <w:marRight w:val="0"/>
      <w:marTop w:val="0"/>
      <w:marBottom w:val="0"/>
      <w:divBdr>
        <w:top w:val="none" w:sz="0" w:space="0" w:color="auto"/>
        <w:left w:val="none" w:sz="0" w:space="0" w:color="auto"/>
        <w:bottom w:val="none" w:sz="0" w:space="0" w:color="auto"/>
        <w:right w:val="none" w:sz="0" w:space="0" w:color="auto"/>
      </w:divBdr>
    </w:div>
    <w:div w:id="1423408508">
      <w:bodyDiv w:val="1"/>
      <w:marLeft w:val="0"/>
      <w:marRight w:val="0"/>
      <w:marTop w:val="0"/>
      <w:marBottom w:val="0"/>
      <w:divBdr>
        <w:top w:val="none" w:sz="0" w:space="0" w:color="auto"/>
        <w:left w:val="none" w:sz="0" w:space="0" w:color="auto"/>
        <w:bottom w:val="none" w:sz="0" w:space="0" w:color="auto"/>
        <w:right w:val="none" w:sz="0" w:space="0" w:color="auto"/>
      </w:divBdr>
    </w:div>
    <w:div w:id="1610697517">
      <w:bodyDiv w:val="1"/>
      <w:marLeft w:val="0"/>
      <w:marRight w:val="0"/>
      <w:marTop w:val="0"/>
      <w:marBottom w:val="0"/>
      <w:divBdr>
        <w:top w:val="none" w:sz="0" w:space="0" w:color="auto"/>
        <w:left w:val="none" w:sz="0" w:space="0" w:color="auto"/>
        <w:bottom w:val="none" w:sz="0" w:space="0" w:color="auto"/>
        <w:right w:val="none" w:sz="0" w:space="0" w:color="auto"/>
      </w:divBdr>
    </w:div>
    <w:div w:id="1612738551">
      <w:bodyDiv w:val="1"/>
      <w:marLeft w:val="0"/>
      <w:marRight w:val="0"/>
      <w:marTop w:val="0"/>
      <w:marBottom w:val="0"/>
      <w:divBdr>
        <w:top w:val="none" w:sz="0" w:space="0" w:color="auto"/>
        <w:left w:val="none" w:sz="0" w:space="0" w:color="auto"/>
        <w:bottom w:val="none" w:sz="0" w:space="0" w:color="auto"/>
        <w:right w:val="none" w:sz="0" w:space="0" w:color="auto"/>
      </w:divBdr>
    </w:div>
    <w:div w:id="1634362218">
      <w:bodyDiv w:val="1"/>
      <w:marLeft w:val="0"/>
      <w:marRight w:val="0"/>
      <w:marTop w:val="0"/>
      <w:marBottom w:val="0"/>
      <w:divBdr>
        <w:top w:val="none" w:sz="0" w:space="0" w:color="auto"/>
        <w:left w:val="none" w:sz="0" w:space="0" w:color="auto"/>
        <w:bottom w:val="none" w:sz="0" w:space="0" w:color="auto"/>
        <w:right w:val="none" w:sz="0" w:space="0" w:color="auto"/>
      </w:divBdr>
    </w:div>
    <w:div w:id="1636905826">
      <w:bodyDiv w:val="1"/>
      <w:marLeft w:val="0"/>
      <w:marRight w:val="0"/>
      <w:marTop w:val="0"/>
      <w:marBottom w:val="0"/>
      <w:divBdr>
        <w:top w:val="none" w:sz="0" w:space="0" w:color="auto"/>
        <w:left w:val="none" w:sz="0" w:space="0" w:color="auto"/>
        <w:bottom w:val="none" w:sz="0" w:space="0" w:color="auto"/>
        <w:right w:val="none" w:sz="0" w:space="0" w:color="auto"/>
      </w:divBdr>
    </w:div>
    <w:div w:id="1678002059">
      <w:bodyDiv w:val="1"/>
      <w:marLeft w:val="0"/>
      <w:marRight w:val="0"/>
      <w:marTop w:val="0"/>
      <w:marBottom w:val="0"/>
      <w:divBdr>
        <w:top w:val="none" w:sz="0" w:space="0" w:color="auto"/>
        <w:left w:val="none" w:sz="0" w:space="0" w:color="auto"/>
        <w:bottom w:val="none" w:sz="0" w:space="0" w:color="auto"/>
        <w:right w:val="none" w:sz="0" w:space="0" w:color="auto"/>
      </w:divBdr>
    </w:div>
    <w:div w:id="1781486140">
      <w:bodyDiv w:val="1"/>
      <w:marLeft w:val="0"/>
      <w:marRight w:val="0"/>
      <w:marTop w:val="0"/>
      <w:marBottom w:val="0"/>
      <w:divBdr>
        <w:top w:val="none" w:sz="0" w:space="0" w:color="auto"/>
        <w:left w:val="none" w:sz="0" w:space="0" w:color="auto"/>
        <w:bottom w:val="none" w:sz="0" w:space="0" w:color="auto"/>
        <w:right w:val="none" w:sz="0" w:space="0" w:color="auto"/>
      </w:divBdr>
    </w:div>
    <w:div w:id="1830556836">
      <w:bodyDiv w:val="1"/>
      <w:marLeft w:val="0"/>
      <w:marRight w:val="0"/>
      <w:marTop w:val="0"/>
      <w:marBottom w:val="0"/>
      <w:divBdr>
        <w:top w:val="none" w:sz="0" w:space="0" w:color="auto"/>
        <w:left w:val="none" w:sz="0" w:space="0" w:color="auto"/>
        <w:bottom w:val="none" w:sz="0" w:space="0" w:color="auto"/>
        <w:right w:val="none" w:sz="0" w:space="0" w:color="auto"/>
      </w:divBdr>
    </w:div>
    <w:div w:id="1830636905">
      <w:bodyDiv w:val="1"/>
      <w:marLeft w:val="0"/>
      <w:marRight w:val="0"/>
      <w:marTop w:val="0"/>
      <w:marBottom w:val="0"/>
      <w:divBdr>
        <w:top w:val="none" w:sz="0" w:space="0" w:color="auto"/>
        <w:left w:val="none" w:sz="0" w:space="0" w:color="auto"/>
        <w:bottom w:val="none" w:sz="0" w:space="0" w:color="auto"/>
        <w:right w:val="none" w:sz="0" w:space="0" w:color="auto"/>
      </w:divBdr>
      <w:divsChild>
        <w:div w:id="577443951">
          <w:marLeft w:val="0"/>
          <w:marRight w:val="0"/>
          <w:marTop w:val="0"/>
          <w:marBottom w:val="0"/>
          <w:divBdr>
            <w:top w:val="none" w:sz="0" w:space="0" w:color="auto"/>
            <w:left w:val="none" w:sz="0" w:space="0" w:color="auto"/>
            <w:bottom w:val="none" w:sz="0" w:space="0" w:color="auto"/>
            <w:right w:val="none" w:sz="0" w:space="0" w:color="auto"/>
          </w:divBdr>
          <w:divsChild>
            <w:div w:id="879705398">
              <w:marLeft w:val="0"/>
              <w:marRight w:val="0"/>
              <w:marTop w:val="0"/>
              <w:marBottom w:val="0"/>
              <w:divBdr>
                <w:top w:val="none" w:sz="0" w:space="0" w:color="auto"/>
                <w:left w:val="none" w:sz="0" w:space="0" w:color="auto"/>
                <w:bottom w:val="none" w:sz="0" w:space="0" w:color="auto"/>
                <w:right w:val="none" w:sz="0" w:space="0" w:color="auto"/>
              </w:divBdr>
              <w:divsChild>
                <w:div w:id="849368154">
                  <w:marLeft w:val="0"/>
                  <w:marRight w:val="0"/>
                  <w:marTop w:val="0"/>
                  <w:marBottom w:val="0"/>
                  <w:divBdr>
                    <w:top w:val="none" w:sz="0" w:space="0" w:color="auto"/>
                    <w:left w:val="none" w:sz="0" w:space="0" w:color="auto"/>
                    <w:bottom w:val="none" w:sz="0" w:space="0" w:color="auto"/>
                    <w:right w:val="none" w:sz="0" w:space="0" w:color="auto"/>
                  </w:divBdr>
                  <w:divsChild>
                    <w:div w:id="955718721">
                      <w:marLeft w:val="0"/>
                      <w:marRight w:val="0"/>
                      <w:marTop w:val="0"/>
                      <w:marBottom w:val="0"/>
                      <w:divBdr>
                        <w:top w:val="none" w:sz="0" w:space="0" w:color="auto"/>
                        <w:left w:val="none" w:sz="0" w:space="0" w:color="auto"/>
                        <w:bottom w:val="none" w:sz="0" w:space="0" w:color="auto"/>
                        <w:right w:val="none" w:sz="0" w:space="0" w:color="auto"/>
                      </w:divBdr>
                      <w:divsChild>
                        <w:div w:id="46954307">
                          <w:marLeft w:val="0"/>
                          <w:marRight w:val="0"/>
                          <w:marTop w:val="0"/>
                          <w:marBottom w:val="0"/>
                          <w:divBdr>
                            <w:top w:val="none" w:sz="0" w:space="0" w:color="auto"/>
                            <w:left w:val="none" w:sz="0" w:space="0" w:color="auto"/>
                            <w:bottom w:val="none" w:sz="0" w:space="0" w:color="auto"/>
                            <w:right w:val="none" w:sz="0" w:space="0" w:color="auto"/>
                          </w:divBdr>
                          <w:divsChild>
                            <w:div w:id="1297679834">
                              <w:marLeft w:val="0"/>
                              <w:marRight w:val="0"/>
                              <w:marTop w:val="0"/>
                              <w:marBottom w:val="0"/>
                              <w:divBdr>
                                <w:top w:val="none" w:sz="0" w:space="0" w:color="auto"/>
                                <w:left w:val="none" w:sz="0" w:space="0" w:color="auto"/>
                                <w:bottom w:val="none" w:sz="0" w:space="0" w:color="auto"/>
                                <w:right w:val="none" w:sz="0" w:space="0" w:color="auto"/>
                              </w:divBdr>
                              <w:divsChild>
                                <w:div w:id="1296446840">
                                  <w:marLeft w:val="0"/>
                                  <w:marRight w:val="0"/>
                                  <w:marTop w:val="0"/>
                                  <w:marBottom w:val="0"/>
                                  <w:divBdr>
                                    <w:top w:val="none" w:sz="0" w:space="0" w:color="auto"/>
                                    <w:left w:val="none" w:sz="0" w:space="0" w:color="auto"/>
                                    <w:bottom w:val="none" w:sz="0" w:space="0" w:color="auto"/>
                                    <w:right w:val="none" w:sz="0" w:space="0" w:color="auto"/>
                                  </w:divBdr>
                                  <w:divsChild>
                                    <w:div w:id="1452939035">
                                      <w:marLeft w:val="0"/>
                                      <w:marRight w:val="0"/>
                                      <w:marTop w:val="0"/>
                                      <w:marBottom w:val="0"/>
                                      <w:divBdr>
                                        <w:top w:val="none" w:sz="0" w:space="0" w:color="auto"/>
                                        <w:left w:val="none" w:sz="0" w:space="0" w:color="auto"/>
                                        <w:bottom w:val="none" w:sz="0" w:space="0" w:color="auto"/>
                                        <w:right w:val="none" w:sz="0" w:space="0" w:color="auto"/>
                                      </w:divBdr>
                                      <w:divsChild>
                                        <w:div w:id="316767628">
                                          <w:marLeft w:val="0"/>
                                          <w:marRight w:val="0"/>
                                          <w:marTop w:val="0"/>
                                          <w:marBottom w:val="0"/>
                                          <w:divBdr>
                                            <w:top w:val="none" w:sz="0" w:space="0" w:color="auto"/>
                                            <w:left w:val="none" w:sz="0" w:space="0" w:color="auto"/>
                                            <w:bottom w:val="none" w:sz="0" w:space="0" w:color="auto"/>
                                            <w:right w:val="none" w:sz="0" w:space="0" w:color="auto"/>
                                          </w:divBdr>
                                          <w:divsChild>
                                            <w:div w:id="537355902">
                                              <w:marLeft w:val="0"/>
                                              <w:marRight w:val="0"/>
                                              <w:marTop w:val="0"/>
                                              <w:marBottom w:val="0"/>
                                              <w:divBdr>
                                                <w:top w:val="none" w:sz="0" w:space="0" w:color="auto"/>
                                                <w:left w:val="none" w:sz="0" w:space="0" w:color="auto"/>
                                                <w:bottom w:val="none" w:sz="0" w:space="0" w:color="auto"/>
                                                <w:right w:val="none" w:sz="0" w:space="0" w:color="auto"/>
                                              </w:divBdr>
                                              <w:divsChild>
                                                <w:div w:id="1047097665">
                                                  <w:marLeft w:val="0"/>
                                                  <w:marRight w:val="0"/>
                                                  <w:marTop w:val="0"/>
                                                  <w:marBottom w:val="0"/>
                                                  <w:divBdr>
                                                    <w:top w:val="none" w:sz="0" w:space="0" w:color="auto"/>
                                                    <w:left w:val="none" w:sz="0" w:space="0" w:color="auto"/>
                                                    <w:bottom w:val="none" w:sz="0" w:space="0" w:color="auto"/>
                                                    <w:right w:val="none" w:sz="0" w:space="0" w:color="auto"/>
                                                  </w:divBdr>
                                                  <w:divsChild>
                                                    <w:div w:id="1893543689">
                                                      <w:marLeft w:val="0"/>
                                                      <w:marRight w:val="0"/>
                                                      <w:marTop w:val="0"/>
                                                      <w:marBottom w:val="0"/>
                                                      <w:divBdr>
                                                        <w:top w:val="none" w:sz="0" w:space="0" w:color="auto"/>
                                                        <w:left w:val="none" w:sz="0" w:space="0" w:color="auto"/>
                                                        <w:bottom w:val="none" w:sz="0" w:space="0" w:color="auto"/>
                                                        <w:right w:val="none" w:sz="0" w:space="0" w:color="auto"/>
                                                      </w:divBdr>
                                                      <w:divsChild>
                                                        <w:div w:id="1415778781">
                                                          <w:marLeft w:val="0"/>
                                                          <w:marRight w:val="0"/>
                                                          <w:marTop w:val="0"/>
                                                          <w:marBottom w:val="0"/>
                                                          <w:divBdr>
                                                            <w:top w:val="none" w:sz="0" w:space="0" w:color="auto"/>
                                                            <w:left w:val="none" w:sz="0" w:space="0" w:color="auto"/>
                                                            <w:bottom w:val="none" w:sz="0" w:space="0" w:color="auto"/>
                                                            <w:right w:val="none" w:sz="0" w:space="0" w:color="auto"/>
                                                          </w:divBdr>
                                                          <w:divsChild>
                                                            <w:div w:id="382601187">
                                                              <w:marLeft w:val="0"/>
                                                              <w:marRight w:val="0"/>
                                                              <w:marTop w:val="0"/>
                                                              <w:marBottom w:val="0"/>
                                                              <w:divBdr>
                                                                <w:top w:val="none" w:sz="0" w:space="0" w:color="auto"/>
                                                                <w:left w:val="none" w:sz="0" w:space="0" w:color="auto"/>
                                                                <w:bottom w:val="none" w:sz="0" w:space="0" w:color="auto"/>
                                                                <w:right w:val="none" w:sz="0" w:space="0" w:color="auto"/>
                                                              </w:divBdr>
                                                              <w:divsChild>
                                                                <w:div w:id="1575163521">
                                                                  <w:marLeft w:val="0"/>
                                                                  <w:marRight w:val="0"/>
                                                                  <w:marTop w:val="0"/>
                                                                  <w:marBottom w:val="0"/>
                                                                  <w:divBdr>
                                                                    <w:top w:val="none" w:sz="0" w:space="0" w:color="auto"/>
                                                                    <w:left w:val="none" w:sz="0" w:space="0" w:color="auto"/>
                                                                    <w:bottom w:val="none" w:sz="0" w:space="0" w:color="auto"/>
                                                                    <w:right w:val="none" w:sz="0" w:space="0" w:color="auto"/>
                                                                  </w:divBdr>
                                                                  <w:divsChild>
                                                                    <w:div w:id="154103840">
                                                                      <w:marLeft w:val="0"/>
                                                                      <w:marRight w:val="0"/>
                                                                      <w:marTop w:val="0"/>
                                                                      <w:marBottom w:val="0"/>
                                                                      <w:divBdr>
                                                                        <w:top w:val="none" w:sz="0" w:space="0" w:color="auto"/>
                                                                        <w:left w:val="none" w:sz="0" w:space="0" w:color="auto"/>
                                                                        <w:bottom w:val="none" w:sz="0" w:space="0" w:color="auto"/>
                                                                        <w:right w:val="none" w:sz="0" w:space="0" w:color="auto"/>
                                                                      </w:divBdr>
                                                                      <w:divsChild>
                                                                        <w:div w:id="559171404">
                                                                          <w:marLeft w:val="0"/>
                                                                          <w:marRight w:val="0"/>
                                                                          <w:marTop w:val="0"/>
                                                                          <w:marBottom w:val="0"/>
                                                                          <w:divBdr>
                                                                            <w:top w:val="none" w:sz="0" w:space="0" w:color="auto"/>
                                                                            <w:left w:val="none" w:sz="0" w:space="0" w:color="auto"/>
                                                                            <w:bottom w:val="none" w:sz="0" w:space="0" w:color="auto"/>
                                                                            <w:right w:val="none" w:sz="0" w:space="0" w:color="auto"/>
                                                                          </w:divBdr>
                                                                          <w:divsChild>
                                                                            <w:div w:id="64107676">
                                                                              <w:marLeft w:val="0"/>
                                                                              <w:marRight w:val="0"/>
                                                                              <w:marTop w:val="0"/>
                                                                              <w:marBottom w:val="0"/>
                                                                              <w:divBdr>
                                                                                <w:top w:val="none" w:sz="0" w:space="0" w:color="auto"/>
                                                                                <w:left w:val="none" w:sz="0" w:space="0" w:color="auto"/>
                                                                                <w:bottom w:val="none" w:sz="0" w:space="0" w:color="auto"/>
                                                                                <w:right w:val="none" w:sz="0" w:space="0" w:color="auto"/>
                                                                              </w:divBdr>
                                                                              <w:divsChild>
                                                                                <w:div w:id="1537889338">
                                                                                  <w:marLeft w:val="0"/>
                                                                                  <w:marRight w:val="0"/>
                                                                                  <w:marTop w:val="0"/>
                                                                                  <w:marBottom w:val="0"/>
                                                                                  <w:divBdr>
                                                                                    <w:top w:val="none" w:sz="0" w:space="0" w:color="auto"/>
                                                                                    <w:left w:val="none" w:sz="0" w:space="0" w:color="auto"/>
                                                                                    <w:bottom w:val="none" w:sz="0" w:space="0" w:color="auto"/>
                                                                                    <w:right w:val="none" w:sz="0" w:space="0" w:color="auto"/>
                                                                                  </w:divBdr>
                                                                                  <w:divsChild>
                                                                                    <w:div w:id="218446439">
                                                                                      <w:marLeft w:val="0"/>
                                                                                      <w:marRight w:val="0"/>
                                                                                      <w:marTop w:val="0"/>
                                                                                      <w:marBottom w:val="0"/>
                                                                                      <w:divBdr>
                                                                                        <w:top w:val="none" w:sz="0" w:space="0" w:color="auto"/>
                                                                                        <w:left w:val="none" w:sz="0" w:space="0" w:color="auto"/>
                                                                                        <w:bottom w:val="none" w:sz="0" w:space="0" w:color="auto"/>
                                                                                        <w:right w:val="none" w:sz="0" w:space="0" w:color="auto"/>
                                                                                      </w:divBdr>
                                                                                      <w:divsChild>
                                                                                        <w:div w:id="1025137817">
                                                                                          <w:marLeft w:val="0"/>
                                                                                          <w:marRight w:val="0"/>
                                                                                          <w:marTop w:val="0"/>
                                                                                          <w:marBottom w:val="0"/>
                                                                                          <w:divBdr>
                                                                                            <w:top w:val="none" w:sz="0" w:space="0" w:color="auto"/>
                                                                                            <w:left w:val="none" w:sz="0" w:space="0" w:color="auto"/>
                                                                                            <w:bottom w:val="none" w:sz="0" w:space="0" w:color="auto"/>
                                                                                            <w:right w:val="none" w:sz="0" w:space="0" w:color="auto"/>
                                                                                          </w:divBdr>
                                                                                          <w:divsChild>
                                                                                            <w:div w:id="1397315742">
                                                                                              <w:marLeft w:val="0"/>
                                                                                              <w:marRight w:val="0"/>
                                                                                              <w:marTop w:val="0"/>
                                                                                              <w:marBottom w:val="0"/>
                                                                                              <w:divBdr>
                                                                                                <w:top w:val="none" w:sz="0" w:space="0" w:color="auto"/>
                                                                                                <w:left w:val="none" w:sz="0" w:space="0" w:color="auto"/>
                                                                                                <w:bottom w:val="none" w:sz="0" w:space="0" w:color="auto"/>
                                                                                                <w:right w:val="none" w:sz="0" w:space="0" w:color="auto"/>
                                                                                              </w:divBdr>
                                                                                              <w:divsChild>
                                                                                                <w:div w:id="976447927">
                                                                                                  <w:marLeft w:val="0"/>
                                                                                                  <w:marRight w:val="0"/>
                                                                                                  <w:marTop w:val="0"/>
                                                                                                  <w:marBottom w:val="0"/>
                                                                                                  <w:divBdr>
                                                                                                    <w:top w:val="none" w:sz="0" w:space="0" w:color="auto"/>
                                                                                                    <w:left w:val="none" w:sz="0" w:space="0" w:color="auto"/>
                                                                                                    <w:bottom w:val="none" w:sz="0" w:space="0" w:color="auto"/>
                                                                                                    <w:right w:val="none" w:sz="0" w:space="0" w:color="auto"/>
                                                                                                  </w:divBdr>
                                                                                                  <w:divsChild>
                                                                                                    <w:div w:id="1461923646">
                                                                                                      <w:marLeft w:val="0"/>
                                                                                                      <w:marRight w:val="0"/>
                                                                                                      <w:marTop w:val="0"/>
                                                                                                      <w:marBottom w:val="0"/>
                                                                                                      <w:divBdr>
                                                                                                        <w:top w:val="none" w:sz="0" w:space="0" w:color="auto"/>
                                                                                                        <w:left w:val="none" w:sz="0" w:space="0" w:color="auto"/>
                                                                                                        <w:bottom w:val="none" w:sz="0" w:space="0" w:color="auto"/>
                                                                                                        <w:right w:val="none" w:sz="0" w:space="0" w:color="auto"/>
                                                                                                      </w:divBdr>
                                                                                                      <w:divsChild>
                                                                                                        <w:div w:id="252010638">
                                                                                                          <w:marLeft w:val="0"/>
                                                                                                          <w:marRight w:val="0"/>
                                                                                                          <w:marTop w:val="0"/>
                                                                                                          <w:marBottom w:val="0"/>
                                                                                                          <w:divBdr>
                                                                                                            <w:top w:val="none" w:sz="0" w:space="0" w:color="auto"/>
                                                                                                            <w:left w:val="none" w:sz="0" w:space="0" w:color="auto"/>
                                                                                                            <w:bottom w:val="none" w:sz="0" w:space="0" w:color="auto"/>
                                                                                                            <w:right w:val="none" w:sz="0" w:space="0" w:color="auto"/>
                                                                                                          </w:divBdr>
                                                                                                          <w:divsChild>
                                                                                                            <w:div w:id="919676596">
                                                                                                              <w:marLeft w:val="0"/>
                                                                                                              <w:marRight w:val="0"/>
                                                                                                              <w:marTop w:val="0"/>
                                                                                                              <w:marBottom w:val="0"/>
                                                                                                              <w:divBdr>
                                                                                                                <w:top w:val="none" w:sz="0" w:space="0" w:color="auto"/>
                                                                                                                <w:left w:val="none" w:sz="0" w:space="0" w:color="auto"/>
                                                                                                                <w:bottom w:val="none" w:sz="0" w:space="0" w:color="auto"/>
                                                                                                                <w:right w:val="none" w:sz="0" w:space="0" w:color="auto"/>
                                                                                                              </w:divBdr>
                                                                                                              <w:divsChild>
                                                                                                                <w:div w:id="513304029">
                                                                                                                  <w:marLeft w:val="0"/>
                                                                                                                  <w:marRight w:val="0"/>
                                                                                                                  <w:marTop w:val="0"/>
                                                                                                                  <w:marBottom w:val="0"/>
                                                                                                                  <w:divBdr>
                                                                                                                    <w:top w:val="none" w:sz="0" w:space="0" w:color="auto"/>
                                                                                                                    <w:left w:val="none" w:sz="0" w:space="0" w:color="auto"/>
                                                                                                                    <w:bottom w:val="none" w:sz="0" w:space="0" w:color="auto"/>
                                                                                                                    <w:right w:val="none" w:sz="0" w:space="0" w:color="auto"/>
                                                                                                                  </w:divBdr>
                                                                                                                  <w:divsChild>
                                                                                                                    <w:div w:id="38673056">
                                                                                                                      <w:marLeft w:val="0"/>
                                                                                                                      <w:marRight w:val="0"/>
                                                                                                                      <w:marTop w:val="0"/>
                                                                                                                      <w:marBottom w:val="0"/>
                                                                                                                      <w:divBdr>
                                                                                                                        <w:top w:val="none" w:sz="0" w:space="0" w:color="auto"/>
                                                                                                                        <w:left w:val="none" w:sz="0" w:space="0" w:color="auto"/>
                                                                                                                        <w:bottom w:val="none" w:sz="0" w:space="0" w:color="auto"/>
                                                                                                                        <w:right w:val="none" w:sz="0" w:space="0" w:color="auto"/>
                                                                                                                      </w:divBdr>
                                                                                                                      <w:divsChild>
                                                                                                                        <w:div w:id="587494923">
                                                                                                                          <w:marLeft w:val="0"/>
                                                                                                                          <w:marRight w:val="0"/>
                                                                                                                          <w:marTop w:val="0"/>
                                                                                                                          <w:marBottom w:val="0"/>
                                                                                                                          <w:divBdr>
                                                                                                                            <w:top w:val="none" w:sz="0" w:space="0" w:color="auto"/>
                                                                                                                            <w:left w:val="none" w:sz="0" w:space="0" w:color="auto"/>
                                                                                                                            <w:bottom w:val="none" w:sz="0" w:space="0" w:color="auto"/>
                                                                                                                            <w:right w:val="none" w:sz="0" w:space="0" w:color="auto"/>
                                                                                                                          </w:divBdr>
                                                                                                                          <w:divsChild>
                                                                                                                            <w:div w:id="974217511">
                                                                                                                              <w:marLeft w:val="0"/>
                                                                                                                              <w:marRight w:val="0"/>
                                                                                                                              <w:marTop w:val="0"/>
                                                                                                                              <w:marBottom w:val="0"/>
                                                                                                                              <w:divBdr>
                                                                                                                                <w:top w:val="none" w:sz="0" w:space="0" w:color="auto"/>
                                                                                                                                <w:left w:val="none" w:sz="0" w:space="0" w:color="auto"/>
                                                                                                                                <w:bottom w:val="none" w:sz="0" w:space="0" w:color="auto"/>
                                                                                                                                <w:right w:val="none" w:sz="0" w:space="0" w:color="auto"/>
                                                                                                                              </w:divBdr>
                                                                                                                              <w:divsChild>
                                                                                                                                <w:div w:id="1699157387">
                                                                                                                                  <w:marLeft w:val="0"/>
                                                                                                                                  <w:marRight w:val="0"/>
                                                                                                                                  <w:marTop w:val="0"/>
                                                                                                                                  <w:marBottom w:val="0"/>
                                                                                                                                  <w:divBdr>
                                                                                                                                    <w:top w:val="none" w:sz="0" w:space="0" w:color="auto"/>
                                                                                                                                    <w:left w:val="none" w:sz="0" w:space="0" w:color="auto"/>
                                                                                                                                    <w:bottom w:val="none" w:sz="0" w:space="0" w:color="auto"/>
                                                                                                                                    <w:right w:val="none" w:sz="0" w:space="0" w:color="auto"/>
                                                                                                                                  </w:divBdr>
                                                                                                                                  <w:divsChild>
                                                                                                                                    <w:div w:id="2110613020">
                                                                                                                                      <w:marLeft w:val="0"/>
                                                                                                                                      <w:marRight w:val="0"/>
                                                                                                                                      <w:marTop w:val="0"/>
                                                                                                                                      <w:marBottom w:val="0"/>
                                                                                                                                      <w:divBdr>
                                                                                                                                        <w:top w:val="none" w:sz="0" w:space="0" w:color="auto"/>
                                                                                                                                        <w:left w:val="none" w:sz="0" w:space="0" w:color="auto"/>
                                                                                                                                        <w:bottom w:val="none" w:sz="0" w:space="0" w:color="auto"/>
                                                                                                                                        <w:right w:val="none" w:sz="0" w:space="0" w:color="auto"/>
                                                                                                                                      </w:divBdr>
                                                                                                                                      <w:divsChild>
                                                                                                                                        <w:div w:id="1813402200">
                                                                                                                                          <w:marLeft w:val="0"/>
                                                                                                                                          <w:marRight w:val="0"/>
                                                                                                                                          <w:marTop w:val="0"/>
                                                                                                                                          <w:marBottom w:val="0"/>
                                                                                                                                          <w:divBdr>
                                                                                                                                            <w:top w:val="none" w:sz="0" w:space="0" w:color="auto"/>
                                                                                                                                            <w:left w:val="none" w:sz="0" w:space="0" w:color="auto"/>
                                                                                                                                            <w:bottom w:val="none" w:sz="0" w:space="0" w:color="auto"/>
                                                                                                                                            <w:right w:val="none" w:sz="0" w:space="0" w:color="auto"/>
                                                                                                                                          </w:divBdr>
                                                                                                                                          <w:divsChild>
                                                                                                                                            <w:div w:id="437719694">
                                                                                                                                              <w:marLeft w:val="0"/>
                                                                                                                                              <w:marRight w:val="0"/>
                                                                                                                                              <w:marTop w:val="0"/>
                                                                                                                                              <w:marBottom w:val="0"/>
                                                                                                                                              <w:divBdr>
                                                                                                                                                <w:top w:val="none" w:sz="0" w:space="0" w:color="auto"/>
                                                                                                                                                <w:left w:val="none" w:sz="0" w:space="0" w:color="auto"/>
                                                                                                                                                <w:bottom w:val="none" w:sz="0" w:space="0" w:color="auto"/>
                                                                                                                                                <w:right w:val="none" w:sz="0" w:space="0" w:color="auto"/>
                                                                                                                                              </w:divBdr>
                                                                                                                                              <w:divsChild>
                                                                                                                                                <w:div w:id="941953681">
                                                                                                                                                  <w:marLeft w:val="0"/>
                                                                                                                                                  <w:marRight w:val="0"/>
                                                                                                                                                  <w:marTop w:val="0"/>
                                                                                                                                                  <w:marBottom w:val="0"/>
                                                                                                                                                  <w:divBdr>
                                                                                                                                                    <w:top w:val="none" w:sz="0" w:space="0" w:color="auto"/>
                                                                                                                                                    <w:left w:val="none" w:sz="0" w:space="0" w:color="auto"/>
                                                                                                                                                    <w:bottom w:val="none" w:sz="0" w:space="0" w:color="auto"/>
                                                                                                                                                    <w:right w:val="none" w:sz="0" w:space="0" w:color="auto"/>
                                                                                                                                                  </w:divBdr>
                                                                                                                                                  <w:divsChild>
                                                                                                                                                    <w:div w:id="385564898">
                                                                                                                                                      <w:marLeft w:val="0"/>
                                                                                                                                                      <w:marRight w:val="0"/>
                                                                                                                                                      <w:marTop w:val="0"/>
                                                                                                                                                      <w:marBottom w:val="0"/>
                                                                                                                                                      <w:divBdr>
                                                                                                                                                        <w:top w:val="none" w:sz="0" w:space="0" w:color="auto"/>
                                                                                                                                                        <w:left w:val="none" w:sz="0" w:space="0" w:color="auto"/>
                                                                                                                                                        <w:bottom w:val="none" w:sz="0" w:space="0" w:color="auto"/>
                                                                                                                                                        <w:right w:val="none" w:sz="0" w:space="0" w:color="auto"/>
                                                                                                                                                      </w:divBdr>
                                                                                                                                                      <w:divsChild>
                                                                                                                                                        <w:div w:id="50538942">
                                                                                                                                                          <w:marLeft w:val="0"/>
                                                                                                                                                          <w:marRight w:val="0"/>
                                                                                                                                                          <w:marTop w:val="0"/>
                                                                                                                                                          <w:marBottom w:val="0"/>
                                                                                                                                                          <w:divBdr>
                                                                                                                                                            <w:top w:val="none" w:sz="0" w:space="0" w:color="auto"/>
                                                                                                                                                            <w:left w:val="none" w:sz="0" w:space="0" w:color="auto"/>
                                                                                                                                                            <w:bottom w:val="none" w:sz="0" w:space="0" w:color="auto"/>
                                                                                                                                                            <w:right w:val="none" w:sz="0" w:space="0" w:color="auto"/>
                                                                                                                                                          </w:divBdr>
                                                                                                                                                          <w:divsChild>
                                                                                                                                                            <w:div w:id="582567575">
                                                                                                                                                              <w:marLeft w:val="0"/>
                                                                                                                                                              <w:marRight w:val="0"/>
                                                                                                                                                              <w:marTop w:val="0"/>
                                                                                                                                                              <w:marBottom w:val="0"/>
                                                                                                                                                              <w:divBdr>
                                                                                                                                                                <w:top w:val="none" w:sz="0" w:space="0" w:color="auto"/>
                                                                                                                                                                <w:left w:val="none" w:sz="0" w:space="0" w:color="auto"/>
                                                                                                                                                                <w:bottom w:val="none" w:sz="0" w:space="0" w:color="auto"/>
                                                                                                                                                                <w:right w:val="none" w:sz="0" w:space="0" w:color="auto"/>
                                                                                                                                                              </w:divBdr>
                                                                                                                                                              <w:divsChild>
                                                                                                                                                                <w:div w:id="622199136">
                                                                                                                                                                  <w:marLeft w:val="0"/>
                                                                                                                                                                  <w:marRight w:val="0"/>
                                                                                                                                                                  <w:marTop w:val="0"/>
                                                                                                                                                                  <w:marBottom w:val="0"/>
                                                                                                                                                                  <w:divBdr>
                                                                                                                                                                    <w:top w:val="none" w:sz="0" w:space="0" w:color="auto"/>
                                                                                                                                                                    <w:left w:val="none" w:sz="0" w:space="0" w:color="auto"/>
                                                                                                                                                                    <w:bottom w:val="none" w:sz="0" w:space="0" w:color="auto"/>
                                                                                                                                                                    <w:right w:val="none" w:sz="0" w:space="0" w:color="auto"/>
                                                                                                                                                                  </w:divBdr>
                                                                                                                                                                  <w:divsChild>
                                                                                                                                                                    <w:div w:id="1596589961">
                                                                                                                                                                      <w:marLeft w:val="0"/>
                                                                                                                                                                      <w:marRight w:val="0"/>
                                                                                                                                                                      <w:marTop w:val="0"/>
                                                                                                                                                                      <w:marBottom w:val="0"/>
                                                                                                                                                                      <w:divBdr>
                                                                                                                                                                        <w:top w:val="none" w:sz="0" w:space="0" w:color="auto"/>
                                                                                                                                                                        <w:left w:val="none" w:sz="0" w:space="0" w:color="auto"/>
                                                                                                                                                                        <w:bottom w:val="none" w:sz="0" w:space="0" w:color="auto"/>
                                                                                                                                                                        <w:right w:val="none" w:sz="0" w:space="0" w:color="auto"/>
                                                                                                                                                                      </w:divBdr>
                                                                                                                                                                      <w:divsChild>
                                                                                                                                                                        <w:div w:id="1105882228">
                                                                                                                                                                          <w:marLeft w:val="0"/>
                                                                                                                                                                          <w:marRight w:val="0"/>
                                                                                                                                                                          <w:marTop w:val="0"/>
                                                                                                                                                                          <w:marBottom w:val="0"/>
                                                                                                                                                                          <w:divBdr>
                                                                                                                                                                            <w:top w:val="none" w:sz="0" w:space="0" w:color="auto"/>
                                                                                                                                                                            <w:left w:val="none" w:sz="0" w:space="0" w:color="auto"/>
                                                                                                                                                                            <w:bottom w:val="none" w:sz="0" w:space="0" w:color="auto"/>
                                                                                                                                                                            <w:right w:val="none" w:sz="0" w:space="0" w:color="auto"/>
                                                                                                                                                                          </w:divBdr>
                                                                                                                                                                          <w:divsChild>
                                                                                                                                                                            <w:div w:id="439567632">
                                                                                                                                                                              <w:marLeft w:val="0"/>
                                                                                                                                                                              <w:marRight w:val="0"/>
                                                                                                                                                                              <w:marTop w:val="0"/>
                                                                                                                                                                              <w:marBottom w:val="0"/>
                                                                                                                                                                              <w:divBdr>
                                                                                                                                                                                <w:top w:val="none" w:sz="0" w:space="0" w:color="auto"/>
                                                                                                                                                                                <w:left w:val="none" w:sz="0" w:space="0" w:color="auto"/>
                                                                                                                                                                                <w:bottom w:val="none" w:sz="0" w:space="0" w:color="auto"/>
                                                                                                                                                                                <w:right w:val="none" w:sz="0" w:space="0" w:color="auto"/>
                                                                                                                                                                              </w:divBdr>
                                                                                                                                                                              <w:divsChild>
                                                                                                                                                                                <w:div w:id="273220278">
                                                                                                                                                                                  <w:marLeft w:val="0"/>
                                                                                                                                                                                  <w:marRight w:val="0"/>
                                                                                                                                                                                  <w:marTop w:val="0"/>
                                                                                                                                                                                  <w:marBottom w:val="0"/>
                                                                                                                                                                                  <w:divBdr>
                                                                                                                                                                                    <w:top w:val="none" w:sz="0" w:space="0" w:color="auto"/>
                                                                                                                                                                                    <w:left w:val="none" w:sz="0" w:space="0" w:color="auto"/>
                                                                                                                                                                                    <w:bottom w:val="none" w:sz="0" w:space="0" w:color="auto"/>
                                                                                                                                                                                    <w:right w:val="none" w:sz="0" w:space="0" w:color="auto"/>
                                                                                                                                                                                  </w:divBdr>
                                                                                                                                                                                  <w:divsChild>
                                                                                                                                                                                    <w:div w:id="1743335274">
                                                                                                                                                                                      <w:marLeft w:val="0"/>
                                                                                                                                                                                      <w:marRight w:val="0"/>
                                                                                                                                                                                      <w:marTop w:val="0"/>
                                                                                                                                                                                      <w:marBottom w:val="0"/>
                                                                                                                                                                                      <w:divBdr>
                                                                                                                                                                                        <w:top w:val="none" w:sz="0" w:space="0" w:color="auto"/>
                                                                                                                                                                                        <w:left w:val="none" w:sz="0" w:space="0" w:color="auto"/>
                                                                                                                                                                                        <w:bottom w:val="none" w:sz="0" w:space="0" w:color="auto"/>
                                                                                                                                                                                        <w:right w:val="none" w:sz="0" w:space="0" w:color="auto"/>
                                                                                                                                                                                      </w:divBdr>
                                                                                                                                                                                      <w:divsChild>
                                                                                                                                                                                        <w:div w:id="1347825660">
                                                                                                                                                                                          <w:marLeft w:val="0"/>
                                                                                                                                                                                          <w:marRight w:val="0"/>
                                                                                                                                                                                          <w:marTop w:val="0"/>
                                                                                                                                                                                          <w:marBottom w:val="0"/>
                                                                                                                                                                                          <w:divBdr>
                                                                                                                                                                                            <w:top w:val="none" w:sz="0" w:space="0" w:color="auto"/>
                                                                                                                                                                                            <w:left w:val="none" w:sz="0" w:space="0" w:color="auto"/>
                                                                                                                                                                                            <w:bottom w:val="none" w:sz="0" w:space="0" w:color="auto"/>
                                                                                                                                                                                            <w:right w:val="none" w:sz="0" w:space="0" w:color="auto"/>
                                                                                                                                                                                          </w:divBdr>
                                                                                                                                                                                          <w:divsChild>
                                                                                                                                                                                            <w:div w:id="16633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901267">
      <w:bodyDiv w:val="1"/>
      <w:marLeft w:val="0"/>
      <w:marRight w:val="0"/>
      <w:marTop w:val="0"/>
      <w:marBottom w:val="0"/>
      <w:divBdr>
        <w:top w:val="none" w:sz="0" w:space="0" w:color="auto"/>
        <w:left w:val="none" w:sz="0" w:space="0" w:color="auto"/>
        <w:bottom w:val="none" w:sz="0" w:space="0" w:color="auto"/>
        <w:right w:val="none" w:sz="0" w:space="0" w:color="auto"/>
      </w:divBdr>
    </w:div>
    <w:div w:id="1892576019">
      <w:bodyDiv w:val="1"/>
      <w:marLeft w:val="0"/>
      <w:marRight w:val="0"/>
      <w:marTop w:val="0"/>
      <w:marBottom w:val="0"/>
      <w:divBdr>
        <w:top w:val="none" w:sz="0" w:space="0" w:color="auto"/>
        <w:left w:val="none" w:sz="0" w:space="0" w:color="auto"/>
        <w:bottom w:val="none" w:sz="0" w:space="0" w:color="auto"/>
        <w:right w:val="none" w:sz="0" w:space="0" w:color="auto"/>
      </w:divBdr>
    </w:div>
    <w:div w:id="2044281858">
      <w:bodyDiv w:val="1"/>
      <w:marLeft w:val="0"/>
      <w:marRight w:val="0"/>
      <w:marTop w:val="0"/>
      <w:marBottom w:val="0"/>
      <w:divBdr>
        <w:top w:val="none" w:sz="0" w:space="0" w:color="auto"/>
        <w:left w:val="none" w:sz="0" w:space="0" w:color="auto"/>
        <w:bottom w:val="none" w:sz="0" w:space="0" w:color="auto"/>
        <w:right w:val="none" w:sz="0" w:space="0" w:color="auto"/>
      </w:divBdr>
    </w:div>
    <w:div w:id="2068868464">
      <w:bodyDiv w:val="1"/>
      <w:marLeft w:val="0"/>
      <w:marRight w:val="0"/>
      <w:marTop w:val="0"/>
      <w:marBottom w:val="0"/>
      <w:divBdr>
        <w:top w:val="none" w:sz="0" w:space="0" w:color="auto"/>
        <w:left w:val="none" w:sz="0" w:space="0" w:color="auto"/>
        <w:bottom w:val="none" w:sz="0" w:space="0" w:color="auto"/>
        <w:right w:val="none" w:sz="0" w:space="0" w:color="auto"/>
      </w:divBdr>
    </w:div>
    <w:div w:id="2092390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headm@mcmaster.ca" TargetMode="External"/><Relationship Id="rId47" Type="http://schemas.openxmlformats.org/officeDocument/2006/relationships/hyperlink" Target="mailto:ethicsoffice@mcmaster.ca" TargetMode="Externa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chart" Target="charts/chart5.xm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6.xml"/><Relationship Id="rId31" Type="http://schemas.openxmlformats.org/officeDocument/2006/relationships/chart" Target="charts/chart7.xml"/><Relationship Id="rId32" Type="http://schemas.openxmlformats.org/officeDocument/2006/relationships/chart" Target="charts/chart8.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9.xml"/><Relationship Id="rId34" Type="http://schemas.openxmlformats.org/officeDocument/2006/relationships/chart" Target="charts/chart10.xml"/><Relationship Id="rId35" Type="http://schemas.openxmlformats.org/officeDocument/2006/relationships/hyperlink" Target="http://daphne.palomar.edu/design/gestalt.html" TargetMode="External"/><Relationship Id="rId36" Type="http://schemas.openxmlformats.org/officeDocument/2006/relationships/hyperlink" Target="http://daphne.palomar.edu/design/gestalt.html"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png"/><Relationship Id="rId37" Type="http://schemas.openxmlformats.org/officeDocument/2006/relationships/hyperlink" Target="http://daphne.palomar.edu/design/simnprox.html" TargetMode="External"/><Relationship Id="rId38" Type="http://schemas.openxmlformats.org/officeDocument/2006/relationships/hyperlink" Target="http://daphne.palomar.edu/design/simnprox.html" TargetMode="External"/><Relationship Id="rId39" Type="http://schemas.openxmlformats.org/officeDocument/2006/relationships/hyperlink" Target="http://daphne.palomar.edu/design/align.html" TargetMode="External"/><Relationship Id="rId40" Type="http://schemas.openxmlformats.org/officeDocument/2006/relationships/hyperlink" Target="http://daphne.palomar.edu/design/emphasis.html" TargetMode="External"/><Relationship Id="rId41" Type="http://schemas.openxmlformats.org/officeDocument/2006/relationships/image" Target="media/image14.gif"/><Relationship Id="rId42" Type="http://schemas.openxmlformats.org/officeDocument/2006/relationships/image" Target="media/image15.gif"/><Relationship Id="rId43" Type="http://schemas.openxmlformats.org/officeDocument/2006/relationships/hyperlink" Target="http://metalab.unc.edu/wm/paint/auth/vinci/lastsupp.jpg" TargetMode="External"/><Relationship Id="rId44" Type="http://schemas.openxmlformats.org/officeDocument/2006/relationships/image" Target="media/image16.jpeg"/><Relationship Id="rId45" Type="http://schemas.openxmlformats.org/officeDocument/2006/relationships/hyperlink" Target="mailto:sepehrs@mcmaster.ca"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SepSep:Users:SepSep:Dropbox:School%20Stuff:Research:ERPSim%20Study%202:ERPsim%202%20-%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SepSep:Users:SepSep:Dropbox:School%20Stuff:Research:ERPSim%20Study%202:ERPsim%202%20-%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epSep:Users:SepSep:Dropbox:School%20Stuff:Research:ERPSim%20Study%202:ERPsim%202%20-%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Charts!$B$1</c:f>
              <c:strCache>
                <c:ptCount val="1"/>
                <c:pt idx="0">
                  <c:v>Skill</c:v>
                </c:pt>
              </c:strCache>
            </c:strRef>
          </c:tx>
          <c:marker>
            <c:symbol val="none"/>
          </c:marker>
          <c:cat>
            <c:strRef>
              <c:f>Charts!$A$2:$A$4</c:f>
              <c:strCache>
                <c:ptCount val="3"/>
                <c:pt idx="0">
                  <c:v>T1</c:v>
                </c:pt>
                <c:pt idx="1">
                  <c:v>T2</c:v>
                </c:pt>
                <c:pt idx="2">
                  <c:v>T3</c:v>
                </c:pt>
              </c:strCache>
            </c:strRef>
          </c:cat>
          <c:val>
            <c:numRef>
              <c:f>Charts!$B$2:$B$4</c:f>
              <c:numCache>
                <c:formatCode>General</c:formatCode>
                <c:ptCount val="3"/>
                <c:pt idx="0">
                  <c:v>3.80392156862745</c:v>
                </c:pt>
                <c:pt idx="1">
                  <c:v>4.392156862745073</c:v>
                </c:pt>
                <c:pt idx="2">
                  <c:v>5.023809523809524</c:v>
                </c:pt>
              </c:numCache>
            </c:numRef>
          </c:val>
          <c:smooth val="0"/>
        </c:ser>
        <c:ser>
          <c:idx val="2"/>
          <c:order val="1"/>
          <c:tx>
            <c:strRef>
              <c:f>Charts!$D$1</c:f>
              <c:strCache>
                <c:ptCount val="1"/>
                <c:pt idx="0">
                  <c:v>Control</c:v>
                </c:pt>
              </c:strCache>
            </c:strRef>
          </c:tx>
          <c:marker>
            <c:symbol val="none"/>
          </c:marker>
          <c:cat>
            <c:strRef>
              <c:f>Charts!$A$2:$A$4</c:f>
              <c:strCache>
                <c:ptCount val="3"/>
                <c:pt idx="0">
                  <c:v>T1</c:v>
                </c:pt>
                <c:pt idx="1">
                  <c:v>T2</c:v>
                </c:pt>
                <c:pt idx="2">
                  <c:v>T3</c:v>
                </c:pt>
              </c:strCache>
            </c:strRef>
          </c:cat>
          <c:val>
            <c:numRef>
              <c:f>Charts!$D$2:$D$4</c:f>
              <c:numCache>
                <c:formatCode>General</c:formatCode>
                <c:ptCount val="3"/>
                <c:pt idx="0">
                  <c:v>4.529411765</c:v>
                </c:pt>
                <c:pt idx="1">
                  <c:v>4.735294118</c:v>
                </c:pt>
                <c:pt idx="2">
                  <c:v>5.30952381</c:v>
                </c:pt>
              </c:numCache>
            </c:numRef>
          </c:val>
          <c:smooth val="0"/>
        </c:ser>
        <c:ser>
          <c:idx val="3"/>
          <c:order val="2"/>
          <c:tx>
            <c:strRef>
              <c:f>Charts!$E$1</c:f>
              <c:strCache>
                <c:ptCount val="1"/>
                <c:pt idx="0">
                  <c:v>Balance</c:v>
                </c:pt>
              </c:strCache>
            </c:strRef>
          </c:tx>
          <c:marker>
            <c:symbol val="none"/>
          </c:marker>
          <c:cat>
            <c:strRef>
              <c:f>Charts!$A$2:$A$4</c:f>
              <c:strCache>
                <c:ptCount val="3"/>
                <c:pt idx="0">
                  <c:v>T1</c:v>
                </c:pt>
                <c:pt idx="1">
                  <c:v>T2</c:v>
                </c:pt>
                <c:pt idx="2">
                  <c:v>T3</c:v>
                </c:pt>
              </c:strCache>
            </c:strRef>
          </c:cat>
          <c:val>
            <c:numRef>
              <c:f>Charts!$E$2:$E$4</c:f>
              <c:numCache>
                <c:formatCode>General</c:formatCode>
                <c:ptCount val="3"/>
                <c:pt idx="0">
                  <c:v>4.764705881999987</c:v>
                </c:pt>
                <c:pt idx="1">
                  <c:v>5.235294118</c:v>
                </c:pt>
                <c:pt idx="2">
                  <c:v>5.678571429</c:v>
                </c:pt>
              </c:numCache>
            </c:numRef>
          </c:val>
          <c:smooth val="0"/>
        </c:ser>
        <c:ser>
          <c:idx val="5"/>
          <c:order val="3"/>
          <c:tx>
            <c:strRef>
              <c:f>Charts!$F$1</c:f>
              <c:strCache>
                <c:ptCount val="1"/>
                <c:pt idx="0">
                  <c:v>PA</c:v>
                </c:pt>
              </c:strCache>
            </c:strRef>
          </c:tx>
          <c:marker>
            <c:symbol val="none"/>
          </c:marker>
          <c:cat>
            <c:strRef>
              <c:f>Charts!$A$2:$A$4</c:f>
              <c:strCache>
                <c:ptCount val="3"/>
                <c:pt idx="0">
                  <c:v>T1</c:v>
                </c:pt>
                <c:pt idx="1">
                  <c:v>T2</c:v>
                </c:pt>
                <c:pt idx="2">
                  <c:v>T3</c:v>
                </c:pt>
              </c:strCache>
            </c:strRef>
          </c:cat>
          <c:val>
            <c:numRef>
              <c:f>Charts!$F$2:$F$4</c:f>
              <c:numCache>
                <c:formatCode>General</c:formatCode>
                <c:ptCount val="3"/>
                <c:pt idx="0">
                  <c:v>2.941176471</c:v>
                </c:pt>
                <c:pt idx="1">
                  <c:v>3.258823529</c:v>
                </c:pt>
                <c:pt idx="2">
                  <c:v>3.371428571</c:v>
                </c:pt>
              </c:numCache>
            </c:numRef>
          </c:val>
          <c:smooth val="0"/>
        </c:ser>
        <c:ser>
          <c:idx val="4"/>
          <c:order val="4"/>
          <c:tx>
            <c:strRef>
              <c:f>Charts!$G$1</c:f>
              <c:strCache>
                <c:ptCount val="1"/>
                <c:pt idx="0">
                  <c:v>Challenge</c:v>
                </c:pt>
              </c:strCache>
            </c:strRef>
          </c:tx>
          <c:marker>
            <c:symbol val="none"/>
          </c:marker>
          <c:cat>
            <c:strRef>
              <c:f>Charts!$A$2:$A$4</c:f>
              <c:strCache>
                <c:ptCount val="3"/>
                <c:pt idx="0">
                  <c:v>T1</c:v>
                </c:pt>
                <c:pt idx="1">
                  <c:v>T2</c:v>
                </c:pt>
                <c:pt idx="2">
                  <c:v>T3</c:v>
                </c:pt>
              </c:strCache>
            </c:strRef>
          </c:cat>
          <c:val>
            <c:numRef>
              <c:f>Charts!$G$2:$G$4</c:f>
              <c:numCache>
                <c:formatCode>General</c:formatCode>
                <c:ptCount val="3"/>
                <c:pt idx="0">
                  <c:v>4.803921568627433</c:v>
                </c:pt>
                <c:pt idx="1">
                  <c:v>4.950980392</c:v>
                </c:pt>
                <c:pt idx="2">
                  <c:v>5.166666666999987</c:v>
                </c:pt>
              </c:numCache>
            </c:numRef>
          </c:val>
          <c:smooth val="0"/>
        </c:ser>
        <c:ser>
          <c:idx val="7"/>
          <c:order val="5"/>
          <c:tx>
            <c:strRef>
              <c:f>Charts!$H$1</c:f>
              <c:strCache>
                <c:ptCount val="1"/>
                <c:pt idx="0">
                  <c:v>Satisfaction</c:v>
                </c:pt>
              </c:strCache>
            </c:strRef>
          </c:tx>
          <c:marker>
            <c:symbol val="none"/>
          </c:marker>
          <c:cat>
            <c:strRef>
              <c:f>Charts!$A$2:$A$4</c:f>
              <c:strCache>
                <c:ptCount val="3"/>
                <c:pt idx="0">
                  <c:v>T1</c:v>
                </c:pt>
                <c:pt idx="1">
                  <c:v>T2</c:v>
                </c:pt>
                <c:pt idx="2">
                  <c:v>T3</c:v>
                </c:pt>
              </c:strCache>
            </c:strRef>
          </c:cat>
          <c:val>
            <c:numRef>
              <c:f>Charts!$H$2:$H$4</c:f>
              <c:numCache>
                <c:formatCode>General</c:formatCode>
                <c:ptCount val="3"/>
                <c:pt idx="0">
                  <c:v>4.970588235294117</c:v>
                </c:pt>
                <c:pt idx="1">
                  <c:v>5.235294117647059</c:v>
                </c:pt>
                <c:pt idx="2">
                  <c:v>5.678571428571429</c:v>
                </c:pt>
              </c:numCache>
            </c:numRef>
          </c:val>
          <c:smooth val="0"/>
        </c:ser>
        <c:ser>
          <c:idx val="8"/>
          <c:order val="6"/>
          <c:tx>
            <c:strRef>
              <c:f>Charts!$I$1</c:f>
              <c:strCache>
                <c:ptCount val="1"/>
                <c:pt idx="0">
                  <c:v>Goal</c:v>
                </c:pt>
              </c:strCache>
            </c:strRef>
          </c:tx>
          <c:marker>
            <c:symbol val="none"/>
          </c:marker>
          <c:cat>
            <c:strRef>
              <c:f>Charts!$A$2:$A$4</c:f>
              <c:strCache>
                <c:ptCount val="3"/>
                <c:pt idx="0">
                  <c:v>T1</c:v>
                </c:pt>
                <c:pt idx="1">
                  <c:v>T2</c:v>
                </c:pt>
                <c:pt idx="2">
                  <c:v>T3</c:v>
                </c:pt>
              </c:strCache>
            </c:strRef>
          </c:cat>
          <c:val>
            <c:numRef>
              <c:f>Charts!$I$2:$I$4</c:f>
              <c:numCache>
                <c:formatCode>General</c:formatCode>
                <c:ptCount val="3"/>
                <c:pt idx="0">
                  <c:v>5.039215686</c:v>
                </c:pt>
                <c:pt idx="1">
                  <c:v>5.352941176470576</c:v>
                </c:pt>
                <c:pt idx="2">
                  <c:v>5.642857143</c:v>
                </c:pt>
              </c:numCache>
            </c:numRef>
          </c:val>
          <c:smooth val="0"/>
        </c:ser>
        <c:dLbls>
          <c:showLegendKey val="0"/>
          <c:showVal val="0"/>
          <c:showCatName val="0"/>
          <c:showSerName val="0"/>
          <c:showPercent val="0"/>
          <c:showBubbleSize val="0"/>
        </c:dLbls>
        <c:marker val="1"/>
        <c:smooth val="0"/>
        <c:axId val="2038518456"/>
        <c:axId val="2038518808"/>
      </c:lineChart>
      <c:catAx>
        <c:axId val="2038518456"/>
        <c:scaling>
          <c:orientation val="minMax"/>
        </c:scaling>
        <c:delete val="0"/>
        <c:axPos val="b"/>
        <c:majorTickMark val="out"/>
        <c:minorTickMark val="none"/>
        <c:tickLblPos val="nextTo"/>
        <c:crossAx val="2038518808"/>
        <c:crosses val="autoZero"/>
        <c:auto val="1"/>
        <c:lblAlgn val="ctr"/>
        <c:lblOffset val="100"/>
        <c:noMultiLvlLbl val="0"/>
      </c:catAx>
      <c:valAx>
        <c:axId val="2038518808"/>
        <c:scaling>
          <c:orientation val="minMax"/>
          <c:max val="7.0"/>
        </c:scaling>
        <c:delete val="0"/>
        <c:axPos val="l"/>
        <c:majorGridlines/>
        <c:numFmt formatCode="General" sourceLinked="1"/>
        <c:majorTickMark val="out"/>
        <c:minorTickMark val="none"/>
        <c:tickLblPos val="nextTo"/>
        <c:crossAx val="20385184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Charts!$AG$86</c:f>
              <c:strCache>
                <c:ptCount val="1"/>
                <c:pt idx="0">
                  <c:v>T1</c:v>
                </c:pt>
              </c:strCache>
            </c:strRef>
          </c:tx>
          <c:marker>
            <c:symbol val="none"/>
          </c:marker>
          <c:cat>
            <c:numRef>
              <c:f>Charts!$AF$87:$AF$90</c:f>
              <c:numCache>
                <c:formatCode>General</c:formatCode>
                <c:ptCount val="4"/>
                <c:pt idx="0">
                  <c:v>1.0</c:v>
                </c:pt>
                <c:pt idx="1">
                  <c:v>2.0</c:v>
                </c:pt>
                <c:pt idx="2">
                  <c:v>3.0</c:v>
                </c:pt>
                <c:pt idx="3">
                  <c:v>4.0</c:v>
                </c:pt>
              </c:numCache>
            </c:numRef>
          </c:cat>
          <c:val>
            <c:numRef>
              <c:f>Charts!$AG$87:$AG$90</c:f>
              <c:numCache>
                <c:formatCode>General</c:formatCode>
                <c:ptCount val="4"/>
                <c:pt idx="0">
                  <c:v>6.0</c:v>
                </c:pt>
                <c:pt idx="1">
                  <c:v>4.9</c:v>
                </c:pt>
                <c:pt idx="2">
                  <c:v>5.1</c:v>
                </c:pt>
                <c:pt idx="3">
                  <c:v>3.5</c:v>
                </c:pt>
              </c:numCache>
            </c:numRef>
          </c:val>
          <c:smooth val="0"/>
        </c:ser>
        <c:ser>
          <c:idx val="1"/>
          <c:order val="1"/>
          <c:tx>
            <c:strRef>
              <c:f>Charts!$AH$86</c:f>
              <c:strCache>
                <c:ptCount val="1"/>
                <c:pt idx="0">
                  <c:v>T2</c:v>
                </c:pt>
              </c:strCache>
            </c:strRef>
          </c:tx>
          <c:marker>
            <c:symbol val="none"/>
          </c:marker>
          <c:cat>
            <c:numRef>
              <c:f>Charts!$AF$87:$AF$90</c:f>
              <c:numCache>
                <c:formatCode>General</c:formatCode>
                <c:ptCount val="4"/>
                <c:pt idx="0">
                  <c:v>1.0</c:v>
                </c:pt>
                <c:pt idx="1">
                  <c:v>2.0</c:v>
                </c:pt>
                <c:pt idx="2">
                  <c:v>3.0</c:v>
                </c:pt>
                <c:pt idx="3">
                  <c:v>4.0</c:v>
                </c:pt>
              </c:numCache>
            </c:numRef>
          </c:cat>
          <c:val>
            <c:numRef>
              <c:f>Charts!$AH$87:$AH$90</c:f>
              <c:numCache>
                <c:formatCode>General</c:formatCode>
                <c:ptCount val="4"/>
                <c:pt idx="0">
                  <c:v>5.6</c:v>
                </c:pt>
                <c:pt idx="1">
                  <c:v>6.25</c:v>
                </c:pt>
                <c:pt idx="2">
                  <c:v>4.75</c:v>
                </c:pt>
                <c:pt idx="3">
                  <c:v>4.25</c:v>
                </c:pt>
              </c:numCache>
            </c:numRef>
          </c:val>
          <c:smooth val="0"/>
        </c:ser>
        <c:ser>
          <c:idx val="2"/>
          <c:order val="2"/>
          <c:tx>
            <c:strRef>
              <c:f>Charts!$AI$86</c:f>
              <c:strCache>
                <c:ptCount val="1"/>
                <c:pt idx="0">
                  <c:v>T3</c:v>
                </c:pt>
              </c:strCache>
            </c:strRef>
          </c:tx>
          <c:marker>
            <c:symbol val="none"/>
          </c:marker>
          <c:cat>
            <c:numRef>
              <c:f>Charts!$AF$87:$AF$90</c:f>
              <c:numCache>
                <c:formatCode>General</c:formatCode>
                <c:ptCount val="4"/>
                <c:pt idx="0">
                  <c:v>1.0</c:v>
                </c:pt>
                <c:pt idx="1">
                  <c:v>2.0</c:v>
                </c:pt>
                <c:pt idx="2">
                  <c:v>3.0</c:v>
                </c:pt>
                <c:pt idx="3">
                  <c:v>4.0</c:v>
                </c:pt>
              </c:numCache>
            </c:numRef>
          </c:cat>
          <c:val>
            <c:numRef>
              <c:f>Charts!$AI$87:$AI$90</c:f>
              <c:numCache>
                <c:formatCode>General</c:formatCode>
                <c:ptCount val="4"/>
                <c:pt idx="0">
                  <c:v>6.75</c:v>
                </c:pt>
                <c:pt idx="1">
                  <c:v>6.0</c:v>
                </c:pt>
                <c:pt idx="2">
                  <c:v>4.62499999999997</c:v>
                </c:pt>
                <c:pt idx="3">
                  <c:v>5.0</c:v>
                </c:pt>
              </c:numCache>
            </c:numRef>
          </c:val>
          <c:smooth val="0"/>
        </c:ser>
        <c:dLbls>
          <c:showLegendKey val="0"/>
          <c:showVal val="0"/>
          <c:showCatName val="0"/>
          <c:showSerName val="0"/>
          <c:showPercent val="0"/>
          <c:showBubbleSize val="0"/>
        </c:dLbls>
        <c:marker val="1"/>
        <c:smooth val="0"/>
        <c:axId val="2109621752"/>
        <c:axId val="2109627208"/>
      </c:lineChart>
      <c:catAx>
        <c:axId val="2109621752"/>
        <c:scaling>
          <c:orientation val="minMax"/>
        </c:scaling>
        <c:delete val="0"/>
        <c:axPos val="b"/>
        <c:title>
          <c:tx>
            <c:rich>
              <a:bodyPr/>
              <a:lstStyle/>
              <a:p>
                <a:pPr>
                  <a:defRPr/>
                </a:pPr>
                <a:r>
                  <a:rPr lang="en-US"/>
                  <a:t>Satisfaction</a:t>
                </a:r>
              </a:p>
            </c:rich>
          </c:tx>
          <c:layout/>
          <c:overlay val="0"/>
        </c:title>
        <c:numFmt formatCode="General" sourceLinked="1"/>
        <c:majorTickMark val="out"/>
        <c:minorTickMark val="none"/>
        <c:tickLblPos val="nextTo"/>
        <c:crossAx val="2109627208"/>
        <c:crosses val="autoZero"/>
        <c:auto val="1"/>
        <c:lblAlgn val="ctr"/>
        <c:lblOffset val="100"/>
        <c:noMultiLvlLbl val="0"/>
      </c:catAx>
      <c:valAx>
        <c:axId val="2109627208"/>
        <c:scaling>
          <c:orientation val="minMax"/>
        </c:scaling>
        <c:delete val="0"/>
        <c:axPos val="l"/>
        <c:majorGridlines/>
        <c:numFmt formatCode="General" sourceLinked="1"/>
        <c:majorTickMark val="out"/>
        <c:minorTickMark val="none"/>
        <c:tickLblPos val="nextTo"/>
        <c:crossAx val="2109621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Charts!$K$1</c:f>
              <c:strCache>
                <c:ptCount val="1"/>
              </c:strCache>
            </c:strRef>
          </c:tx>
          <c:marker>
            <c:symbol val="none"/>
          </c:marker>
          <c:cat>
            <c:strRef>
              <c:f>Charts!$A$2:$A$4</c:f>
              <c:strCache>
                <c:ptCount val="3"/>
                <c:pt idx="0">
                  <c:v>T1</c:v>
                </c:pt>
                <c:pt idx="1">
                  <c:v>T2</c:v>
                </c:pt>
                <c:pt idx="2">
                  <c:v>T3</c:v>
                </c:pt>
              </c:strCache>
            </c:strRef>
          </c:cat>
          <c:val>
            <c:numRef>
              <c:f>Charts!$K$2:$K$4</c:f>
              <c:numCache>
                <c:formatCode>General</c:formatCode>
                <c:ptCount val="3"/>
              </c:numCache>
            </c:numRef>
          </c:val>
          <c:smooth val="0"/>
        </c:ser>
        <c:ser>
          <c:idx val="1"/>
          <c:order val="1"/>
          <c:tx>
            <c:strRef>
              <c:f>Charts!$L$1</c:f>
              <c:strCache>
                <c:ptCount val="1"/>
                <c:pt idx="0">
                  <c:v>Focus</c:v>
                </c:pt>
              </c:strCache>
            </c:strRef>
          </c:tx>
          <c:marker>
            <c:symbol val="none"/>
          </c:marker>
          <c:cat>
            <c:strRef>
              <c:f>Charts!$A$2:$A$4</c:f>
              <c:strCache>
                <c:ptCount val="3"/>
                <c:pt idx="0">
                  <c:v>T1</c:v>
                </c:pt>
                <c:pt idx="1">
                  <c:v>T2</c:v>
                </c:pt>
                <c:pt idx="2">
                  <c:v>T3</c:v>
                </c:pt>
              </c:strCache>
            </c:strRef>
          </c:cat>
          <c:val>
            <c:numRef>
              <c:f>Charts!$L$2:$L$4</c:f>
              <c:numCache>
                <c:formatCode>General</c:formatCode>
                <c:ptCount val="3"/>
                <c:pt idx="0">
                  <c:v>4.960784313725477</c:v>
                </c:pt>
                <c:pt idx="1">
                  <c:v>4.764705881999987</c:v>
                </c:pt>
                <c:pt idx="2">
                  <c:v>5.071428571</c:v>
                </c:pt>
              </c:numCache>
            </c:numRef>
          </c:val>
          <c:smooth val="0"/>
        </c:ser>
        <c:ser>
          <c:idx val="3"/>
          <c:order val="2"/>
          <c:tx>
            <c:strRef>
              <c:f>Charts!$M$1</c:f>
              <c:strCache>
                <c:ptCount val="1"/>
                <c:pt idx="0">
                  <c:v>Feedback</c:v>
                </c:pt>
              </c:strCache>
            </c:strRef>
          </c:tx>
          <c:marker>
            <c:symbol val="none"/>
          </c:marker>
          <c:cat>
            <c:strRef>
              <c:f>Charts!$A$2:$A$4</c:f>
              <c:strCache>
                <c:ptCount val="3"/>
                <c:pt idx="0">
                  <c:v>T1</c:v>
                </c:pt>
                <c:pt idx="1">
                  <c:v>T2</c:v>
                </c:pt>
                <c:pt idx="2">
                  <c:v>T3</c:v>
                </c:pt>
              </c:strCache>
            </c:strRef>
          </c:cat>
          <c:val>
            <c:numRef>
              <c:f>Charts!$M$2:$M$4</c:f>
              <c:numCache>
                <c:formatCode>General</c:formatCode>
                <c:ptCount val="3"/>
                <c:pt idx="0">
                  <c:v>5.823529411764705</c:v>
                </c:pt>
                <c:pt idx="1">
                  <c:v>5.72549019607843</c:v>
                </c:pt>
                <c:pt idx="2">
                  <c:v>6.047619048</c:v>
                </c:pt>
              </c:numCache>
            </c:numRef>
          </c:val>
          <c:smooth val="0"/>
        </c:ser>
        <c:ser>
          <c:idx val="4"/>
          <c:order val="3"/>
          <c:tx>
            <c:strRef>
              <c:f>Charts!$N$1</c:f>
              <c:strCache>
                <c:ptCount val="1"/>
                <c:pt idx="0">
                  <c:v>Curiosity</c:v>
                </c:pt>
              </c:strCache>
            </c:strRef>
          </c:tx>
          <c:marker>
            <c:symbol val="none"/>
          </c:marker>
          <c:cat>
            <c:strRef>
              <c:f>Charts!$A$2:$A$4</c:f>
              <c:strCache>
                <c:ptCount val="3"/>
                <c:pt idx="0">
                  <c:v>T1</c:v>
                </c:pt>
                <c:pt idx="1">
                  <c:v>T2</c:v>
                </c:pt>
                <c:pt idx="2">
                  <c:v>T3</c:v>
                </c:pt>
              </c:strCache>
            </c:strRef>
          </c:cat>
          <c:val>
            <c:numRef>
              <c:f>Charts!$N$2:$N$4</c:f>
              <c:numCache>
                <c:formatCode>General</c:formatCode>
                <c:ptCount val="3"/>
                <c:pt idx="0">
                  <c:v>5.176470588</c:v>
                </c:pt>
                <c:pt idx="1">
                  <c:v>5.215686274509804</c:v>
                </c:pt>
                <c:pt idx="2">
                  <c:v>5.095238095</c:v>
                </c:pt>
              </c:numCache>
            </c:numRef>
          </c:val>
          <c:smooth val="0"/>
        </c:ser>
        <c:ser>
          <c:idx val="5"/>
          <c:order val="4"/>
          <c:tx>
            <c:strRef>
              <c:f>Charts!$O$1</c:f>
              <c:strCache>
                <c:ptCount val="1"/>
                <c:pt idx="0">
                  <c:v>Interest</c:v>
                </c:pt>
              </c:strCache>
            </c:strRef>
          </c:tx>
          <c:marker>
            <c:symbol val="none"/>
          </c:marker>
          <c:cat>
            <c:strRef>
              <c:f>Charts!$A$2:$A$4</c:f>
              <c:strCache>
                <c:ptCount val="3"/>
                <c:pt idx="0">
                  <c:v>T1</c:v>
                </c:pt>
                <c:pt idx="1">
                  <c:v>T2</c:v>
                </c:pt>
                <c:pt idx="2">
                  <c:v>T3</c:v>
                </c:pt>
              </c:strCache>
            </c:strRef>
          </c:cat>
          <c:val>
            <c:numRef>
              <c:f>Charts!$O$2:$O$4</c:f>
              <c:numCache>
                <c:formatCode>General</c:formatCode>
                <c:ptCount val="3"/>
                <c:pt idx="0">
                  <c:v>5.254901960999983</c:v>
                </c:pt>
                <c:pt idx="1">
                  <c:v>5.235294118</c:v>
                </c:pt>
                <c:pt idx="2">
                  <c:v>5.261904761999987</c:v>
                </c:pt>
              </c:numCache>
            </c:numRef>
          </c:val>
          <c:smooth val="0"/>
        </c:ser>
        <c:ser>
          <c:idx val="2"/>
          <c:order val="5"/>
          <c:tx>
            <c:strRef>
              <c:f>Charts!$Q$1</c:f>
              <c:strCache>
                <c:ptCount val="1"/>
              </c:strCache>
            </c:strRef>
          </c:tx>
          <c:marker>
            <c:symbol val="none"/>
          </c:marker>
          <c:cat>
            <c:strRef>
              <c:f>Charts!$A$2:$A$4</c:f>
              <c:strCache>
                <c:ptCount val="3"/>
                <c:pt idx="0">
                  <c:v>T1</c:v>
                </c:pt>
                <c:pt idx="1">
                  <c:v>T2</c:v>
                </c:pt>
                <c:pt idx="2">
                  <c:v>T3</c:v>
                </c:pt>
              </c:strCache>
            </c:strRef>
          </c:cat>
          <c:val>
            <c:numRef>
              <c:f>Charts!$Q$2:$Q$4</c:f>
              <c:numCache>
                <c:formatCode>General</c:formatCode>
                <c:ptCount val="3"/>
              </c:numCache>
            </c:numRef>
          </c:val>
          <c:smooth val="0"/>
        </c:ser>
        <c:ser>
          <c:idx val="7"/>
          <c:order val="6"/>
          <c:tx>
            <c:strRef>
              <c:f>Charts!$R$1</c:f>
              <c:strCache>
                <c:ptCount val="1"/>
                <c:pt idx="0">
                  <c:v>NA</c:v>
                </c:pt>
              </c:strCache>
            </c:strRef>
          </c:tx>
          <c:marker>
            <c:symbol val="none"/>
          </c:marker>
          <c:cat>
            <c:strRef>
              <c:f>Charts!$A$2:$A$4</c:f>
              <c:strCache>
                <c:ptCount val="3"/>
                <c:pt idx="0">
                  <c:v>T1</c:v>
                </c:pt>
                <c:pt idx="1">
                  <c:v>T2</c:v>
                </c:pt>
                <c:pt idx="2">
                  <c:v>T3</c:v>
                </c:pt>
              </c:strCache>
            </c:strRef>
          </c:cat>
          <c:val>
            <c:numRef>
              <c:f>Charts!$R$2:$R$4</c:f>
              <c:numCache>
                <c:formatCode>General</c:formatCode>
                <c:ptCount val="3"/>
                <c:pt idx="0">
                  <c:v>1.808823529</c:v>
                </c:pt>
                <c:pt idx="1">
                  <c:v>1.720588235294118</c:v>
                </c:pt>
                <c:pt idx="2">
                  <c:v>1.696428571428571</c:v>
                </c:pt>
              </c:numCache>
            </c:numRef>
          </c:val>
          <c:smooth val="0"/>
        </c:ser>
        <c:dLbls>
          <c:showLegendKey val="0"/>
          <c:showVal val="0"/>
          <c:showCatName val="0"/>
          <c:showSerName val="0"/>
          <c:showPercent val="0"/>
          <c:showBubbleSize val="0"/>
        </c:dLbls>
        <c:marker val="1"/>
        <c:smooth val="0"/>
        <c:axId val="-2113132968"/>
        <c:axId val="-2113130088"/>
      </c:lineChart>
      <c:catAx>
        <c:axId val="-2113132968"/>
        <c:scaling>
          <c:orientation val="minMax"/>
        </c:scaling>
        <c:delete val="0"/>
        <c:axPos val="b"/>
        <c:majorTickMark val="out"/>
        <c:minorTickMark val="none"/>
        <c:tickLblPos val="nextTo"/>
        <c:crossAx val="-2113130088"/>
        <c:crosses val="autoZero"/>
        <c:auto val="1"/>
        <c:lblAlgn val="ctr"/>
        <c:lblOffset val="100"/>
        <c:noMultiLvlLbl val="0"/>
      </c:catAx>
      <c:valAx>
        <c:axId val="-2113130088"/>
        <c:scaling>
          <c:orientation val="minMax"/>
        </c:scaling>
        <c:delete val="0"/>
        <c:axPos val="l"/>
        <c:majorGridlines/>
        <c:numFmt formatCode="General" sourceLinked="1"/>
        <c:majorTickMark val="out"/>
        <c:minorTickMark val="none"/>
        <c:tickLblPos val="nextTo"/>
        <c:crossAx val="-21131329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Charts!$V$62</c:f>
              <c:strCache>
                <c:ptCount val="1"/>
                <c:pt idx="0">
                  <c:v>Group N</c:v>
                </c:pt>
              </c:strCache>
            </c:strRef>
          </c:tx>
          <c:marker>
            <c:symbol val="none"/>
          </c:marker>
          <c:cat>
            <c:strRef>
              <c:f>Charts!$U$63:$U$65</c:f>
              <c:strCache>
                <c:ptCount val="3"/>
                <c:pt idx="0">
                  <c:v>T1</c:v>
                </c:pt>
                <c:pt idx="1">
                  <c:v>T2</c:v>
                </c:pt>
                <c:pt idx="2">
                  <c:v>T3</c:v>
                </c:pt>
              </c:strCache>
            </c:strRef>
          </c:cat>
          <c:val>
            <c:numRef>
              <c:f>Charts!$V$63:$V$65</c:f>
              <c:numCache>
                <c:formatCode>General</c:formatCode>
                <c:ptCount val="3"/>
                <c:pt idx="0">
                  <c:v>4.8</c:v>
                </c:pt>
                <c:pt idx="1">
                  <c:v>5.375</c:v>
                </c:pt>
                <c:pt idx="2">
                  <c:v>5.62499999999997</c:v>
                </c:pt>
              </c:numCache>
            </c:numRef>
          </c:val>
          <c:smooth val="0"/>
        </c:ser>
        <c:ser>
          <c:idx val="1"/>
          <c:order val="1"/>
          <c:tx>
            <c:strRef>
              <c:f>Charts!$W$62</c:f>
              <c:strCache>
                <c:ptCount val="1"/>
                <c:pt idx="0">
                  <c:v>Group O</c:v>
                </c:pt>
              </c:strCache>
            </c:strRef>
          </c:tx>
          <c:marker>
            <c:symbol val="none"/>
          </c:marker>
          <c:cat>
            <c:strRef>
              <c:f>Charts!$U$63:$U$65</c:f>
              <c:strCache>
                <c:ptCount val="3"/>
                <c:pt idx="0">
                  <c:v>T1</c:v>
                </c:pt>
                <c:pt idx="1">
                  <c:v>T2</c:v>
                </c:pt>
                <c:pt idx="2">
                  <c:v>T3</c:v>
                </c:pt>
              </c:strCache>
            </c:strRef>
          </c:cat>
          <c:val>
            <c:numRef>
              <c:f>Charts!$W$63:$W$65</c:f>
              <c:numCache>
                <c:formatCode>General</c:formatCode>
                <c:ptCount val="3"/>
                <c:pt idx="0">
                  <c:v>4.4</c:v>
                </c:pt>
                <c:pt idx="1">
                  <c:v>5.5</c:v>
                </c:pt>
                <c:pt idx="2">
                  <c:v>5.75</c:v>
                </c:pt>
              </c:numCache>
            </c:numRef>
          </c:val>
          <c:smooth val="0"/>
        </c:ser>
        <c:ser>
          <c:idx val="2"/>
          <c:order val="2"/>
          <c:tx>
            <c:strRef>
              <c:f>Charts!$X$62</c:f>
              <c:strCache>
                <c:ptCount val="1"/>
                <c:pt idx="0">
                  <c:v>Group P</c:v>
                </c:pt>
              </c:strCache>
            </c:strRef>
          </c:tx>
          <c:marker>
            <c:symbol val="none"/>
          </c:marker>
          <c:cat>
            <c:strRef>
              <c:f>Charts!$U$63:$U$65</c:f>
              <c:strCache>
                <c:ptCount val="3"/>
                <c:pt idx="0">
                  <c:v>T1</c:v>
                </c:pt>
                <c:pt idx="1">
                  <c:v>T2</c:v>
                </c:pt>
                <c:pt idx="2">
                  <c:v>T3</c:v>
                </c:pt>
              </c:strCache>
            </c:strRef>
          </c:cat>
          <c:val>
            <c:numRef>
              <c:f>Charts!$X$63:$X$65</c:f>
              <c:numCache>
                <c:formatCode>General</c:formatCode>
                <c:ptCount val="3"/>
                <c:pt idx="0">
                  <c:v>3.833333333</c:v>
                </c:pt>
                <c:pt idx="1">
                  <c:v>4.124999999999974</c:v>
                </c:pt>
                <c:pt idx="2">
                  <c:v>5.0</c:v>
                </c:pt>
              </c:numCache>
            </c:numRef>
          </c:val>
          <c:smooth val="0"/>
        </c:ser>
        <c:ser>
          <c:idx val="3"/>
          <c:order val="3"/>
          <c:tx>
            <c:strRef>
              <c:f>Charts!$Y$62</c:f>
              <c:strCache>
                <c:ptCount val="1"/>
                <c:pt idx="0">
                  <c:v>Group Q</c:v>
                </c:pt>
              </c:strCache>
            </c:strRef>
          </c:tx>
          <c:marker>
            <c:symbol val="none"/>
          </c:marker>
          <c:cat>
            <c:strRef>
              <c:f>Charts!$U$63:$U$65</c:f>
              <c:strCache>
                <c:ptCount val="3"/>
                <c:pt idx="0">
                  <c:v>T1</c:v>
                </c:pt>
                <c:pt idx="1">
                  <c:v>T2</c:v>
                </c:pt>
                <c:pt idx="2">
                  <c:v>T3</c:v>
                </c:pt>
              </c:strCache>
            </c:strRef>
          </c:cat>
          <c:val>
            <c:numRef>
              <c:f>Charts!$Y$63:$Y$65</c:f>
              <c:numCache>
                <c:formatCode>General</c:formatCode>
                <c:ptCount val="3"/>
                <c:pt idx="0">
                  <c:v>5.875</c:v>
                </c:pt>
                <c:pt idx="1">
                  <c:v>5.875</c:v>
                </c:pt>
                <c:pt idx="2">
                  <c:v>6.0</c:v>
                </c:pt>
              </c:numCache>
            </c:numRef>
          </c:val>
          <c:smooth val="0"/>
        </c:ser>
        <c:dLbls>
          <c:showLegendKey val="0"/>
          <c:showVal val="0"/>
          <c:showCatName val="0"/>
          <c:showSerName val="0"/>
          <c:showPercent val="0"/>
          <c:showBubbleSize val="0"/>
        </c:dLbls>
        <c:marker val="1"/>
        <c:smooth val="0"/>
        <c:axId val="2085567160"/>
        <c:axId val="2109563416"/>
      </c:lineChart>
      <c:catAx>
        <c:axId val="2085567160"/>
        <c:scaling>
          <c:orientation val="minMax"/>
        </c:scaling>
        <c:delete val="0"/>
        <c:axPos val="b"/>
        <c:title>
          <c:tx>
            <c:rich>
              <a:bodyPr/>
              <a:lstStyle/>
              <a:p>
                <a:pPr>
                  <a:defRPr/>
                </a:pPr>
                <a:r>
                  <a:rPr lang="en-US"/>
                  <a:t>Balance</a:t>
                </a:r>
              </a:p>
            </c:rich>
          </c:tx>
          <c:layout/>
          <c:overlay val="0"/>
        </c:title>
        <c:numFmt formatCode="General" sourceLinked="1"/>
        <c:majorTickMark val="out"/>
        <c:minorTickMark val="none"/>
        <c:tickLblPos val="nextTo"/>
        <c:crossAx val="2109563416"/>
        <c:crosses val="autoZero"/>
        <c:auto val="1"/>
        <c:lblAlgn val="ctr"/>
        <c:lblOffset val="100"/>
        <c:noMultiLvlLbl val="0"/>
      </c:catAx>
      <c:valAx>
        <c:axId val="2109563416"/>
        <c:scaling>
          <c:orientation val="minMax"/>
        </c:scaling>
        <c:delete val="0"/>
        <c:axPos val="l"/>
        <c:majorGridlines/>
        <c:numFmt formatCode="General" sourceLinked="1"/>
        <c:majorTickMark val="out"/>
        <c:minorTickMark val="none"/>
        <c:tickLblPos val="nextTo"/>
        <c:crossAx val="2085567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Charts!$B$43</c:f>
              <c:strCache>
                <c:ptCount val="1"/>
                <c:pt idx="0">
                  <c:v>Group N</c:v>
                </c:pt>
              </c:strCache>
            </c:strRef>
          </c:tx>
          <c:marker>
            <c:symbol val="none"/>
          </c:marker>
          <c:cat>
            <c:strRef>
              <c:f>Charts!$A$44:$A$46</c:f>
              <c:strCache>
                <c:ptCount val="3"/>
                <c:pt idx="0">
                  <c:v>T1</c:v>
                </c:pt>
                <c:pt idx="1">
                  <c:v>T2</c:v>
                </c:pt>
                <c:pt idx="2">
                  <c:v>T3</c:v>
                </c:pt>
              </c:strCache>
            </c:strRef>
          </c:cat>
          <c:val>
            <c:numRef>
              <c:f>Charts!$B$44:$B$46</c:f>
              <c:numCache>
                <c:formatCode>General</c:formatCode>
                <c:ptCount val="3"/>
                <c:pt idx="0">
                  <c:v>4.533333333</c:v>
                </c:pt>
                <c:pt idx="1">
                  <c:v>3.916666666666666</c:v>
                </c:pt>
                <c:pt idx="2">
                  <c:v>4.583333333</c:v>
                </c:pt>
              </c:numCache>
            </c:numRef>
          </c:val>
          <c:smooth val="0"/>
        </c:ser>
        <c:ser>
          <c:idx val="1"/>
          <c:order val="1"/>
          <c:tx>
            <c:strRef>
              <c:f>Charts!$C$43</c:f>
              <c:strCache>
                <c:ptCount val="1"/>
                <c:pt idx="0">
                  <c:v>Group O</c:v>
                </c:pt>
              </c:strCache>
            </c:strRef>
          </c:tx>
          <c:marker>
            <c:symbol val="none"/>
          </c:marker>
          <c:cat>
            <c:strRef>
              <c:f>Charts!$A$44:$A$46</c:f>
              <c:strCache>
                <c:ptCount val="3"/>
                <c:pt idx="0">
                  <c:v>T1</c:v>
                </c:pt>
                <c:pt idx="1">
                  <c:v>T2</c:v>
                </c:pt>
                <c:pt idx="2">
                  <c:v>T3</c:v>
                </c:pt>
              </c:strCache>
            </c:strRef>
          </c:cat>
          <c:val>
            <c:numRef>
              <c:f>Charts!$C$44:$C$46</c:f>
              <c:numCache>
                <c:formatCode>General</c:formatCode>
                <c:ptCount val="3"/>
                <c:pt idx="0">
                  <c:v>3.466666666666667</c:v>
                </c:pt>
                <c:pt idx="1">
                  <c:v>5.066666666666666</c:v>
                </c:pt>
                <c:pt idx="2">
                  <c:v>5.583333333</c:v>
                </c:pt>
              </c:numCache>
            </c:numRef>
          </c:val>
          <c:smooth val="0"/>
        </c:ser>
        <c:ser>
          <c:idx val="2"/>
          <c:order val="2"/>
          <c:tx>
            <c:strRef>
              <c:f>Charts!$D$43</c:f>
              <c:strCache>
                <c:ptCount val="1"/>
                <c:pt idx="0">
                  <c:v>Group P</c:v>
                </c:pt>
              </c:strCache>
            </c:strRef>
          </c:tx>
          <c:marker>
            <c:symbol val="none"/>
          </c:marker>
          <c:cat>
            <c:strRef>
              <c:f>Charts!$A$44:$A$46</c:f>
              <c:strCache>
                <c:ptCount val="3"/>
                <c:pt idx="0">
                  <c:v>T1</c:v>
                </c:pt>
                <c:pt idx="1">
                  <c:v>T2</c:v>
                </c:pt>
                <c:pt idx="2">
                  <c:v>T3</c:v>
                </c:pt>
              </c:strCache>
            </c:strRef>
          </c:cat>
          <c:val>
            <c:numRef>
              <c:f>Charts!$D$44:$D$46</c:f>
              <c:numCache>
                <c:formatCode>General</c:formatCode>
                <c:ptCount val="3"/>
                <c:pt idx="0">
                  <c:v>1.555555555555556</c:v>
                </c:pt>
                <c:pt idx="1">
                  <c:v>2.666666666666666</c:v>
                </c:pt>
                <c:pt idx="2">
                  <c:v>3.833333333333333</c:v>
                </c:pt>
              </c:numCache>
            </c:numRef>
          </c:val>
          <c:smooth val="0"/>
        </c:ser>
        <c:ser>
          <c:idx val="3"/>
          <c:order val="3"/>
          <c:tx>
            <c:strRef>
              <c:f>Charts!$E$43</c:f>
              <c:strCache>
                <c:ptCount val="1"/>
                <c:pt idx="0">
                  <c:v>Group Q</c:v>
                </c:pt>
              </c:strCache>
            </c:strRef>
          </c:tx>
          <c:marker>
            <c:symbol val="none"/>
          </c:marker>
          <c:cat>
            <c:strRef>
              <c:f>Charts!$A$44:$A$46</c:f>
              <c:strCache>
                <c:ptCount val="3"/>
                <c:pt idx="0">
                  <c:v>T1</c:v>
                </c:pt>
                <c:pt idx="1">
                  <c:v>T2</c:v>
                </c:pt>
                <c:pt idx="2">
                  <c:v>T3</c:v>
                </c:pt>
              </c:strCache>
            </c:strRef>
          </c:cat>
          <c:val>
            <c:numRef>
              <c:f>Charts!$E$44:$E$46</c:f>
              <c:numCache>
                <c:formatCode>General</c:formatCode>
                <c:ptCount val="3"/>
                <c:pt idx="0">
                  <c:v>5.0</c:v>
                </c:pt>
                <c:pt idx="1">
                  <c:v>5.75</c:v>
                </c:pt>
                <c:pt idx="2">
                  <c:v>5.5</c:v>
                </c:pt>
              </c:numCache>
            </c:numRef>
          </c:val>
          <c:smooth val="0"/>
        </c:ser>
        <c:dLbls>
          <c:showLegendKey val="0"/>
          <c:showVal val="0"/>
          <c:showCatName val="0"/>
          <c:showSerName val="0"/>
          <c:showPercent val="0"/>
          <c:showBubbleSize val="0"/>
        </c:dLbls>
        <c:marker val="1"/>
        <c:smooth val="0"/>
        <c:axId val="2110821112"/>
        <c:axId val="2093859528"/>
      </c:lineChart>
      <c:catAx>
        <c:axId val="2110821112"/>
        <c:scaling>
          <c:orientation val="minMax"/>
        </c:scaling>
        <c:delete val="0"/>
        <c:axPos val="b"/>
        <c:title>
          <c:tx>
            <c:rich>
              <a:bodyPr/>
              <a:lstStyle/>
              <a:p>
                <a:pPr>
                  <a:defRPr/>
                </a:pPr>
                <a:r>
                  <a:rPr lang="en-US"/>
                  <a:t>Skill</a:t>
                </a:r>
              </a:p>
            </c:rich>
          </c:tx>
          <c:layout/>
          <c:overlay val="0"/>
        </c:title>
        <c:numFmt formatCode="General" sourceLinked="1"/>
        <c:majorTickMark val="out"/>
        <c:minorTickMark val="none"/>
        <c:tickLblPos val="nextTo"/>
        <c:crossAx val="2093859528"/>
        <c:crosses val="autoZero"/>
        <c:auto val="1"/>
        <c:lblAlgn val="ctr"/>
        <c:lblOffset val="100"/>
        <c:noMultiLvlLbl val="0"/>
      </c:catAx>
      <c:valAx>
        <c:axId val="2093859528"/>
        <c:scaling>
          <c:orientation val="minMax"/>
        </c:scaling>
        <c:delete val="0"/>
        <c:axPos val="l"/>
        <c:majorGridlines/>
        <c:numFmt formatCode="General" sourceLinked="1"/>
        <c:majorTickMark val="out"/>
        <c:minorTickMark val="none"/>
        <c:tickLblPos val="nextTo"/>
        <c:crossAx val="2110821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Charts!$V$103</c:f>
              <c:strCache>
                <c:ptCount val="1"/>
                <c:pt idx="0">
                  <c:v>Group N</c:v>
                </c:pt>
              </c:strCache>
            </c:strRef>
          </c:tx>
          <c:marker>
            <c:symbol val="none"/>
          </c:marker>
          <c:cat>
            <c:strRef>
              <c:f>Charts!$U$104:$U$106</c:f>
              <c:strCache>
                <c:ptCount val="3"/>
                <c:pt idx="0">
                  <c:v>T1</c:v>
                </c:pt>
                <c:pt idx="1">
                  <c:v>T2</c:v>
                </c:pt>
                <c:pt idx="2">
                  <c:v>T3</c:v>
                </c:pt>
              </c:strCache>
            </c:strRef>
          </c:cat>
          <c:val>
            <c:numRef>
              <c:f>Charts!$V$104:$V$106</c:f>
              <c:numCache>
                <c:formatCode>General</c:formatCode>
                <c:ptCount val="3"/>
                <c:pt idx="0">
                  <c:v>3.2</c:v>
                </c:pt>
                <c:pt idx="1">
                  <c:v>2.7</c:v>
                </c:pt>
                <c:pt idx="2">
                  <c:v>2.9</c:v>
                </c:pt>
              </c:numCache>
            </c:numRef>
          </c:val>
          <c:smooth val="0"/>
        </c:ser>
        <c:ser>
          <c:idx val="1"/>
          <c:order val="1"/>
          <c:tx>
            <c:strRef>
              <c:f>Charts!$W$103</c:f>
              <c:strCache>
                <c:ptCount val="1"/>
                <c:pt idx="0">
                  <c:v>Group O</c:v>
                </c:pt>
              </c:strCache>
            </c:strRef>
          </c:tx>
          <c:marker>
            <c:symbol val="none"/>
          </c:marker>
          <c:cat>
            <c:strRef>
              <c:f>Charts!$U$104:$U$106</c:f>
              <c:strCache>
                <c:ptCount val="3"/>
                <c:pt idx="0">
                  <c:v>T1</c:v>
                </c:pt>
                <c:pt idx="1">
                  <c:v>T2</c:v>
                </c:pt>
                <c:pt idx="2">
                  <c:v>T3</c:v>
                </c:pt>
              </c:strCache>
            </c:strRef>
          </c:cat>
          <c:val>
            <c:numRef>
              <c:f>Charts!$W$104:$W$106</c:f>
              <c:numCache>
                <c:formatCode>General</c:formatCode>
                <c:ptCount val="3"/>
                <c:pt idx="0">
                  <c:v>2.68</c:v>
                </c:pt>
                <c:pt idx="1">
                  <c:v>3.72</c:v>
                </c:pt>
                <c:pt idx="2">
                  <c:v>4.1</c:v>
                </c:pt>
              </c:numCache>
            </c:numRef>
          </c:val>
          <c:smooth val="0"/>
        </c:ser>
        <c:ser>
          <c:idx val="2"/>
          <c:order val="2"/>
          <c:tx>
            <c:strRef>
              <c:f>Charts!$X$103</c:f>
              <c:strCache>
                <c:ptCount val="1"/>
                <c:pt idx="0">
                  <c:v>Group P</c:v>
                </c:pt>
              </c:strCache>
            </c:strRef>
          </c:tx>
          <c:marker>
            <c:symbol val="none"/>
          </c:marker>
          <c:cat>
            <c:strRef>
              <c:f>Charts!$U$104:$U$106</c:f>
              <c:strCache>
                <c:ptCount val="3"/>
                <c:pt idx="0">
                  <c:v>T1</c:v>
                </c:pt>
                <c:pt idx="1">
                  <c:v>T2</c:v>
                </c:pt>
                <c:pt idx="2">
                  <c:v>T3</c:v>
                </c:pt>
              </c:strCache>
            </c:strRef>
          </c:cat>
          <c:val>
            <c:numRef>
              <c:f>Charts!$X$104:$X$106</c:f>
              <c:numCache>
                <c:formatCode>General</c:formatCode>
                <c:ptCount val="3"/>
                <c:pt idx="0">
                  <c:v>2.466666666666667</c:v>
                </c:pt>
                <c:pt idx="1">
                  <c:v>2.9</c:v>
                </c:pt>
                <c:pt idx="2">
                  <c:v>2.3</c:v>
                </c:pt>
              </c:numCache>
            </c:numRef>
          </c:val>
          <c:smooth val="0"/>
        </c:ser>
        <c:ser>
          <c:idx val="3"/>
          <c:order val="3"/>
          <c:tx>
            <c:strRef>
              <c:f>Charts!$Y$103</c:f>
              <c:strCache>
                <c:ptCount val="1"/>
                <c:pt idx="0">
                  <c:v>Group Q</c:v>
                </c:pt>
              </c:strCache>
            </c:strRef>
          </c:tx>
          <c:marker>
            <c:symbol val="none"/>
          </c:marker>
          <c:cat>
            <c:strRef>
              <c:f>Charts!$U$104:$U$106</c:f>
              <c:strCache>
                <c:ptCount val="3"/>
                <c:pt idx="0">
                  <c:v>T1</c:v>
                </c:pt>
                <c:pt idx="1">
                  <c:v>T2</c:v>
                </c:pt>
                <c:pt idx="2">
                  <c:v>T3</c:v>
                </c:pt>
              </c:strCache>
            </c:strRef>
          </c:cat>
          <c:val>
            <c:numRef>
              <c:f>Charts!$Y$104:$Y$106</c:f>
              <c:numCache>
                <c:formatCode>General</c:formatCode>
                <c:ptCount val="3"/>
                <c:pt idx="0">
                  <c:v>3.3</c:v>
                </c:pt>
                <c:pt idx="1">
                  <c:v>3.6</c:v>
                </c:pt>
                <c:pt idx="2">
                  <c:v>3.65</c:v>
                </c:pt>
              </c:numCache>
            </c:numRef>
          </c:val>
          <c:smooth val="0"/>
        </c:ser>
        <c:dLbls>
          <c:showLegendKey val="0"/>
          <c:showVal val="0"/>
          <c:showCatName val="0"/>
          <c:showSerName val="0"/>
          <c:showPercent val="0"/>
          <c:showBubbleSize val="0"/>
        </c:dLbls>
        <c:marker val="1"/>
        <c:smooth val="0"/>
        <c:axId val="2093814680"/>
        <c:axId val="2093802408"/>
      </c:lineChart>
      <c:catAx>
        <c:axId val="2093814680"/>
        <c:scaling>
          <c:orientation val="minMax"/>
        </c:scaling>
        <c:delete val="0"/>
        <c:axPos val="b"/>
        <c:title>
          <c:tx>
            <c:rich>
              <a:bodyPr/>
              <a:lstStyle/>
              <a:p>
                <a:pPr>
                  <a:defRPr/>
                </a:pPr>
                <a:r>
                  <a:rPr lang="en-US"/>
                  <a:t>PA</a:t>
                </a:r>
              </a:p>
            </c:rich>
          </c:tx>
          <c:layout/>
          <c:overlay val="0"/>
        </c:title>
        <c:majorTickMark val="out"/>
        <c:minorTickMark val="none"/>
        <c:tickLblPos val="nextTo"/>
        <c:crossAx val="2093802408"/>
        <c:crosses val="autoZero"/>
        <c:auto val="1"/>
        <c:lblAlgn val="ctr"/>
        <c:lblOffset val="100"/>
        <c:noMultiLvlLbl val="0"/>
      </c:catAx>
      <c:valAx>
        <c:axId val="2093802408"/>
        <c:scaling>
          <c:orientation val="minMax"/>
          <c:max val="5.0"/>
        </c:scaling>
        <c:delete val="0"/>
        <c:axPos val="l"/>
        <c:majorGridlines/>
        <c:numFmt formatCode="General" sourceLinked="1"/>
        <c:majorTickMark val="out"/>
        <c:minorTickMark val="none"/>
        <c:tickLblPos val="nextTo"/>
        <c:crossAx val="2093814680"/>
        <c:crosses val="autoZero"/>
        <c:crossBetween val="between"/>
        <c:majorUnit val="0.5"/>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Charts!$V$84</c:f>
              <c:strCache>
                <c:ptCount val="1"/>
                <c:pt idx="0">
                  <c:v>Group N</c:v>
                </c:pt>
              </c:strCache>
            </c:strRef>
          </c:tx>
          <c:marker>
            <c:symbol val="none"/>
          </c:marker>
          <c:cat>
            <c:strRef>
              <c:f>Charts!$U$85:$U$87</c:f>
              <c:strCache>
                <c:ptCount val="3"/>
                <c:pt idx="0">
                  <c:v>T1</c:v>
                </c:pt>
                <c:pt idx="1">
                  <c:v>T2</c:v>
                </c:pt>
                <c:pt idx="2">
                  <c:v>T3</c:v>
                </c:pt>
              </c:strCache>
            </c:strRef>
          </c:cat>
          <c:val>
            <c:numRef>
              <c:f>Charts!$V$85:$V$87</c:f>
              <c:numCache>
                <c:formatCode>General</c:formatCode>
                <c:ptCount val="3"/>
                <c:pt idx="0">
                  <c:v>4.9</c:v>
                </c:pt>
                <c:pt idx="1">
                  <c:v>4.75</c:v>
                </c:pt>
                <c:pt idx="2">
                  <c:v>4.62499999999997</c:v>
                </c:pt>
              </c:numCache>
            </c:numRef>
          </c:val>
          <c:smooth val="0"/>
        </c:ser>
        <c:ser>
          <c:idx val="1"/>
          <c:order val="1"/>
          <c:tx>
            <c:strRef>
              <c:f>Charts!$W$84</c:f>
              <c:strCache>
                <c:ptCount val="1"/>
                <c:pt idx="0">
                  <c:v>Group O</c:v>
                </c:pt>
              </c:strCache>
            </c:strRef>
          </c:tx>
          <c:marker>
            <c:symbol val="none"/>
          </c:marker>
          <c:cat>
            <c:strRef>
              <c:f>Charts!$U$85:$U$87</c:f>
              <c:strCache>
                <c:ptCount val="3"/>
                <c:pt idx="0">
                  <c:v>T1</c:v>
                </c:pt>
                <c:pt idx="1">
                  <c:v>T2</c:v>
                </c:pt>
                <c:pt idx="2">
                  <c:v>T3</c:v>
                </c:pt>
              </c:strCache>
            </c:strRef>
          </c:cat>
          <c:val>
            <c:numRef>
              <c:f>Charts!$W$85:$W$87</c:f>
              <c:numCache>
                <c:formatCode>General</c:formatCode>
                <c:ptCount val="3"/>
                <c:pt idx="0">
                  <c:v>5.1</c:v>
                </c:pt>
                <c:pt idx="1">
                  <c:v>5.6</c:v>
                </c:pt>
                <c:pt idx="2">
                  <c:v>6.75</c:v>
                </c:pt>
              </c:numCache>
            </c:numRef>
          </c:val>
          <c:smooth val="0"/>
        </c:ser>
        <c:ser>
          <c:idx val="2"/>
          <c:order val="2"/>
          <c:tx>
            <c:strRef>
              <c:f>Charts!$X$84</c:f>
              <c:strCache>
                <c:ptCount val="1"/>
                <c:pt idx="0">
                  <c:v>Group P</c:v>
                </c:pt>
              </c:strCache>
            </c:strRef>
          </c:tx>
          <c:marker>
            <c:symbol val="none"/>
          </c:marker>
          <c:cat>
            <c:strRef>
              <c:f>Charts!$U$85:$U$87</c:f>
              <c:strCache>
                <c:ptCount val="3"/>
                <c:pt idx="0">
                  <c:v>T1</c:v>
                </c:pt>
                <c:pt idx="1">
                  <c:v>T2</c:v>
                </c:pt>
                <c:pt idx="2">
                  <c:v>T3</c:v>
                </c:pt>
              </c:strCache>
            </c:strRef>
          </c:cat>
          <c:val>
            <c:numRef>
              <c:f>Charts!$X$85:$X$87</c:f>
              <c:numCache>
                <c:formatCode>General</c:formatCode>
                <c:ptCount val="3"/>
                <c:pt idx="0">
                  <c:v>3.5</c:v>
                </c:pt>
                <c:pt idx="1">
                  <c:v>4.25</c:v>
                </c:pt>
                <c:pt idx="2">
                  <c:v>5.0</c:v>
                </c:pt>
              </c:numCache>
            </c:numRef>
          </c:val>
          <c:smooth val="0"/>
        </c:ser>
        <c:ser>
          <c:idx val="3"/>
          <c:order val="3"/>
          <c:tx>
            <c:strRef>
              <c:f>Charts!$Y$84</c:f>
              <c:strCache>
                <c:ptCount val="1"/>
                <c:pt idx="0">
                  <c:v>Group Q</c:v>
                </c:pt>
              </c:strCache>
            </c:strRef>
          </c:tx>
          <c:marker>
            <c:symbol val="none"/>
          </c:marker>
          <c:cat>
            <c:strRef>
              <c:f>Charts!$U$85:$U$87</c:f>
              <c:strCache>
                <c:ptCount val="3"/>
                <c:pt idx="0">
                  <c:v>T1</c:v>
                </c:pt>
                <c:pt idx="1">
                  <c:v>T2</c:v>
                </c:pt>
                <c:pt idx="2">
                  <c:v>T3</c:v>
                </c:pt>
              </c:strCache>
            </c:strRef>
          </c:cat>
          <c:val>
            <c:numRef>
              <c:f>Charts!$Y$85:$Y$87</c:f>
              <c:numCache>
                <c:formatCode>General</c:formatCode>
                <c:ptCount val="3"/>
                <c:pt idx="0">
                  <c:v>6.0</c:v>
                </c:pt>
                <c:pt idx="1">
                  <c:v>6.25</c:v>
                </c:pt>
                <c:pt idx="2">
                  <c:v>6.0</c:v>
                </c:pt>
              </c:numCache>
            </c:numRef>
          </c:val>
          <c:smooth val="0"/>
        </c:ser>
        <c:dLbls>
          <c:showLegendKey val="0"/>
          <c:showVal val="0"/>
          <c:showCatName val="0"/>
          <c:showSerName val="0"/>
          <c:showPercent val="0"/>
          <c:showBubbleSize val="0"/>
        </c:dLbls>
        <c:marker val="1"/>
        <c:smooth val="0"/>
        <c:axId val="-2113308248"/>
        <c:axId val="-2113316648"/>
      </c:lineChart>
      <c:catAx>
        <c:axId val="-2113308248"/>
        <c:scaling>
          <c:orientation val="minMax"/>
        </c:scaling>
        <c:delete val="0"/>
        <c:axPos val="b"/>
        <c:title>
          <c:tx>
            <c:rich>
              <a:bodyPr/>
              <a:lstStyle/>
              <a:p>
                <a:pPr>
                  <a:defRPr/>
                </a:pPr>
                <a:r>
                  <a:rPr lang="en-US"/>
                  <a:t>Satisfaction</a:t>
                </a:r>
              </a:p>
            </c:rich>
          </c:tx>
          <c:layout/>
          <c:overlay val="0"/>
        </c:title>
        <c:majorTickMark val="out"/>
        <c:minorTickMark val="none"/>
        <c:tickLblPos val="nextTo"/>
        <c:crossAx val="-2113316648"/>
        <c:crosses val="autoZero"/>
        <c:auto val="1"/>
        <c:lblAlgn val="ctr"/>
        <c:lblOffset val="100"/>
        <c:noMultiLvlLbl val="0"/>
      </c:catAx>
      <c:valAx>
        <c:axId val="-2113316648"/>
        <c:scaling>
          <c:orientation val="minMax"/>
          <c:max val="7.0"/>
        </c:scaling>
        <c:delete val="0"/>
        <c:axPos val="l"/>
        <c:majorGridlines/>
        <c:numFmt formatCode="General" sourceLinked="1"/>
        <c:majorTickMark val="out"/>
        <c:minorTickMark val="none"/>
        <c:tickLblPos val="nextTo"/>
        <c:crossAx val="-21133082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Charts!$AH$61</c:f>
              <c:strCache>
                <c:ptCount val="1"/>
                <c:pt idx="0">
                  <c:v>T1</c:v>
                </c:pt>
              </c:strCache>
            </c:strRef>
          </c:tx>
          <c:marker>
            <c:symbol val="none"/>
          </c:marker>
          <c:cat>
            <c:numRef>
              <c:f>Charts!$AG$62:$AG$65</c:f>
              <c:numCache>
                <c:formatCode>General</c:formatCode>
                <c:ptCount val="4"/>
                <c:pt idx="0">
                  <c:v>1.0</c:v>
                </c:pt>
                <c:pt idx="1">
                  <c:v>2.0</c:v>
                </c:pt>
                <c:pt idx="2">
                  <c:v>3.0</c:v>
                </c:pt>
                <c:pt idx="3">
                  <c:v>4.0</c:v>
                </c:pt>
              </c:numCache>
            </c:numRef>
          </c:cat>
          <c:val>
            <c:numRef>
              <c:f>Charts!$AH$62:$AH$65</c:f>
              <c:numCache>
                <c:formatCode>General</c:formatCode>
                <c:ptCount val="4"/>
                <c:pt idx="0">
                  <c:v>5.875</c:v>
                </c:pt>
                <c:pt idx="1">
                  <c:v>4.8</c:v>
                </c:pt>
                <c:pt idx="2">
                  <c:v>4.4</c:v>
                </c:pt>
                <c:pt idx="3">
                  <c:v>3.833333333</c:v>
                </c:pt>
              </c:numCache>
            </c:numRef>
          </c:val>
          <c:smooth val="0"/>
        </c:ser>
        <c:ser>
          <c:idx val="1"/>
          <c:order val="1"/>
          <c:tx>
            <c:strRef>
              <c:f>Charts!$AI$61</c:f>
              <c:strCache>
                <c:ptCount val="1"/>
                <c:pt idx="0">
                  <c:v>T2</c:v>
                </c:pt>
              </c:strCache>
            </c:strRef>
          </c:tx>
          <c:marker>
            <c:symbol val="none"/>
          </c:marker>
          <c:cat>
            <c:numRef>
              <c:f>Charts!$AG$62:$AG$65</c:f>
              <c:numCache>
                <c:formatCode>General</c:formatCode>
                <c:ptCount val="4"/>
                <c:pt idx="0">
                  <c:v>1.0</c:v>
                </c:pt>
                <c:pt idx="1">
                  <c:v>2.0</c:v>
                </c:pt>
                <c:pt idx="2">
                  <c:v>3.0</c:v>
                </c:pt>
                <c:pt idx="3">
                  <c:v>4.0</c:v>
                </c:pt>
              </c:numCache>
            </c:numRef>
          </c:cat>
          <c:val>
            <c:numRef>
              <c:f>Charts!$AI$62:$AI$65</c:f>
              <c:numCache>
                <c:formatCode>General</c:formatCode>
                <c:ptCount val="4"/>
                <c:pt idx="0">
                  <c:v>5.5</c:v>
                </c:pt>
                <c:pt idx="1">
                  <c:v>5.875</c:v>
                </c:pt>
                <c:pt idx="2">
                  <c:v>5.375</c:v>
                </c:pt>
                <c:pt idx="3">
                  <c:v>4.124999999999974</c:v>
                </c:pt>
              </c:numCache>
            </c:numRef>
          </c:val>
          <c:smooth val="0"/>
        </c:ser>
        <c:ser>
          <c:idx val="2"/>
          <c:order val="2"/>
          <c:tx>
            <c:strRef>
              <c:f>Charts!$AJ$61</c:f>
              <c:strCache>
                <c:ptCount val="1"/>
                <c:pt idx="0">
                  <c:v>T3</c:v>
                </c:pt>
              </c:strCache>
            </c:strRef>
          </c:tx>
          <c:marker>
            <c:symbol val="none"/>
          </c:marker>
          <c:cat>
            <c:numRef>
              <c:f>Charts!$AG$62:$AG$65</c:f>
              <c:numCache>
                <c:formatCode>General</c:formatCode>
                <c:ptCount val="4"/>
                <c:pt idx="0">
                  <c:v>1.0</c:v>
                </c:pt>
                <c:pt idx="1">
                  <c:v>2.0</c:v>
                </c:pt>
                <c:pt idx="2">
                  <c:v>3.0</c:v>
                </c:pt>
                <c:pt idx="3">
                  <c:v>4.0</c:v>
                </c:pt>
              </c:numCache>
            </c:numRef>
          </c:cat>
          <c:val>
            <c:numRef>
              <c:f>Charts!$AJ$62:$AJ$65</c:f>
              <c:numCache>
                <c:formatCode>General</c:formatCode>
                <c:ptCount val="4"/>
                <c:pt idx="0">
                  <c:v>5.75</c:v>
                </c:pt>
                <c:pt idx="1">
                  <c:v>6.0</c:v>
                </c:pt>
                <c:pt idx="2">
                  <c:v>5.62499999999997</c:v>
                </c:pt>
                <c:pt idx="3">
                  <c:v>5.0</c:v>
                </c:pt>
              </c:numCache>
            </c:numRef>
          </c:val>
          <c:smooth val="0"/>
        </c:ser>
        <c:dLbls>
          <c:showLegendKey val="0"/>
          <c:showVal val="0"/>
          <c:showCatName val="0"/>
          <c:showSerName val="0"/>
          <c:showPercent val="0"/>
          <c:showBubbleSize val="0"/>
        </c:dLbls>
        <c:marker val="1"/>
        <c:smooth val="0"/>
        <c:axId val="-2113084184"/>
        <c:axId val="-2113078712"/>
      </c:lineChart>
      <c:catAx>
        <c:axId val="-2113084184"/>
        <c:scaling>
          <c:orientation val="minMax"/>
        </c:scaling>
        <c:delete val="0"/>
        <c:axPos val="b"/>
        <c:title>
          <c:tx>
            <c:rich>
              <a:bodyPr/>
              <a:lstStyle/>
              <a:p>
                <a:pPr>
                  <a:defRPr/>
                </a:pPr>
                <a:r>
                  <a:rPr lang="en-US"/>
                  <a:t>Balance</a:t>
                </a:r>
              </a:p>
            </c:rich>
          </c:tx>
          <c:layout/>
          <c:overlay val="0"/>
        </c:title>
        <c:numFmt formatCode="General" sourceLinked="1"/>
        <c:majorTickMark val="out"/>
        <c:minorTickMark val="none"/>
        <c:tickLblPos val="nextTo"/>
        <c:crossAx val="-2113078712"/>
        <c:crosses val="autoZero"/>
        <c:auto val="1"/>
        <c:lblAlgn val="ctr"/>
        <c:lblOffset val="100"/>
        <c:noMultiLvlLbl val="0"/>
      </c:catAx>
      <c:valAx>
        <c:axId val="-2113078712"/>
        <c:scaling>
          <c:orientation val="minMax"/>
        </c:scaling>
        <c:delete val="0"/>
        <c:axPos val="l"/>
        <c:majorGridlines/>
        <c:numFmt formatCode="General" sourceLinked="1"/>
        <c:majorTickMark val="out"/>
        <c:minorTickMark val="none"/>
        <c:tickLblPos val="nextTo"/>
        <c:crossAx val="-2113084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Charts!$AH$48</c:f>
              <c:strCache>
                <c:ptCount val="1"/>
                <c:pt idx="0">
                  <c:v>T1</c:v>
                </c:pt>
              </c:strCache>
            </c:strRef>
          </c:tx>
          <c:marker>
            <c:symbol val="none"/>
          </c:marker>
          <c:cat>
            <c:numRef>
              <c:f>Charts!$AG$49:$AG$52</c:f>
              <c:numCache>
                <c:formatCode>General</c:formatCode>
                <c:ptCount val="4"/>
                <c:pt idx="0">
                  <c:v>1.0</c:v>
                </c:pt>
                <c:pt idx="1">
                  <c:v>2.0</c:v>
                </c:pt>
                <c:pt idx="2">
                  <c:v>3.0</c:v>
                </c:pt>
                <c:pt idx="3">
                  <c:v>4.0</c:v>
                </c:pt>
              </c:numCache>
            </c:numRef>
          </c:cat>
          <c:val>
            <c:numRef>
              <c:f>Charts!$AH$49:$AH$52</c:f>
              <c:numCache>
                <c:formatCode>General</c:formatCode>
                <c:ptCount val="4"/>
                <c:pt idx="0">
                  <c:v>5.0</c:v>
                </c:pt>
                <c:pt idx="1">
                  <c:v>4.533333333</c:v>
                </c:pt>
                <c:pt idx="2">
                  <c:v>3.466666666666667</c:v>
                </c:pt>
                <c:pt idx="3">
                  <c:v>1.555555555555556</c:v>
                </c:pt>
              </c:numCache>
            </c:numRef>
          </c:val>
          <c:smooth val="0"/>
        </c:ser>
        <c:ser>
          <c:idx val="1"/>
          <c:order val="1"/>
          <c:tx>
            <c:strRef>
              <c:f>Charts!$AI$48</c:f>
              <c:strCache>
                <c:ptCount val="1"/>
                <c:pt idx="0">
                  <c:v>T2</c:v>
                </c:pt>
              </c:strCache>
            </c:strRef>
          </c:tx>
          <c:marker>
            <c:symbol val="none"/>
          </c:marker>
          <c:cat>
            <c:numRef>
              <c:f>Charts!$AG$49:$AG$52</c:f>
              <c:numCache>
                <c:formatCode>General</c:formatCode>
                <c:ptCount val="4"/>
                <c:pt idx="0">
                  <c:v>1.0</c:v>
                </c:pt>
                <c:pt idx="1">
                  <c:v>2.0</c:v>
                </c:pt>
                <c:pt idx="2">
                  <c:v>3.0</c:v>
                </c:pt>
                <c:pt idx="3">
                  <c:v>4.0</c:v>
                </c:pt>
              </c:numCache>
            </c:numRef>
          </c:cat>
          <c:val>
            <c:numRef>
              <c:f>Charts!$AI$49:$AI$52</c:f>
              <c:numCache>
                <c:formatCode>General</c:formatCode>
                <c:ptCount val="4"/>
                <c:pt idx="0">
                  <c:v>5.066666666666666</c:v>
                </c:pt>
                <c:pt idx="1">
                  <c:v>5.75</c:v>
                </c:pt>
                <c:pt idx="2">
                  <c:v>3.916666666666666</c:v>
                </c:pt>
                <c:pt idx="3">
                  <c:v>2.666666666666666</c:v>
                </c:pt>
              </c:numCache>
            </c:numRef>
          </c:val>
          <c:smooth val="0"/>
        </c:ser>
        <c:ser>
          <c:idx val="2"/>
          <c:order val="2"/>
          <c:tx>
            <c:strRef>
              <c:f>Charts!$AJ$48</c:f>
              <c:strCache>
                <c:ptCount val="1"/>
                <c:pt idx="0">
                  <c:v>T3</c:v>
                </c:pt>
              </c:strCache>
            </c:strRef>
          </c:tx>
          <c:marker>
            <c:symbol val="none"/>
          </c:marker>
          <c:cat>
            <c:numRef>
              <c:f>Charts!$AG$49:$AG$52</c:f>
              <c:numCache>
                <c:formatCode>General</c:formatCode>
                <c:ptCount val="4"/>
                <c:pt idx="0">
                  <c:v>1.0</c:v>
                </c:pt>
                <c:pt idx="1">
                  <c:v>2.0</c:v>
                </c:pt>
                <c:pt idx="2">
                  <c:v>3.0</c:v>
                </c:pt>
                <c:pt idx="3">
                  <c:v>4.0</c:v>
                </c:pt>
              </c:numCache>
            </c:numRef>
          </c:cat>
          <c:val>
            <c:numRef>
              <c:f>Charts!$AJ$49:$AJ$52</c:f>
              <c:numCache>
                <c:formatCode>General</c:formatCode>
                <c:ptCount val="4"/>
                <c:pt idx="0">
                  <c:v>5.583333333</c:v>
                </c:pt>
                <c:pt idx="1">
                  <c:v>5.5</c:v>
                </c:pt>
                <c:pt idx="2">
                  <c:v>4.583333333</c:v>
                </c:pt>
                <c:pt idx="3">
                  <c:v>3.833333333333333</c:v>
                </c:pt>
              </c:numCache>
            </c:numRef>
          </c:val>
          <c:smooth val="0"/>
        </c:ser>
        <c:dLbls>
          <c:showLegendKey val="0"/>
          <c:showVal val="0"/>
          <c:showCatName val="0"/>
          <c:showSerName val="0"/>
          <c:showPercent val="0"/>
          <c:showBubbleSize val="0"/>
        </c:dLbls>
        <c:marker val="1"/>
        <c:smooth val="0"/>
        <c:axId val="2085480456"/>
        <c:axId val="2085477544"/>
      </c:lineChart>
      <c:catAx>
        <c:axId val="2085480456"/>
        <c:scaling>
          <c:orientation val="minMax"/>
        </c:scaling>
        <c:delete val="0"/>
        <c:axPos val="b"/>
        <c:title>
          <c:tx>
            <c:rich>
              <a:bodyPr/>
              <a:lstStyle/>
              <a:p>
                <a:pPr>
                  <a:defRPr/>
                </a:pPr>
                <a:r>
                  <a:rPr lang="en-US"/>
                  <a:t>Skill</a:t>
                </a:r>
              </a:p>
            </c:rich>
          </c:tx>
          <c:layout/>
          <c:overlay val="0"/>
        </c:title>
        <c:numFmt formatCode="General" sourceLinked="1"/>
        <c:majorTickMark val="out"/>
        <c:minorTickMark val="none"/>
        <c:tickLblPos val="nextTo"/>
        <c:crossAx val="2085477544"/>
        <c:crosses val="autoZero"/>
        <c:auto val="1"/>
        <c:lblAlgn val="ctr"/>
        <c:lblOffset val="100"/>
        <c:noMultiLvlLbl val="0"/>
      </c:catAx>
      <c:valAx>
        <c:axId val="2085477544"/>
        <c:scaling>
          <c:orientation val="minMax"/>
        </c:scaling>
        <c:delete val="0"/>
        <c:axPos val="l"/>
        <c:majorGridlines/>
        <c:numFmt formatCode="General" sourceLinked="1"/>
        <c:majorTickMark val="out"/>
        <c:minorTickMark val="none"/>
        <c:tickLblPos val="nextTo"/>
        <c:crossAx val="20854804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Charts!$AG$105</c:f>
              <c:strCache>
                <c:ptCount val="1"/>
                <c:pt idx="0">
                  <c:v>T1</c:v>
                </c:pt>
              </c:strCache>
            </c:strRef>
          </c:tx>
          <c:marker>
            <c:symbol val="none"/>
          </c:marker>
          <c:cat>
            <c:numRef>
              <c:f>Charts!$AF$106:$AF$109</c:f>
              <c:numCache>
                <c:formatCode>General</c:formatCode>
                <c:ptCount val="4"/>
                <c:pt idx="0">
                  <c:v>1.0</c:v>
                </c:pt>
                <c:pt idx="1">
                  <c:v>2.0</c:v>
                </c:pt>
                <c:pt idx="2">
                  <c:v>3.0</c:v>
                </c:pt>
                <c:pt idx="3">
                  <c:v>4.0</c:v>
                </c:pt>
              </c:numCache>
            </c:numRef>
          </c:cat>
          <c:val>
            <c:numRef>
              <c:f>Charts!$AG$106:$AG$109</c:f>
              <c:numCache>
                <c:formatCode>General</c:formatCode>
                <c:ptCount val="4"/>
                <c:pt idx="0">
                  <c:v>3.3</c:v>
                </c:pt>
                <c:pt idx="1">
                  <c:v>3.2</c:v>
                </c:pt>
                <c:pt idx="2">
                  <c:v>2.68</c:v>
                </c:pt>
                <c:pt idx="3">
                  <c:v>2.466666666666667</c:v>
                </c:pt>
              </c:numCache>
            </c:numRef>
          </c:val>
          <c:smooth val="0"/>
        </c:ser>
        <c:ser>
          <c:idx val="1"/>
          <c:order val="1"/>
          <c:tx>
            <c:strRef>
              <c:f>Charts!$AH$105</c:f>
              <c:strCache>
                <c:ptCount val="1"/>
                <c:pt idx="0">
                  <c:v>T2</c:v>
                </c:pt>
              </c:strCache>
            </c:strRef>
          </c:tx>
          <c:marker>
            <c:symbol val="none"/>
          </c:marker>
          <c:cat>
            <c:numRef>
              <c:f>Charts!$AF$106:$AF$109</c:f>
              <c:numCache>
                <c:formatCode>General</c:formatCode>
                <c:ptCount val="4"/>
                <c:pt idx="0">
                  <c:v>1.0</c:v>
                </c:pt>
                <c:pt idx="1">
                  <c:v>2.0</c:v>
                </c:pt>
                <c:pt idx="2">
                  <c:v>3.0</c:v>
                </c:pt>
                <c:pt idx="3">
                  <c:v>4.0</c:v>
                </c:pt>
              </c:numCache>
            </c:numRef>
          </c:cat>
          <c:val>
            <c:numRef>
              <c:f>Charts!$AH$106:$AH$109</c:f>
              <c:numCache>
                <c:formatCode>General</c:formatCode>
                <c:ptCount val="4"/>
                <c:pt idx="0">
                  <c:v>3.72</c:v>
                </c:pt>
                <c:pt idx="1">
                  <c:v>3.6</c:v>
                </c:pt>
                <c:pt idx="2">
                  <c:v>2.7</c:v>
                </c:pt>
                <c:pt idx="3">
                  <c:v>2.9</c:v>
                </c:pt>
              </c:numCache>
            </c:numRef>
          </c:val>
          <c:smooth val="0"/>
        </c:ser>
        <c:ser>
          <c:idx val="2"/>
          <c:order val="2"/>
          <c:tx>
            <c:strRef>
              <c:f>Charts!$AI$105</c:f>
              <c:strCache>
                <c:ptCount val="1"/>
                <c:pt idx="0">
                  <c:v>T3</c:v>
                </c:pt>
              </c:strCache>
            </c:strRef>
          </c:tx>
          <c:marker>
            <c:symbol val="none"/>
          </c:marker>
          <c:cat>
            <c:numRef>
              <c:f>Charts!$AF$106:$AF$109</c:f>
              <c:numCache>
                <c:formatCode>General</c:formatCode>
                <c:ptCount val="4"/>
                <c:pt idx="0">
                  <c:v>1.0</c:v>
                </c:pt>
                <c:pt idx="1">
                  <c:v>2.0</c:v>
                </c:pt>
                <c:pt idx="2">
                  <c:v>3.0</c:v>
                </c:pt>
                <c:pt idx="3">
                  <c:v>4.0</c:v>
                </c:pt>
              </c:numCache>
            </c:numRef>
          </c:cat>
          <c:val>
            <c:numRef>
              <c:f>Charts!$AI$106:$AI$109</c:f>
              <c:numCache>
                <c:formatCode>General</c:formatCode>
                <c:ptCount val="4"/>
                <c:pt idx="0">
                  <c:v>4.1</c:v>
                </c:pt>
                <c:pt idx="1">
                  <c:v>3.65</c:v>
                </c:pt>
                <c:pt idx="2">
                  <c:v>2.9</c:v>
                </c:pt>
                <c:pt idx="3">
                  <c:v>2.3</c:v>
                </c:pt>
              </c:numCache>
            </c:numRef>
          </c:val>
          <c:smooth val="0"/>
        </c:ser>
        <c:dLbls>
          <c:showLegendKey val="0"/>
          <c:showVal val="0"/>
          <c:showCatName val="0"/>
          <c:showSerName val="0"/>
          <c:showPercent val="0"/>
          <c:showBubbleSize val="0"/>
        </c:dLbls>
        <c:marker val="1"/>
        <c:smooth val="0"/>
        <c:axId val="2085248648"/>
        <c:axId val="2085226632"/>
      </c:lineChart>
      <c:catAx>
        <c:axId val="2085248648"/>
        <c:scaling>
          <c:orientation val="minMax"/>
        </c:scaling>
        <c:delete val="0"/>
        <c:axPos val="b"/>
        <c:title>
          <c:tx>
            <c:rich>
              <a:bodyPr/>
              <a:lstStyle/>
              <a:p>
                <a:pPr>
                  <a:defRPr/>
                </a:pPr>
                <a:r>
                  <a:rPr lang="en-US"/>
                  <a:t>PA</a:t>
                </a:r>
              </a:p>
            </c:rich>
          </c:tx>
          <c:layout/>
          <c:overlay val="0"/>
        </c:title>
        <c:numFmt formatCode="General" sourceLinked="1"/>
        <c:majorTickMark val="out"/>
        <c:minorTickMark val="none"/>
        <c:tickLblPos val="nextTo"/>
        <c:crossAx val="2085226632"/>
        <c:crosses val="autoZero"/>
        <c:auto val="1"/>
        <c:lblAlgn val="ctr"/>
        <c:lblOffset val="100"/>
        <c:noMultiLvlLbl val="0"/>
      </c:catAx>
      <c:valAx>
        <c:axId val="2085226632"/>
        <c:scaling>
          <c:orientation val="minMax"/>
        </c:scaling>
        <c:delete val="0"/>
        <c:axPos val="l"/>
        <c:majorGridlines/>
        <c:numFmt formatCode="General" sourceLinked="1"/>
        <c:majorTickMark val="out"/>
        <c:minorTickMark val="none"/>
        <c:tickLblPos val="nextTo"/>
        <c:crossAx val="208524864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C5D67-34E9-C645-9960-D8D95842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98057</Words>
  <Characters>558927</Characters>
  <Application>Microsoft Macintosh Word</Application>
  <DocSecurity>0</DocSecurity>
  <Lines>4657</Lines>
  <Paragraphs>1311</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655673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dc:creator>
  <cp:lastModifiedBy>S S</cp:lastModifiedBy>
  <cp:revision>2</cp:revision>
  <cp:lastPrinted>2014-11-30T01:10:00Z</cp:lastPrinted>
  <dcterms:created xsi:type="dcterms:W3CDTF">2014-12-05T13:17:00Z</dcterms:created>
  <dcterms:modified xsi:type="dcterms:W3CDTF">2014-12-05T13:17:00Z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http://www.zotero.org/styles/apa</vt:lpwstr>
  </property>
  <property fmtid="{D5CDD505-2E9C-101B-9397-08002B2CF9AE}" pid="24" name="Mendeley User Name_1">
    <vt:lpwstr>sepsep3@gmail.com@www.mendeley.com</vt:lpwstr>
  </property>
</Properties>
</file>